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Palo Alto Security Policy — Leadership Summary</w:t>
      </w:r>
    </w:p>
    <w:p>
      <w:pPr>
        <w:pStyle w:val="Heading2"/>
      </w:pPr>
      <w:r>
        <w:t xml:space="preserve">What we found</w:t>
      </w:r>
    </w:p>
    <w:p>
      <w:pPr>
        <w:pStyle w:val="FirstParagraph"/>
      </w:pPr>
      <w:r>
        <w:t xml:space="preserve">At the Middletown and Windsor data centers (Aetna) and Shea and Rhode Island (CVS), the two main consumers of Palo Alto and the proxies for internet access are </w:t>
      </w:r>
      <w:r>
        <w:rPr>
          <w:bCs/>
          <w:b/>
        </w:rPr>
        <w:t xml:space="preserve">application servers and Citrix</w:t>
      </w:r>
      <w:r>
        <w:t xml:space="preserve">. User populations outside those data centers also use them for internet egress; their volumes are not part of the measured figures below.</w:t>
      </w:r>
    </w:p>
    <w:p>
      <w:pPr>
        <w:pStyle w:val="BodyText"/>
      </w:pPr>
      <w:r>
        <w:rPr>
          <w:bCs/>
          <w:b/>
        </w:rPr>
        <w:t xml:space="preserve">Where the traffic goes.</w:t>
      </w:r>
      <w:r>
        <w:t xml:space="preserve"> Of the 10.2 million server and Citrix connections observed over 15 days, most go directly to the internet through Palo Alto. A smaller share goes through the proxies.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460"/>
        <w:gridCol w:w="1800"/>
        <w:gridCol w:w="1700"/>
        <w:gridCol w:w="1700"/>
        <w:gridCol w:w="1700"/>
      </w:tblGrid>
      <w:tr>
        <w:tc>
          <w:tcPr>
            <w:tcW w:w="2460" w:type="dxa"/>
            <w:shd w:val="clear" w:color="auto" w:fill="E7EDF4"/>
          </w:tcPr>
          <w:p>
            <w:pPr>
              <w:pStyle w:val="Compact"/>
            </w:pPr>
            <w:r>
              <w:rPr>
                <w:bCs/>
                <w:b/>
              </w:rPr>
              <w:t xml:space="preserve">Site</w:t>
            </w:r>
          </w:p>
        </w:tc>
        <w:tc>
          <w:tcPr>
            <w:tcW w:w="1800" w:type="dxa"/>
            <w:shd w:val="clear" w:color="auto" w:fill="E7EDF4"/>
          </w:tcPr>
          <w:p>
            <w:pPr>
              <w:pStyle w:val="Compact"/>
              <w:jc w:val="right"/>
            </w:pPr>
            <w:r>
              <w:rPr>
                <w:bCs/>
                <w:b/>
              </w:rPr>
              <w:t xml:space="preserve">Connections (15 days)</w:t>
            </w:r>
          </w:p>
        </w:tc>
        <w:tc>
          <w:tcPr>
            <w:tcW w:w="1700" w:type="dxa"/>
            <w:shd w:val="clear" w:color="auto" w:fill="E7EDF4"/>
          </w:tcPr>
          <w:p>
            <w:pPr>
              <w:pStyle w:val="Compact"/>
              <w:jc w:val="right"/>
            </w:pPr>
            <w:r>
              <w:rPr>
                <w:bCs/>
                <w:b/>
              </w:rPr>
              <w:t xml:space="preserve">Direct through Palo Alto</w:t>
            </w:r>
          </w:p>
        </w:tc>
        <w:tc>
          <w:tcPr>
            <w:tcW w:w="1700" w:type="dxa"/>
            <w:shd w:val="clear" w:color="auto" w:fill="E7EDF4"/>
          </w:tcPr>
          <w:p>
            <w:pPr>
              <w:pStyle w:val="Compact"/>
              <w:jc w:val="right"/>
            </w:pPr>
            <w:r>
              <w:rPr>
                <w:bCs/>
                <w:b/>
              </w:rPr>
              <w:t xml:space="preserve">Through Aetna proxy</w:t>
            </w:r>
          </w:p>
        </w:tc>
        <w:tc>
          <w:tcPr>
            <w:tcW w:w="1700" w:type="dxa"/>
            <w:shd w:val="clear" w:color="auto" w:fill="E7EDF4"/>
          </w:tcPr>
          <w:p>
            <w:pPr>
              <w:pStyle w:val="Compact"/>
              <w:jc w:val="right"/>
            </w:pPr>
            <w:r>
              <w:rPr>
                <w:bCs/>
                <w:b/>
              </w:rPr>
              <w:t xml:space="preserve">Through CVS proxy</w:t>
            </w:r>
          </w:p>
        </w:tc>
      </w:tr>
      <w:tr>
        <w:tc>
          <w:tcPr>
            <w:tcW w:w="2460" w:type="dxa"/>
          </w:tcPr>
          <w:p>
            <w:pPr>
              <w:pStyle w:val="Compact"/>
            </w:pPr>
            <w:r>
              <w:t xml:space="preserve">Aetna (Middletown + Windsor)</w:t>
            </w:r>
          </w:p>
        </w:tc>
        <w:tc>
          <w:tcPr>
            <w:tcW w:w="1800" w:type="dxa"/>
          </w:tcPr>
          <w:p>
            <w:pPr>
              <w:pStyle w:val="Compact"/>
              <w:jc w:val="right"/>
            </w:pPr>
            <w:r>
              <w:t xml:space="preserve">4.16M</w:t>
            </w:r>
          </w:p>
        </w:tc>
        <w:tc>
          <w:tcPr>
            <w:tcW w:w="1700" w:type="dxa"/>
          </w:tcPr>
          <w:p>
            <w:pPr>
              <w:pStyle w:val="Compact"/>
              <w:jc w:val="right"/>
            </w:pPr>
            <w:r>
              <w:t xml:space="preserve">66%</w:t>
            </w:r>
          </w:p>
        </w:tc>
        <w:tc>
          <w:tcPr>
            <w:tcW w:w="1700" w:type="dxa"/>
          </w:tcPr>
          <w:p>
            <w:pPr>
              <w:pStyle w:val="Compact"/>
              <w:jc w:val="right"/>
            </w:pPr>
            <w:r>
              <w:t xml:space="preserve">32%</w:t>
            </w:r>
          </w:p>
        </w:tc>
        <w:tc>
          <w:tcPr>
            <w:tcW w:w="1700" w:type="dxa"/>
          </w:tcPr>
          <w:p>
            <w:pPr>
              <w:pStyle w:val="Compact"/>
              <w:jc w:val="right"/>
            </w:pPr>
            <w:r>
              <w:t xml:space="preserve">2%</w:t>
            </w:r>
          </w:p>
        </w:tc>
      </w:tr>
      <w:tr>
        <w:tc>
          <w:tcPr>
            <w:tcW w:w="2460" w:type="dxa"/>
          </w:tcPr>
          <w:p>
            <w:pPr>
              <w:pStyle w:val="Compact"/>
            </w:pPr>
            <w:r>
              <w:t xml:space="preserve">CVS (Shea + Rhode Island)</w:t>
            </w:r>
          </w:p>
        </w:tc>
        <w:tc>
          <w:tcPr>
            <w:tcW w:w="1800" w:type="dxa"/>
          </w:tcPr>
          <w:p>
            <w:pPr>
              <w:pStyle w:val="Compact"/>
              <w:jc w:val="right"/>
            </w:pPr>
            <w:r>
              <w:t xml:space="preserve">6.01M</w:t>
            </w:r>
          </w:p>
        </w:tc>
        <w:tc>
          <w:tcPr>
            <w:tcW w:w="1700" w:type="dxa"/>
          </w:tcPr>
          <w:p>
            <w:pPr>
              <w:pStyle w:val="Compact"/>
              <w:jc w:val="right"/>
            </w:pPr>
            <w:r>
              <w:t xml:space="preserve">86%</w:t>
            </w:r>
          </w:p>
        </w:tc>
        <w:tc>
          <w:tcPr>
            <w:tcW w:w="1700" w:type="dxa"/>
          </w:tcPr>
          <w:p>
            <w:pPr>
              <w:pStyle w:val="Compact"/>
              <w:jc w:val="right"/>
            </w:pPr>
            <w:r>
              <w:t xml:space="preserve">1%</w:t>
            </w:r>
          </w:p>
        </w:tc>
        <w:tc>
          <w:tcPr>
            <w:tcW w:w="1700" w:type="dxa"/>
          </w:tcPr>
          <w:p>
            <w:pPr>
              <w:pStyle w:val="Compact"/>
              <w:jc w:val="right"/>
            </w:pPr>
            <w:r>
              <w:t xml:space="preserve">13%</w:t>
            </w:r>
          </w:p>
        </w:tc>
      </w:tr>
      <w:tr>
        <w:tc>
          <w:tcPr>
            <w:tcW w:w="2460" w:type="dxa"/>
          </w:tcPr>
          <w:p>
            <w:pPr>
              <w:pStyle w:val="Compact"/>
            </w:pPr>
            <w:r>
              <w:t xml:space="preserve">Combined</w:t>
            </w:r>
          </w:p>
        </w:tc>
        <w:tc>
          <w:tcPr>
            <w:tcW w:w="1800" w:type="dxa"/>
          </w:tcPr>
          <w:p>
            <w:pPr>
              <w:pStyle w:val="Compact"/>
              <w:jc w:val="right"/>
            </w:pPr>
            <w:r>
              <w:t xml:space="preserve">10.17M</w:t>
            </w:r>
          </w:p>
        </w:tc>
        <w:tc>
          <w:tcPr>
            <w:tcW w:w="1700" w:type="dxa"/>
          </w:tcPr>
          <w:p>
            <w:pPr>
              <w:pStyle w:val="Compact"/>
              <w:jc w:val="right"/>
            </w:pPr>
            <w:r>
              <w:t xml:space="preserve">78%</w:t>
            </w:r>
          </w:p>
        </w:tc>
        <w:tc>
          <w:tcPr>
            <w:tcW w:w="1700" w:type="dxa"/>
          </w:tcPr>
          <w:p>
            <w:pPr>
              <w:pStyle w:val="Compact"/>
              <w:jc w:val="right"/>
            </w:pPr>
            <w:r>
              <w:t xml:space="preserve">14%</w:t>
            </w:r>
          </w:p>
        </w:tc>
        <w:tc>
          <w:tcPr>
            <w:tcW w:w="1700" w:type="dxa"/>
          </w:tcPr>
          <w:p>
            <w:pPr>
              <w:pStyle w:val="Compact"/>
              <w:jc w:val="right"/>
            </w:pPr>
            <w:r>
              <w:t xml:space="preserve">8%</w:t>
            </w:r>
          </w:p>
        </w:tc>
      </w:tr>
    </w:tbl>
    <w:p>
      <w:pPr>
        <w:pStyle w:val="BodyText"/>
      </w:pPr>
      <w:r>
        <w:t xml:space="preserve">Source: Tanium 15-day outbound report, approx. Sept 1–16, 2026. Connections, not bytes. Las Vegas is excluded.</w:t>
      </w:r>
    </w:p>
    <w:p>
      <w:pPr>
        <w:pStyle w:val="BodyText"/>
      </w:pPr>
      <w:r>
        <w:rPr>
          <w:bCs/>
          <w:b/>
        </w:rPr>
        <w:t xml:space="preserve">What qualifies for inspection.</w:t>
      </w:r>
      <w:r>
        <w:t xml:space="preserve"> Only a finite part of that traffic can be inspected and blocked. Aetna’s proxy is the only place sensitive-data blocking works today, and it inspects only traffic to destinations on its inspection lists. CVS’s proxy has no HTTPS decryption, so it cannot inspect encrypted traffic. Palo Alto decrypts only a narrow set of destinations and blocks no sensitive data: CVS runs one alert-only profile, and Aetna has no Palo Alto policy. We estimate roughly 5% of this traffic (range 4–7%) is content-inspected today, with a ceiling of about 14%. The estimate assumes 30–50% of Aetna-proxied connections reach destinations on the proxy’s inspection lists; decryption-level logs would give the exact figure.</w:t>
      </w:r>
    </w:p>
    <w:p>
      <w:pPr>
        <w:pStyle w:val="BodyText"/>
      </w:pPr>
      <w:r>
        <w:rPr>
          <w:bCs/>
          <w:b/>
        </w:rPr>
        <w:t xml:space="preserve">Access controls.</w:t>
      </w:r>
      <w:r>
        <w:t xml:space="preserve"> Microsoft tenant restriction is not built on Palo Alto. The Claude restriction is built but not fully enabled.</w:t>
      </w:r>
    </w:p>
    <w:p>
      <w:pPr>
        <w:pStyle w:val="Heading2"/>
      </w:pPr>
      <w:r>
        <w:t xml:space="preserve">Path forward — three next steps</w:t>
      </w:r>
    </w:p>
    <w:p>
      <w:pPr>
        <w:pStyle w:val="FirstParagraph"/>
      </w:pPr>
      <w:r>
        <w:rPr>
          <w:bCs/>
          <w:b/>
        </w:rPr>
        <w:t xml:space="preserve">1. Implement tenant restriction, starting with Microsoft.</w:t>
      </w:r>
      <w:r>
        <w:t xml:space="preserve"> Tenant restriction limits access to Microsoft (Azure) and AI tools to approved corporate accounts. The capability on the Skyhigh proxies today is based on tenant restriction version 1. Preliminary testing of version 2 has been done, and it needs to be tested again and supported on Palo Alto, starting with Microsoft. The Claude restriction already exists and needs to be enabled and expanded across all platforms.</w:t>
      </w:r>
    </w:p>
    <w:p>
      <w:pPr>
        <w:pStyle w:val="BodyText"/>
      </w:pPr>
      <w:r>
        <w:rPr>
          <w:bCs/>
          <w:b/>
        </w:rPr>
        <w:t xml:space="preserve">2. Procure advanced DLP licenses and move DLP off the Skyhigh proxies.</w:t>
      </w:r>
      <w:r>
        <w:t xml:space="preserve"> Enterprise DLP runs on Palo Alto today under a temporary license. A permanent license allows data-loss-prevention inspection for the nine business use cases (Social Security numbers, credit card numbers, driver’s licenses, banking data, secrets, and similar) to move from the Skyhigh proxies, where it works today on a narrow scope, to Palo Alto, and allows the Skyhigh proxies to be retired. Inspection only sees decrypted traffic, so the decryption scope has to be widened alongside it.</w:t>
      </w:r>
    </w:p>
    <w:p>
      <w:pPr>
        <w:pStyle w:val="BodyText"/>
      </w:pPr>
      <w:r>
        <w:rPr>
          <w:bCs/>
          <w:b/>
        </w:rPr>
        <w:t xml:space="preserve">3. Align Palo Alto content and threat protection with Zscaler.</w:t>
      </w:r>
      <w:r>
        <w:t xml:space="preserve"> The Palo Alto policy was built from the original proxy configuration. The Zscaler policy is the active, broadly applied one that the business is upgrading and managing today. The Palo Alto content and threat-protection policies need to be expanded to match it.</w:t>
      </w:r>
    </w:p>
    <w:p>
      <w:pPr>
        <w:pStyle w:val="Heading2"/>
      </w:pPr>
      <w:r>
        <w:t xml:space="preserve">Bottom line</w:t>
      </w:r>
    </w:p>
    <w:p>
      <w:pPr>
        <w:pStyle w:val="FirstParagraph"/>
      </w:pPr>
      <w:r>
        <w:t xml:space="preserve">None of this is a platform limitation — Palo Alto can do all of it. What’s missing is the configuration work and the license purchase.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Palo Alto Security Policy — Leadership Summary</dc:title>
  <dc:creator/>
  <cp:keywords/>
  <dcterms:created xsi:type="dcterms:W3CDTF">2026-10-01T01:52:38Z</dcterms:created>
  <dcterms:modified xsi:type="dcterms:W3CDTF">2026-10-01T01:52:38Z</dcterms:modified>
</cp:coreProperties>
</file>

<file path=docProps/custom.xml><?xml version="1.0" encoding="utf-8"?>
<Properties xmlns="http://schemas.openxmlformats.org/officeDocument/2006/custom-properties" xmlns:vt="http://schemas.openxmlformats.org/officeDocument/2006/docPropsVTypes"/>
</file>