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echnical_appendices_governed_exp_bdc05f"/>
      <w:r>
        <w:rPr>
          <w:b/>
          <w:sz w:val="56"/>
        </w:rPr>
        <w:t xml:space="preserve">Technical Appendices: Governed Exposure Infrastructure</w:t>
      </w:r>
      <w:bookmarkEnd w:id="0"/>
    </w:p>
    <w:p>
      <w:pPr>
        <w:spacing w:line="271" w:before="240" w:lineRule="auto"/>
      </w:pPr>
      <w:bookmarkStart w:id="1" w:name="appendix_a_structural_isolation_f_c44483"/>
      <w:r>
        <w:rPr>
          <w:rFonts w:eastAsia="Georgia" w:cs="Georgia" w:ascii="Georgia" w:hAnsi="Georgia"/>
          <w:b/>
          <w:sz w:val="42"/>
        </w:rPr>
        <w:t xml:space="preserve">Appendix A – Structural Isolation: Failure Modes and Functional Invariants</w:t>
      </w:r>
      <w:bookmarkEnd w:id="1"/>
    </w:p>
    <w:p>
      <w:pPr>
        <w:spacing w:line="271" w:before="240" w:lineRule="auto"/>
      </w:pPr>
      <w:bookmarkStart w:id="2" w:name="a_1_why_flat_segmentation_fails_at_scale"/>
      <w:r>
        <w:rPr>
          <w:b/>
          <w:sz w:val="33"/>
        </w:rPr>
        <w:t xml:space="preserve">A.1 Why Flat Segmentation Fails at Scale</w:t>
      </w:r>
      <w:bookmarkEnd w:id="2"/>
    </w:p>
    <w:p>
      <w:pPr>
        <w:spacing w:after="210" w:lineRule="auto"/>
      </w:pPr>
      <w:r>
        <w:rPr/>
        <w:t xml:space="preserve">Traditional enterprise network design assumes shared adjacency with segmentation enforced through policy. VLANs, VRFs, firewall rule sets, and ACLs are layered over a common routing substrate. In small-scale environments, this model is manageable. At enterprise scale with dozens or hundreds of third-party integrations, it becomes structurally fragile.</w:t>
      </w:r>
    </w:p>
    <w:p>
      <w:pPr>
        <w:spacing w:after="210" w:lineRule="auto"/>
      </w:pPr>
      <w:r>
        <w:rPr/>
        <w:t xml:space="preserve">Flat adjacency architectures fail for three primary reasons:</w:t>
      </w:r>
    </w:p>
    <w:p>
      <w:pPr>
        <w:spacing w:after="210" w:lineRule="auto"/>
      </w:pPr>
      <w:r>
        <w:rPr>
          <w:b/>
        </w:rPr>
        <w:t xml:space="preserve">Policy Complexity Grows Faster Than Assurance</w:t>
      </w:r>
    </w:p>
    <w:p>
      <w:pPr>
        <w:spacing w:after="210" w:lineRule="auto"/>
      </w:pPr>
      <w:r>
        <w:rPr/>
        <w:t xml:space="preserve">Each new integration adds rules. Each exception adds conditional logic. Over time, firewall policies become asymmetric, overlapping, and difficult to reason about. Assurance becomes dependent on configuration review rather than architectural containment.</w:t>
      </w:r>
    </w:p>
    <w:p>
      <w:pPr>
        <w:spacing w:after="210" w:lineRule="auto"/>
      </w:pPr>
      <w:r>
        <w:rPr>
          <w:b/>
        </w:rPr>
        <w:t xml:space="preserve">Route Inheritance Becomes Implicit</w:t>
      </w:r>
    </w:p>
    <w:p>
      <w:pPr>
        <w:spacing w:after="210" w:lineRule="auto"/>
      </w:pPr>
      <w:r>
        <w:rPr/>
        <w:t xml:space="preserve">When routing domains are shared, route import/export rules become a source of adjacency leakage. Even minor configuration drift can introduce unintended reachability.</w:t>
      </w:r>
    </w:p>
    <w:p>
      <w:pPr>
        <w:spacing w:after="210" w:lineRule="auto"/>
      </w:pPr>
      <w:r>
        <w:rPr>
          <w:b/>
        </w:rPr>
        <w:t xml:space="preserve">Blast Radius Expands With Density</w:t>
      </w:r>
    </w:p>
    <w:p>
      <w:pPr>
        <w:spacing w:after="210" w:lineRule="auto"/>
      </w:pPr>
      <w:r>
        <w:rPr/>
        <w:t xml:space="preserve">When tenants coexist within shared adjacency domains, compromise of one tenant can potentially expose lateral paths into others, especially where shared inspection or routing planes exist.</w:t>
      </w:r>
    </w:p>
    <w:p>
      <w:pPr>
        <w:spacing w:after="210" w:lineRule="auto"/>
      </w:pPr>
      <w:r>
        <w:rPr/>
        <w:t xml:space="preserve">The core issue is this: segmentation implemented through filtering over shared adjacency is probabilistic at scale.</w:t>
      </w:r>
    </w:p>
    <w:p>
      <w:pPr>
        <w:spacing w:after="210" w:lineRule="auto"/>
      </w:pPr>
      <w:r>
        <w:rPr>
          <w:b/>
        </w:rPr>
        <w:t xml:space="preserve">Structural containment must replace policy-dependent separation.</w:t>
      </w:r>
    </w:p>
    <w:p>
      <w:pPr>
        <w:spacing w:line="271" w:before="240" w:lineRule="auto"/>
      </w:pPr>
      <w:bookmarkStart w:id="3" w:name="a_2_structural_isolation_as_an_ar_3ce645"/>
      <w:r>
        <w:rPr>
          <w:b/>
          <w:sz w:val="33"/>
        </w:rPr>
        <w:t xml:space="preserve">A.2 Structural Isolation as an Architectural Invariant</w:t>
      </w:r>
      <w:bookmarkEnd w:id="3"/>
    </w:p>
    <w:p>
      <w:pPr>
        <w:spacing w:after="210" w:lineRule="auto"/>
      </w:pPr>
      <w:r>
        <w:rPr/>
        <w:t xml:space="preserve">Structural isolation requires that:</w:t>
      </w:r>
    </w:p>
    <w:p>
      <w:pPr>
        <w:numPr>
          <w:ilvl w:val="0"/>
          <w:numId w:val="1"/>
        </w:numPr>
        <w:spacing w:lineRule="auto"/>
      </w:pPr>
      <w:r>
        <w:rPr/>
        <w:t xml:space="preserve">Each Tenant exists within a discrete forwarding and routing context</w:t>
      </w:r>
    </w:p>
    <w:p>
      <w:pPr>
        <w:numPr>
          <w:ilvl w:val="0"/>
          <w:numId w:val="1"/>
        </w:numPr>
        <w:spacing w:lineRule="auto"/>
      </w:pPr>
      <w:r>
        <w:rPr/>
        <w:t xml:space="preserve">No Tenant inherits adjacency to another by default</w:t>
      </w:r>
    </w:p>
    <w:p>
      <w:pPr>
        <w:numPr>
          <w:ilvl w:val="0"/>
          <w:numId w:val="1"/>
        </w:numPr>
        <w:spacing w:lineRule="auto"/>
      </w:pPr>
      <w:r>
        <w:rPr/>
        <w:t xml:space="preserve">Internal enterprise networks are not reachable without explicit mediation constructs</w:t>
      </w:r>
    </w:p>
    <w:p>
      <w:pPr>
        <w:numPr>
          <w:ilvl w:val="0"/>
          <w:numId w:val="1"/>
        </w:numPr>
        <w:spacing w:lineRule="auto"/>
      </w:pPr>
      <w:r>
        <w:rPr/>
        <w:t xml:space="preserve">Route propagation boundaries are deterministic and constrained</w:t>
      </w:r>
    </w:p>
    <w:p>
      <w:pPr>
        <w:spacing w:after="210" w:lineRule="auto"/>
      </w:pPr>
      <w:r>
        <w:rPr/>
        <w:t xml:space="preserve">The isolation invariant can be stated precisely:</w:t>
      </w:r>
    </w:p>
    <w:p>
      <w:pPr>
        <w:spacing w:after="210" w:lineRule="auto"/>
      </w:pPr>
      <w:r>
        <w:rPr>
          <w:i/>
        </w:rPr>
        <w:t xml:space="preserve">If no mediation construct exists between Tenant A and Tenant B, then no packet originating in A can reach B.</w:t>
      </w:r>
    </w:p>
    <w:p>
      <w:pPr>
        <w:spacing w:after="210" w:lineRule="auto"/>
      </w:pPr>
      <w:r>
        <w:rPr/>
        <w:t xml:space="preserve">This must hold regardless of:</w:t>
      </w:r>
    </w:p>
    <w:p>
      <w:pPr>
        <w:numPr>
          <w:ilvl w:val="0"/>
          <w:numId w:val="2"/>
        </w:numPr>
        <w:spacing w:lineRule="auto"/>
      </w:pPr>
      <w:r>
        <w:rPr/>
        <w:t xml:space="preserve">Number of tenants</w:t>
      </w:r>
    </w:p>
    <w:p>
      <w:pPr>
        <w:numPr>
          <w:ilvl w:val="0"/>
          <w:numId w:val="2"/>
        </w:numPr>
        <w:spacing w:lineRule="auto"/>
      </w:pPr>
      <w:r>
        <w:rPr/>
        <w:t xml:space="preserve">Policy volume</w:t>
      </w:r>
    </w:p>
    <w:p>
      <w:pPr>
        <w:numPr>
          <w:ilvl w:val="0"/>
          <w:numId w:val="2"/>
        </w:numPr>
        <w:spacing w:lineRule="auto"/>
      </w:pPr>
      <w:r>
        <w:rPr/>
        <w:t xml:space="preserve">Operator variability</w:t>
      </w:r>
    </w:p>
    <w:p>
      <w:pPr>
        <w:numPr>
          <w:ilvl w:val="0"/>
          <w:numId w:val="2"/>
        </w:numPr>
        <w:spacing w:lineRule="auto"/>
      </w:pPr>
      <w:r>
        <w:rPr/>
        <w:t xml:space="preserve">Routing table scale</w:t>
      </w:r>
    </w:p>
    <w:p>
      <w:pPr>
        <w:spacing w:after="210" w:lineRule="auto"/>
      </w:pPr>
      <w:r>
        <w:rPr/>
        <w:t xml:space="preserve">Isolation must be topology-enforced, not policy-hoped.</w:t>
      </w:r>
    </w:p>
    <w:p>
      <w:pPr>
        <w:spacing w:line="271" w:before="240" w:lineRule="auto"/>
      </w:pPr>
      <w:bookmarkStart w:id="4" w:name="a_3_implementation_requirements"/>
      <w:r>
        <w:rPr>
          <w:b/>
          <w:sz w:val="33"/>
        </w:rPr>
        <w:t xml:space="preserve">A.3 Implementation Requirements</w:t>
      </w:r>
      <w:bookmarkEnd w:id="4"/>
    </w:p>
    <w:p>
      <w:pPr>
        <w:spacing w:after="210" w:lineRule="auto"/>
      </w:pPr>
      <w:r>
        <w:rPr/>
        <w:t xml:space="preserve">An implementation delivers structural isolation through:</w:t>
      </w:r>
    </w:p>
    <w:p>
      <w:pPr>
        <w:spacing w:after="210" w:lineRule="auto"/>
      </w:pPr>
      <w:r>
        <w:rPr>
          <w:b/>
        </w:rPr>
        <w:t xml:space="preserve">Per-Tenant Routing Domains</w:t>
      </w:r>
    </w:p>
    <w:p>
      <w:pPr>
        <w:spacing w:after="210" w:lineRule="auto"/>
      </w:pPr>
      <w:r>
        <w:rPr/>
        <w:t xml:space="preserve">Each tenant operates within an isolated routing context analogous to VRF or network namespace constructs. No routing information is shared between tenant contexts by default.</w:t>
      </w:r>
    </w:p>
    <w:p>
      <w:pPr>
        <w:spacing w:after="210" w:lineRule="auto"/>
      </w:pPr>
      <w:r>
        <w:rPr>
          <w:b/>
        </w:rPr>
        <w:t xml:space="preserve">Per-Tenant Forwarding Contexts</w:t>
      </w:r>
    </w:p>
    <w:p>
      <w:pPr>
        <w:spacing w:after="210" w:lineRule="auto"/>
      </w:pPr>
      <w:r>
        <w:rPr/>
        <w:t xml:space="preserve">Forwarding decisions occur within tenant-scoped tables. Packets cannot traverse from one tenant context to another without explicit mediation.</w:t>
      </w:r>
    </w:p>
    <w:p>
      <w:pPr>
        <w:spacing w:after="210" w:lineRule="auto"/>
      </w:pPr>
      <w:r>
        <w:rPr>
          <w:b/>
        </w:rPr>
        <w:t xml:space="preserve">Tenant-Specific IP Addressing Domains</w:t>
      </w:r>
    </w:p>
    <w:p>
      <w:pPr>
        <w:spacing w:after="210" w:lineRule="auto"/>
      </w:pPr>
      <w:r>
        <w:rPr/>
        <w:t xml:space="preserve">Address space may overlap between tenants without conflict because forwarding contexts are isolated.</w:t>
      </w:r>
    </w:p>
    <w:p>
      <w:pPr>
        <w:spacing w:after="210" w:lineRule="auto"/>
      </w:pPr>
      <w:r>
        <w:rPr>
          <w:b/>
        </w:rPr>
        <w:t xml:space="preserve">Tenant-Specific Enforcement Chains</w:t>
      </w:r>
    </w:p>
    <w:p>
      <w:pPr>
        <w:spacing w:after="210" w:lineRule="auto"/>
      </w:pPr>
      <w:r>
        <w:rPr/>
        <w:t xml:space="preserve">Security policy, filtering, and mediation constructs are instantiated per tenant and cannot be inadvertently shared.</w:t>
      </w:r>
    </w:p>
    <w:p>
      <w:pPr>
        <w:spacing w:line="271" w:before="240" w:lineRule="auto"/>
      </w:pPr>
      <w:bookmarkStart w:id="5" w:name="a_4_validation_criteria"/>
      <w:r>
        <w:rPr>
          <w:b/>
          <w:sz w:val="33"/>
        </w:rPr>
        <w:t xml:space="preserve">A.4 Validation Criteria</w:t>
      </w:r>
      <w:bookmarkEnd w:id="5"/>
    </w:p>
    <w:p>
      <w:pPr>
        <w:spacing w:after="210" w:lineRule="auto"/>
      </w:pPr>
      <w:r>
        <w:rPr/>
        <w:t xml:space="preserve">An implementation satisfies structural isolation if:</w:t>
      </w:r>
    </w:p>
    <w:p>
      <w:pPr>
        <w:numPr>
          <w:ilvl w:val="0"/>
          <w:numId w:val="3"/>
        </w:numPr>
        <w:spacing w:lineRule="auto"/>
      </w:pPr>
      <w:r>
        <w:rPr/>
        <w:t xml:space="preserve">Removal of mediation constructs immediately eliminates reachability</w:t>
      </w:r>
    </w:p>
    <w:p>
      <w:pPr>
        <w:numPr>
          <w:ilvl w:val="0"/>
          <w:numId w:val="3"/>
        </w:numPr>
        <w:spacing w:lineRule="auto"/>
      </w:pPr>
      <w:r>
        <w:rPr/>
        <w:t xml:space="preserve">No shared routing context exists where tenants can observe each other's routes</w:t>
      </w:r>
    </w:p>
    <w:p>
      <w:pPr>
        <w:numPr>
          <w:ilvl w:val="0"/>
          <w:numId w:val="3"/>
        </w:numPr>
        <w:spacing w:lineRule="auto"/>
      </w:pPr>
      <w:r>
        <w:rPr/>
        <w:t xml:space="preserve">Administrative error in one tenant cannot introduce adjacency to another</w:t>
      </w:r>
    </w:p>
    <w:p>
      <w:pPr>
        <w:numPr>
          <w:ilvl w:val="0"/>
          <w:numId w:val="3"/>
        </w:numPr>
        <w:spacing w:lineRule="auto"/>
      </w:pPr>
      <w:r>
        <w:rPr/>
        <w:t xml:space="preserve">Packet capture within one tenant cannot observe traffic belonging to another</w:t>
      </w:r>
    </w:p>
    <w:p>
      <w:pPr>
        <w:spacing w:after="210" w:lineRule="auto"/>
      </w:pPr>
      <w:r>
        <w:rPr>
          <w:b/>
        </w:rPr>
        <w:t xml:space="preserve">Structural containment is the foundation upon which all other capabilities depend.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appendix_b_transport_encryption_w_b5290f"/>
      <w:r>
        <w:rPr>
          <w:rFonts w:eastAsia="Georgia" w:cs="Georgia" w:ascii="Georgia" w:hAnsi="Georgia"/>
          <w:b/>
          <w:sz w:val="42"/>
        </w:rPr>
        <w:t xml:space="preserve">Appendix B – Transport: Encryption Without Trust Expansion</w:t>
      </w:r>
      <w:bookmarkEnd w:id="6"/>
    </w:p>
    <w:p>
      <w:pPr>
        <w:spacing w:line="271" w:before="240" w:lineRule="auto"/>
      </w:pPr>
      <w:bookmarkStart w:id="7" w:name="b_1_the_conflation_problem"/>
      <w:r>
        <w:rPr>
          <w:b/>
          <w:sz w:val="33"/>
        </w:rPr>
        <w:t xml:space="preserve">B.1 The Conflation Problem</w:t>
      </w:r>
      <w:bookmarkEnd w:id="7"/>
    </w:p>
    <w:p>
      <w:pPr>
        <w:spacing w:after="210" w:lineRule="auto"/>
      </w:pPr>
      <w:r>
        <w:rPr/>
        <w:t xml:space="preserve">Historically, enterprises equated secure tunnels with secure exposure. An IPsec tunnel or VPN connection was treated as sufficient proof of control. In practice, tunnels become durable routing conduits. Over time:</w:t>
      </w:r>
    </w:p>
    <w:p>
      <w:pPr>
        <w:numPr>
          <w:ilvl w:val="0"/>
          <w:numId w:val="4"/>
        </w:numPr>
        <w:spacing w:lineRule="auto"/>
      </w:pPr>
      <w:r>
        <w:rPr/>
        <w:t xml:space="preserve">Additional routes are advertised</w:t>
      </w:r>
    </w:p>
    <w:p>
      <w:pPr>
        <w:numPr>
          <w:ilvl w:val="0"/>
          <w:numId w:val="4"/>
        </w:numPr>
        <w:spacing w:lineRule="auto"/>
      </w:pPr>
      <w:r>
        <w:rPr/>
        <w:t xml:space="preserve">Additional firewall exceptions are granted</w:t>
      </w:r>
    </w:p>
    <w:p>
      <w:pPr>
        <w:numPr>
          <w:ilvl w:val="0"/>
          <w:numId w:val="4"/>
        </w:numPr>
        <w:spacing w:lineRule="auto"/>
      </w:pPr>
      <w:r>
        <w:rPr/>
        <w:t xml:space="preserve">Scope drifts incrementally</w:t>
      </w:r>
    </w:p>
    <w:p>
      <w:pPr>
        <w:spacing w:after="210" w:lineRule="auto"/>
      </w:pPr>
      <w:r>
        <w:rPr/>
        <w:t xml:space="preserve">Encryption protects data in transit. It does not constrain reachability.</w:t>
      </w:r>
    </w:p>
    <w:p>
      <w:pPr>
        <w:spacing w:after="210" w:lineRule="auto"/>
      </w:pPr>
      <w:r>
        <w:rPr/>
        <w:t xml:space="preserve">When transport and authorization are conflated, scope expands without architectural review.</w:t>
      </w:r>
    </w:p>
    <w:p>
      <w:pPr>
        <w:spacing w:line="271" w:before="240" w:lineRule="auto"/>
      </w:pPr>
      <w:bookmarkStart w:id="8" w:name="b_2_transport_as_a_subordinate_ca_6c3e39"/>
      <w:r>
        <w:rPr>
          <w:b/>
          <w:sz w:val="33"/>
        </w:rPr>
        <w:t xml:space="preserve">B.2 Transport as a Subordinate Capability</w:t>
      </w:r>
      <w:bookmarkEnd w:id="8"/>
    </w:p>
    <w:p>
      <w:pPr>
        <w:spacing w:after="210" w:lineRule="auto"/>
      </w:pPr>
      <w:r>
        <w:rPr/>
        <w:t xml:space="preserve">In the governed exposure model:</w:t>
      </w:r>
    </w:p>
    <w:p>
      <w:pPr>
        <w:numPr>
          <w:ilvl w:val="0"/>
          <w:numId w:val="5"/>
        </w:numPr>
        <w:spacing w:lineRule="auto"/>
      </w:pPr>
      <w:r>
        <w:rPr/>
        <w:t xml:space="preserve">Transport is bound to Tenant context</w:t>
      </w:r>
    </w:p>
    <w:p>
      <w:pPr>
        <w:numPr>
          <w:ilvl w:val="0"/>
          <w:numId w:val="5"/>
        </w:numPr>
        <w:spacing w:lineRule="auto"/>
      </w:pPr>
      <w:r>
        <w:rPr/>
        <w:t xml:space="preserve">Route advertisement is constrained to declared service endpoints</w:t>
      </w:r>
    </w:p>
    <w:p>
      <w:pPr>
        <w:numPr>
          <w:ilvl w:val="0"/>
          <w:numId w:val="5"/>
        </w:numPr>
        <w:spacing w:lineRule="auto"/>
      </w:pPr>
      <w:r>
        <w:rPr/>
        <w:t xml:space="preserve">Transport establishment does not automatically populate routing tables</w:t>
      </w:r>
    </w:p>
    <w:p>
      <w:pPr>
        <w:numPr>
          <w:ilvl w:val="0"/>
          <w:numId w:val="5"/>
        </w:numPr>
        <w:spacing w:lineRule="auto"/>
      </w:pPr>
      <w:r>
        <w:rPr/>
        <w:t xml:space="preserve">Tunnel teardown removes adjacency completely</w:t>
      </w:r>
    </w:p>
    <w:p>
      <w:pPr>
        <w:spacing w:after="210" w:lineRule="auto"/>
      </w:pPr>
      <w:r>
        <w:rPr/>
        <w:t xml:space="preserve">The invariant is:</w:t>
      </w:r>
    </w:p>
    <w:p>
      <w:pPr>
        <w:spacing w:after="210" w:lineRule="auto"/>
      </w:pPr>
      <w:r>
        <w:rPr>
          <w:i/>
        </w:rPr>
        <w:t xml:space="preserve">Transport enables communication but does not define what is reachable. Authorization is defined exclusively by mediation constructs.</w:t>
      </w:r>
    </w:p>
    <w:p>
      <w:pPr>
        <w:spacing w:line="271" w:before="240" w:lineRule="auto"/>
      </w:pPr>
      <w:bookmarkStart w:id="9" w:name="b_3_implementation_requirements"/>
      <w:r>
        <w:rPr>
          <w:b/>
          <w:sz w:val="33"/>
        </w:rPr>
        <w:t xml:space="preserve">B.3 Implementation Requirements</w:t>
      </w:r>
      <w:bookmarkEnd w:id="9"/>
    </w:p>
    <w:p>
      <w:pPr>
        <w:spacing w:after="210" w:lineRule="auto"/>
      </w:pPr>
      <w:r>
        <w:rPr>
          <w:b/>
        </w:rPr>
        <w:t xml:space="preserve">Tenant-Bound Encrypted Tunnels</w:t>
      </w:r>
    </w:p>
    <w:p>
      <w:pPr>
        <w:spacing w:after="210" w:lineRule="auto"/>
      </w:pPr>
      <w:r>
        <w:rPr/>
        <w:t xml:space="preserve">Secure transport mechanisms (IPsec, WireGuard, TLS-based tunnels) are instantiated within tenant routing contexts. Each tunnel terminates into its associated tenant domain and does not provide adjacency to other tenants or core networks by default.</w:t>
      </w:r>
    </w:p>
    <w:p>
      <w:pPr>
        <w:spacing w:after="210" w:lineRule="auto"/>
      </w:pPr>
      <w:r>
        <w:rPr/>
        <w:t xml:space="preserve">Transport establishment is bound to tenant lifecycle: tunnels are provisioned as part of tenant instantiation and removed during tenant teardown.</w:t>
      </w:r>
    </w:p>
    <w:p>
      <w:pPr>
        <w:spacing w:after="210" w:lineRule="auto"/>
      </w:pPr>
      <w:r>
        <w:rPr>
          <w:b/>
        </w:rPr>
        <w:t xml:space="preserve">Route-Based Tunnel Interfaces</w:t>
      </w:r>
    </w:p>
    <w:p>
      <w:pPr>
        <w:spacing w:after="210" w:lineRule="auto"/>
      </w:pPr>
      <w:r>
        <w:rPr/>
        <w:t xml:space="preserve">Transport tunnels are implemented as routable interfaces (VTI, WireGuard interface) rather than policy-based encryption selectors. This approach:</w:t>
      </w:r>
    </w:p>
    <w:p>
      <w:pPr>
        <w:numPr>
          <w:ilvl w:val="0"/>
          <w:numId w:val="6"/>
        </w:numPr>
        <w:spacing w:lineRule="auto"/>
      </w:pPr>
      <w:r>
        <w:rPr/>
        <w:t xml:space="preserve">Simplifies integration with routing protocols (BGP, OSPF) for dynamic reachability</w:t>
      </w:r>
    </w:p>
    <w:p>
      <w:pPr>
        <w:numPr>
          <w:ilvl w:val="0"/>
          <w:numId w:val="6"/>
        </w:numPr>
        <w:spacing w:lineRule="auto"/>
      </w:pPr>
      <w:r>
        <w:rPr/>
        <w:t xml:space="preserve">Enables consistent traffic engineering and path control</w:t>
      </w:r>
    </w:p>
    <w:p>
      <w:pPr>
        <w:numPr>
          <w:ilvl w:val="0"/>
          <w:numId w:val="6"/>
        </w:numPr>
        <w:spacing w:lineRule="auto"/>
      </w:pPr>
      <w:r>
        <w:rPr/>
        <w:t xml:space="preserve">Supports multi-vendor interoperability (Cisco IOS, Arista EOS, strongSwan, etc.)</w:t>
      </w:r>
    </w:p>
    <w:p>
      <w:pPr>
        <w:numPr>
          <w:ilvl w:val="0"/>
          <w:numId w:val="6"/>
        </w:numPr>
        <w:spacing w:lineRule="auto"/>
      </w:pPr>
      <w:r>
        <w:rPr/>
        <w:t xml:space="preserve">Allows deterministic interface-level lifecycle management</w:t>
      </w:r>
    </w:p>
    <w:p>
      <w:pPr>
        <w:spacing w:after="210" w:lineRule="auto"/>
      </w:pPr>
      <w:r>
        <w:rPr/>
        <w:t xml:space="preserve">Route-based tunnels become first-class routing constructs within tenant contexts, while remaining isolated from other tenants and the core network.</w:t>
      </w:r>
    </w:p>
    <w:p>
      <w:pPr>
        <w:spacing w:after="210" w:lineRule="auto"/>
      </w:pPr>
      <w:r>
        <w:rPr>
          <w:b/>
        </w:rPr>
        <w:t xml:space="preserve">Route Filtering at Tunnel Boundaries</w:t>
      </w:r>
    </w:p>
    <w:p>
      <w:pPr>
        <w:spacing w:after="210" w:lineRule="auto"/>
      </w:pPr>
      <w:r>
        <w:rPr/>
        <w:t xml:space="preserve">Only explicitly declared prefixes are permitted for advertisement across tunnel endpoints. Route acceptance is controlled by allow-lists tied to service declarations.</w:t>
      </w:r>
    </w:p>
    <w:p>
      <w:pPr>
        <w:spacing w:after="210" w:lineRule="auto"/>
      </w:pPr>
      <w:r>
        <w:rPr/>
        <w:t xml:space="preserve">Dynamic routing protocols (BGP) exchange reachability information across tunnel interfaces, but prefix filters enforce that only tenant-declared service endpoints are accepted. This prevents unauthorized route propagation and adjacency expansion.</w:t>
      </w:r>
    </w:p>
    <w:p>
      <w:pPr>
        <w:spacing w:after="210" w:lineRule="auto"/>
      </w:pPr>
      <w:r>
        <w:rPr>
          <w:b/>
        </w:rPr>
        <w:t xml:space="preserve">No Automatic Route Import to Core or Cross-Tenant</w:t>
      </w:r>
    </w:p>
    <w:p>
      <w:pPr>
        <w:spacing w:after="210" w:lineRule="auto"/>
      </w:pPr>
      <w:r>
        <w:rPr/>
        <w:t xml:space="preserve">Tunnel establishment does not trigger automatic route propagation into core routing tables or other tenant contexts. Tenant routing domains remain isolated; connectivity to internal applications is mediated, not routed.</w:t>
      </w:r>
    </w:p>
    <w:p>
      <w:pPr>
        <w:spacing w:after="210" w:lineRule="auto"/>
      </w:pPr>
      <w:r>
        <w:rPr>
          <w:b/>
        </w:rPr>
        <w:t xml:space="preserve">Deterministic Teardown</w:t>
      </w:r>
    </w:p>
    <w:p>
      <w:pPr>
        <w:spacing w:after="210" w:lineRule="auto"/>
      </w:pPr>
      <w:r>
        <w:rPr/>
        <w:t xml:space="preserve">Removal of transport constructs eliminates all associated routing state without leaving residual adjacency. Tunnel deletion triggers:</w:t>
      </w:r>
    </w:p>
    <w:p>
      <w:pPr>
        <w:numPr>
          <w:ilvl w:val="0"/>
          <w:numId w:val="7"/>
        </w:numPr>
        <w:spacing w:lineRule="auto"/>
      </w:pPr>
      <w:r>
        <w:rPr/>
        <w:t xml:space="preserve">Removal of tunnel interface from tenant routing context</w:t>
      </w:r>
    </w:p>
    <w:p>
      <w:pPr>
        <w:numPr>
          <w:ilvl w:val="0"/>
          <w:numId w:val="7"/>
        </w:numPr>
        <w:spacing w:lineRule="auto"/>
      </w:pPr>
      <w:r>
        <w:rPr/>
        <w:t xml:space="preserve">Withdrawal of all routes learned via that tunnel</w:t>
      </w:r>
    </w:p>
    <w:p>
      <w:pPr>
        <w:numPr>
          <w:ilvl w:val="0"/>
          <w:numId w:val="7"/>
        </w:numPr>
        <w:spacing w:lineRule="auto"/>
      </w:pPr>
      <w:r>
        <w:rPr/>
        <w:t xml:space="preserve">Cleanup of associated forwarding state and session tables</w:t>
      </w:r>
    </w:p>
    <w:p>
      <w:pPr>
        <w:spacing w:line="271" w:before="240" w:lineRule="auto"/>
      </w:pPr>
      <w:bookmarkStart w:id="10" w:name="b_4_failure_modes_prevented"/>
      <w:r>
        <w:rPr>
          <w:b/>
          <w:sz w:val="33"/>
        </w:rPr>
        <w:t xml:space="preserve">B.4 Failure Modes Prevented</w:t>
      </w:r>
      <w:bookmarkEnd w:id="10"/>
    </w:p>
    <w:p>
      <w:pPr>
        <w:spacing w:after="210" w:lineRule="auto"/>
      </w:pPr>
      <w:r>
        <w:rPr/>
        <w:t xml:space="preserve">By decoupling transport from scope:</w:t>
      </w:r>
    </w:p>
    <w:p>
      <w:pPr>
        <w:numPr>
          <w:ilvl w:val="0"/>
          <w:numId w:val="8"/>
        </w:numPr>
        <w:spacing w:lineRule="auto"/>
      </w:pPr>
      <w:r>
        <w:rPr/>
        <w:t xml:space="preserve">Unauthorized route expansion is prevented</w:t>
      </w:r>
    </w:p>
    <w:p>
      <w:pPr>
        <w:numPr>
          <w:ilvl w:val="0"/>
          <w:numId w:val="8"/>
        </w:numPr>
        <w:spacing w:lineRule="auto"/>
      </w:pPr>
      <w:r>
        <w:rPr/>
        <w:t xml:space="preserve">Encryption cannot silently expand adjacency</w:t>
      </w:r>
    </w:p>
    <w:p>
      <w:pPr>
        <w:numPr>
          <w:ilvl w:val="0"/>
          <w:numId w:val="8"/>
        </w:numPr>
        <w:spacing w:lineRule="auto"/>
      </w:pPr>
      <w:r>
        <w:rPr/>
        <w:t xml:space="preserve">Tunnel reuse across tenants is disallowed</w:t>
      </w:r>
    </w:p>
    <w:p>
      <w:pPr>
        <w:numPr>
          <w:ilvl w:val="0"/>
          <w:numId w:val="8"/>
        </w:numPr>
        <w:spacing w:lineRule="auto"/>
      </w:pPr>
      <w:r>
        <w:rPr/>
        <w:t xml:space="preserve">Residual routing state cannot persist after teardown</w:t>
      </w:r>
    </w:p>
    <w:p>
      <w:pPr>
        <w:spacing w:line="271" w:before="240" w:lineRule="auto"/>
      </w:pPr>
      <w:bookmarkStart w:id="11" w:name="b_5_validation_criteria"/>
      <w:r>
        <w:rPr>
          <w:b/>
          <w:sz w:val="33"/>
        </w:rPr>
        <w:t xml:space="preserve">B.5 Validation Criteria</w:t>
      </w:r>
      <w:bookmarkEnd w:id="11"/>
    </w:p>
    <w:p>
      <w:pPr>
        <w:spacing w:after="210" w:lineRule="auto"/>
      </w:pPr>
      <w:r>
        <w:rPr/>
        <w:t xml:space="preserve">An implementation satisfies transport discipline if:</w:t>
      </w:r>
    </w:p>
    <w:p>
      <w:pPr>
        <w:numPr>
          <w:ilvl w:val="0"/>
          <w:numId w:val="9"/>
        </w:numPr>
        <w:spacing w:lineRule="auto"/>
      </w:pPr>
      <w:r>
        <w:rPr/>
        <w:t xml:space="preserve">Establishing transport alone does not produce end-to-end reachability to internal applications</w:t>
      </w:r>
    </w:p>
    <w:p>
      <w:pPr>
        <w:numPr>
          <w:ilvl w:val="0"/>
          <w:numId w:val="9"/>
        </w:numPr>
        <w:spacing w:lineRule="auto"/>
      </w:pPr>
      <w:r>
        <w:rPr/>
        <w:t xml:space="preserve">Declared endpoints are enforced at routing boundaries via prefix filters</w:t>
      </w:r>
    </w:p>
    <w:p>
      <w:pPr>
        <w:numPr>
          <w:ilvl w:val="0"/>
          <w:numId w:val="9"/>
        </w:numPr>
        <w:spacing w:lineRule="auto"/>
      </w:pPr>
      <w:r>
        <w:rPr/>
        <w:t xml:space="preserve">Removal of transport eliminates adjacency deterministically and completely</w:t>
      </w:r>
    </w:p>
    <w:p>
      <w:pPr>
        <w:numPr>
          <w:ilvl w:val="0"/>
          <w:numId w:val="9"/>
        </w:numPr>
        <w:spacing w:lineRule="auto"/>
      </w:pPr>
      <w:r>
        <w:rPr/>
        <w:t xml:space="preserve">Route advertisements are filtered to allow-listed prefixes tied to service catalog declarations</w:t>
      </w:r>
    </w:p>
    <w:p>
      <w:pPr>
        <w:numPr>
          <w:ilvl w:val="0"/>
          <w:numId w:val="9"/>
        </w:numPr>
        <w:spacing w:lineRule="auto"/>
      </w:pPr>
      <w:r>
        <w:rPr/>
        <w:t xml:space="preserve">Route-based tunnel interfaces integrate with tenant routing protocols without leaking routes to other contexts</w:t>
      </w:r>
    </w:p>
    <w:p>
      <w:pPr>
        <w:numPr>
          <w:ilvl w:val="0"/>
          <w:numId w:val="9"/>
        </w:numPr>
        <w:spacing w:lineRule="auto"/>
      </w:pPr>
      <w:r>
        <w:rPr/>
        <w:t xml:space="preserve">Multi-vendor interoperability is maintained without compromising isolation or mediation requirements</w:t>
      </w:r>
    </w:p>
    <w:p>
      <w:pPr>
        <w:spacing w:line="271" w:before="240" w:lineRule="auto"/>
      </w:pPr>
      <w:bookmarkStart w:id="12" w:name="b_6_relationship_to_business_gove_4205a1"/>
      <w:r>
        <w:rPr>
          <w:b/>
          <w:sz w:val="33"/>
        </w:rPr>
        <w:t xml:space="preserve">B.6 Relationship to Business Governance Outcomes</w:t>
      </w:r>
      <w:bookmarkEnd w:id="12"/>
    </w:p>
    <w:p>
      <w:pPr>
        <w:spacing w:after="210" w:lineRule="auto"/>
      </w:pPr>
      <w:r>
        <w:rPr/>
        <w:t xml:space="preserve">Transport discipline ensures that secure connectivity does not silently expand into unmanaged trust:</w:t>
      </w:r>
    </w:p>
    <w:p>
      <w:pPr>
        <w:spacing w:after="210" w:lineRule="auto"/>
      </w:pPr>
      <w:r>
        <w:rPr>
          <w:b/>
        </w:rPr>
        <w:t xml:space="preserve">Prevents Scope Creep</w:t>
      </w:r>
    </w:p>
    <w:p>
      <w:pPr>
        <w:spacing w:after="210" w:lineRule="auto"/>
      </w:pPr>
      <w:r>
        <w:rPr/>
        <w:t xml:space="preserve">By decoupling transport establishment from application reachability, the architecture prevents incremental expansion of access without governance review. A tunnel created for Application X cannot be repurposed for Application Y without explicit catalog modification.</w:t>
      </w:r>
    </w:p>
    <w:p>
      <w:pPr>
        <w:spacing w:after="210" w:lineRule="auto"/>
      </w:pPr>
      <w:r>
        <w:rPr>
          <w:b/>
        </w:rPr>
        <w:t xml:space="preserve">Enables Safe Vendor Interoperability</w:t>
      </w:r>
    </w:p>
    <w:p>
      <w:pPr>
        <w:spacing w:after="210" w:lineRule="auto"/>
      </w:pPr>
      <w:r>
        <w:rPr/>
        <w:t xml:space="preserve">Support for route-based tunnels and multi-vendor IPsec compatibility allows enterprises to connect third-party sites regardless of their infrastructure platform, without sacrificing containment or mediation discipline.</w:t>
      </w:r>
    </w:p>
    <w:p>
      <w:pPr>
        <w:spacing w:after="210" w:lineRule="auto"/>
      </w:pPr>
      <w:r>
        <w:rPr>
          <w:b/>
        </w:rPr>
        <w:t xml:space="preserve">Aligns Connectivity to Declared Purpose</w:t>
      </w:r>
    </w:p>
    <w:p>
      <w:pPr>
        <w:spacing w:after="210" w:lineRule="auto"/>
      </w:pPr>
      <w:r>
        <w:rPr/>
        <w:t xml:space="preserve">Route filtering tied to service catalog ensures that transport infrastructure serves only the applications declared in the tenant's governance record. This alignment makes connectivity auditable and revocable in response to changing business context.</w:t>
      </w:r>
    </w:p>
    <w:p>
      <w:pPr>
        <w:spacing w:after="210" w:lineRule="auto"/>
      </w:pPr>
      <w:r>
        <w:rPr>
          <w:b/>
        </w:rPr>
        <w:t xml:space="preserve">Transport is necessary infrastructure. It must never define trust.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appendix_c_mediation_and_identity_2171c9"/>
      <w:r>
        <w:rPr>
          <w:rFonts w:eastAsia="Georgia" w:cs="Georgia" w:ascii="Georgia" w:hAnsi="Georgia"/>
          <w:b/>
          <w:sz w:val="42"/>
        </w:rPr>
        <w:t xml:space="preserve">Appendix C – Mediation and Identity: From Address Reachability to Capability Control</w:t>
      </w:r>
      <w:bookmarkEnd w:id="13"/>
    </w:p>
    <w:p>
      <w:pPr>
        <w:spacing w:line="271" w:before="240" w:lineRule="auto"/>
      </w:pPr>
      <w:bookmarkStart w:id="14" w:name="c_1_network_adjacency_as_a_coarse_36626d"/>
      <w:r>
        <w:rPr>
          <w:b/>
          <w:sz w:val="33"/>
        </w:rPr>
        <w:t xml:space="preserve">C.1 Network Adjacency as a Coarse Control Model</w:t>
      </w:r>
      <w:bookmarkEnd w:id="14"/>
    </w:p>
    <w:p>
      <w:pPr>
        <w:spacing w:after="210" w:lineRule="auto"/>
      </w:pPr>
      <w:r>
        <w:rPr/>
        <w:t xml:space="preserve">IP-based reachability is inherently broad. Once a subnet is reachable, every host within it becomes a potential interaction surface unless filtered at higher layers.</w:t>
      </w:r>
    </w:p>
    <w:p>
      <w:pPr>
        <w:spacing w:after="210" w:lineRule="auto"/>
      </w:pPr>
      <w:r>
        <w:rPr/>
        <w:t xml:space="preserve">This model fails under:</w:t>
      </w:r>
    </w:p>
    <w:p>
      <w:pPr>
        <w:numPr>
          <w:ilvl w:val="0"/>
          <w:numId w:val="10"/>
        </w:numPr>
        <w:spacing w:lineRule="auto"/>
      </w:pPr>
      <w:r>
        <w:rPr/>
        <w:t xml:space="preserve">Lateral movement scenarios</w:t>
      </w:r>
    </w:p>
    <w:p>
      <w:pPr>
        <w:numPr>
          <w:ilvl w:val="0"/>
          <w:numId w:val="10"/>
        </w:numPr>
        <w:spacing w:lineRule="auto"/>
      </w:pPr>
      <w:r>
        <w:rPr/>
        <w:t xml:space="preserve">Application sprawl within internal networks</w:t>
      </w:r>
    </w:p>
    <w:p>
      <w:pPr>
        <w:numPr>
          <w:ilvl w:val="0"/>
          <w:numId w:val="10"/>
        </w:numPr>
        <w:spacing w:lineRule="auto"/>
      </w:pPr>
      <w:r>
        <w:rPr/>
        <w:t xml:space="preserve">Vendor compromise events</w:t>
      </w:r>
    </w:p>
    <w:p>
      <w:pPr>
        <w:spacing w:after="210" w:lineRule="auto"/>
      </w:pPr>
      <w:r>
        <w:rPr>
          <w:b/>
        </w:rPr>
        <w:t xml:space="preserve">Reachability is not capability.</w:t>
      </w:r>
    </w:p>
    <w:p>
      <w:pPr>
        <w:spacing w:line="271" w:before="240" w:lineRule="auto"/>
      </w:pPr>
      <w:bookmarkStart w:id="15" w:name="c_2_mediation_as_the_enforcement_core"/>
      <w:r>
        <w:rPr>
          <w:b/>
          <w:sz w:val="33"/>
        </w:rPr>
        <w:t xml:space="preserve">C.2 Mediation as the Enforcement Core</w:t>
      </w:r>
      <w:bookmarkEnd w:id="15"/>
    </w:p>
    <w:p>
      <w:pPr>
        <w:spacing w:after="210" w:lineRule="auto"/>
      </w:pPr>
      <w:r>
        <w:rPr/>
        <w:t xml:space="preserve">All third-party interaction must traverse mediation constructs that:</w:t>
      </w:r>
    </w:p>
    <w:p>
      <w:pPr>
        <w:numPr>
          <w:ilvl w:val="0"/>
          <w:numId w:val="11"/>
        </w:numPr>
        <w:spacing w:lineRule="auto"/>
      </w:pPr>
      <w:r>
        <w:rPr/>
        <w:t xml:space="preserve">Terminate sessions or proxy connections</w:t>
      </w:r>
    </w:p>
    <w:p>
      <w:pPr>
        <w:numPr>
          <w:ilvl w:val="0"/>
          <w:numId w:val="11"/>
        </w:numPr>
        <w:spacing w:lineRule="auto"/>
      </w:pPr>
      <w:r>
        <w:rPr/>
        <w:t xml:space="preserve">Enforce explicit allow-lists</w:t>
      </w:r>
    </w:p>
    <w:p>
      <w:pPr>
        <w:numPr>
          <w:ilvl w:val="0"/>
          <w:numId w:val="11"/>
        </w:numPr>
        <w:spacing w:lineRule="auto"/>
      </w:pPr>
      <w:r>
        <w:rPr/>
        <w:t xml:space="preserve">Constrain protocol semantics</w:t>
      </w:r>
    </w:p>
    <w:p>
      <w:pPr>
        <w:numPr>
          <w:ilvl w:val="0"/>
          <w:numId w:val="11"/>
        </w:numPr>
        <w:spacing w:lineRule="auto"/>
      </w:pPr>
      <w:r>
        <w:rPr/>
        <w:t xml:space="preserve">Restrict directionality</w:t>
      </w:r>
    </w:p>
    <w:p>
      <w:pPr>
        <w:spacing w:after="210" w:lineRule="auto"/>
      </w:pPr>
      <w:r>
        <w:rPr/>
        <w:t xml:space="preserve">Mediation replaces direct routing with capability enforcement.</w:t>
      </w:r>
    </w:p>
    <w:p>
      <w:pPr>
        <w:spacing w:after="210" w:lineRule="auto"/>
      </w:pPr>
      <w:r>
        <w:rPr/>
        <w:t xml:space="preserve">The invariant:</w:t>
      </w:r>
    </w:p>
    <w:p>
      <w:pPr>
        <w:spacing w:after="210" w:lineRule="auto"/>
      </w:pPr>
      <w:r>
        <w:rPr>
          <w:i/>
        </w:rPr>
        <w:t xml:space="preserve">External actors may access only declared capabilities, not network segments.</w:t>
      </w:r>
    </w:p>
    <w:p>
      <w:pPr>
        <w:spacing w:line="271" w:before="240" w:lineRule="auto"/>
      </w:pPr>
      <w:bookmarkStart w:id="16" w:name="c_3_namespace_preservation_and_se_ce2402"/>
      <w:r>
        <w:rPr>
          <w:b/>
          <w:sz w:val="33"/>
        </w:rPr>
        <w:t xml:space="preserve">C.3 Namespace Preservation and Service Catalog Exposure</w:t>
      </w:r>
      <w:bookmarkEnd w:id="16"/>
    </w:p>
    <w:p>
      <w:pPr>
        <w:spacing w:after="210" w:lineRule="auto"/>
      </w:pPr>
      <w:r>
        <w:rPr>
          <w:b/>
        </w:rPr>
        <w:t xml:space="preserve">Namespace Preservation Through DNS Mediation</w:t>
      </w:r>
    </w:p>
    <w:p>
      <w:pPr>
        <w:spacing w:after="210" w:lineRule="auto"/>
      </w:pPr>
      <w:r>
        <w:rPr/>
        <w:t xml:space="preserve">The architecture enables third-party users to reference internal applications using the same fully qualified domain names (FQDNs) as internal users, eliminating the need for alternate naming schemes or application reconfiguration.</w:t>
      </w:r>
    </w:p>
    <w:p>
      <w:pPr>
        <w:spacing w:after="210" w:lineRule="auto"/>
      </w:pPr>
      <w:r>
        <w:rPr/>
        <w:t xml:space="preserve">This is achieved through tenant-scoped DNS resolution services that:</w:t>
      </w:r>
    </w:p>
    <w:p>
      <w:pPr>
        <w:numPr>
          <w:ilvl w:val="0"/>
          <w:numId w:val="12"/>
        </w:numPr>
        <w:spacing w:lineRule="auto"/>
      </w:pPr>
      <w:r>
        <w:rPr/>
        <w:t xml:space="preserve">Forward authoritative zone queries to upstream enterprise DNS resolvers</w:t>
      </w:r>
    </w:p>
    <w:p>
      <w:pPr>
        <w:numPr>
          <w:ilvl w:val="0"/>
          <w:numId w:val="12"/>
        </w:numPr>
        <w:spacing w:lineRule="auto"/>
      </w:pPr>
      <w:r>
        <w:rPr/>
        <w:t xml:space="preserve">Selectively rewrite resolved addresses for catalog applications to tenant-local service endpoints</w:t>
      </w:r>
    </w:p>
    <w:p>
      <w:pPr>
        <w:numPr>
          <w:ilvl w:val="0"/>
          <w:numId w:val="12"/>
        </w:numPr>
        <w:spacing w:lineRule="auto"/>
      </w:pPr>
      <w:r>
        <w:rPr/>
        <w:t xml:space="preserve">Preserve original FQDN semantics while redirecting traffic through mediation constructs</w:t>
      </w:r>
    </w:p>
    <w:p>
      <w:pPr>
        <w:spacing w:after="210" w:lineRule="auto"/>
      </w:pPr>
      <w:r>
        <w:rPr/>
        <w:t xml:space="preserve">The outcome is controlled exposure without user-visible naming changes. External users connect to </w:t>
      </w:r>
      <w:r>
        <w:rPr>
          <w:rStyle w:val="VerbatimChar"/>
          <w:rFonts w:eastAsia="menlo" w:cs="menlo" w:ascii="menlo" w:hAnsi="menlo"/>
          <w:shd w:val="clear" w:color="auto" w:fill="F8F8FA"/>
        </w:rPr>
        <w:t xml:space="preserve">app.enterprise.com</w:t>
      </w:r>
      <w:r>
        <w:rPr/>
        <w:t xml:space="preserve"> exactly as internal users do, but DNS resolution within the tenant context ensures traffic traverses tenant-scoped mediation and enforcement layers.</w:t>
      </w:r>
    </w:p>
    <w:p>
      <w:pPr>
        <w:spacing w:after="210" w:lineRule="auto"/>
      </w:pPr>
      <w:r>
        <w:rPr>
          <w:b/>
        </w:rPr>
        <w:t xml:space="preserve">Service Catalog as Explicit Capability Declaration</w:t>
      </w:r>
    </w:p>
    <w:p>
      <w:pPr>
        <w:spacing w:after="210" w:lineRule="auto"/>
      </w:pPr>
      <w:r>
        <w:rPr/>
        <w:t xml:space="preserve">Applications are exposed to third parties only when explicitly declared in the service catalog. Each catalog entry defines:</w:t>
      </w:r>
    </w:p>
    <w:p>
      <w:pPr>
        <w:numPr>
          <w:ilvl w:val="0"/>
          <w:numId w:val="13"/>
        </w:numPr>
        <w:spacing w:lineRule="auto"/>
      </w:pPr>
      <w:r>
        <w:rPr/>
        <w:t xml:space="preserve">Application FQDN and protocol requirements</w:t>
      </w:r>
    </w:p>
    <w:p>
      <w:pPr>
        <w:numPr>
          <w:ilvl w:val="0"/>
          <w:numId w:val="13"/>
        </w:numPr>
        <w:spacing w:lineRule="auto"/>
      </w:pPr>
      <w:r>
        <w:rPr/>
        <w:t xml:space="preserve">Dedicated tenant-local service endpoint (VIP or proxy listener)</w:t>
      </w:r>
    </w:p>
    <w:p>
      <w:pPr>
        <w:numPr>
          <w:ilvl w:val="0"/>
          <w:numId w:val="13"/>
        </w:numPr>
        <w:spacing w:lineRule="auto"/>
      </w:pPr>
      <w:r>
        <w:rPr/>
        <w:t xml:space="preserve">Authorization scope (which tenant users may access the application)</w:t>
      </w:r>
    </w:p>
    <w:p>
      <w:pPr>
        <w:numPr>
          <w:ilvl w:val="0"/>
          <w:numId w:val="13"/>
        </w:numPr>
        <w:spacing w:lineRule="auto"/>
      </w:pPr>
      <w:r>
        <w:rPr/>
        <w:t xml:space="preserve">Mediation requirements (protocol constraints, session inspection, logging)</w:t>
      </w:r>
    </w:p>
    <w:p>
      <w:pPr>
        <w:spacing w:after="210" w:lineRule="auto"/>
      </w:pPr>
      <w:r>
        <w:rPr/>
        <w:t xml:space="preserve">This model ensures that:</w:t>
      </w:r>
    </w:p>
    <w:p>
      <w:pPr>
        <w:numPr>
          <w:ilvl w:val="0"/>
          <w:numId w:val="14"/>
        </w:numPr>
        <w:spacing w:lineRule="auto"/>
      </w:pPr>
      <w:r>
        <w:rPr/>
        <w:t xml:space="preserve">No application becomes reachable by default</w:t>
      </w:r>
    </w:p>
    <w:p>
      <w:pPr>
        <w:numPr>
          <w:ilvl w:val="0"/>
          <w:numId w:val="14"/>
        </w:numPr>
        <w:spacing w:lineRule="auto"/>
      </w:pPr>
      <w:r>
        <w:rPr/>
        <w:t xml:space="preserve">Exposure is a deliberate governance decision</w:t>
      </w:r>
    </w:p>
    <w:p>
      <w:pPr>
        <w:numPr>
          <w:ilvl w:val="0"/>
          <w:numId w:val="14"/>
        </w:numPr>
        <w:spacing w:lineRule="auto"/>
      </w:pPr>
      <w:r>
        <w:rPr/>
        <w:t xml:space="preserve">Lateral exploration of the internal network is structurally prevented</w:t>
      </w:r>
    </w:p>
    <w:p>
      <w:pPr>
        <w:numPr>
          <w:ilvl w:val="0"/>
          <w:numId w:val="14"/>
        </w:numPr>
        <w:spacing w:lineRule="auto"/>
      </w:pPr>
      <w:r>
        <w:rPr/>
        <w:t xml:space="preserve">Service scope can be modified or revoked without altering underlying network topology</w:t>
      </w:r>
    </w:p>
    <w:p>
      <w:pPr>
        <w:spacing w:after="210" w:lineRule="auto"/>
      </w:pPr>
      <w:r>
        <w:rPr>
          <w:b/>
        </w:rPr>
        <w:t xml:space="preserve">Forward and Reverse Proxy Role Separation</w:t>
      </w:r>
    </w:p>
    <w:p>
      <w:pPr>
        <w:spacing w:after="210" w:lineRule="auto"/>
      </w:pPr>
      <w:r>
        <w:rPr/>
        <w:t xml:space="preserve">The architecture distinguishes between two mediation roles:</w:t>
      </w:r>
    </w:p>
    <w:p>
      <w:pPr>
        <w:numPr>
          <w:ilvl w:val="0"/>
          <w:numId w:val="15"/>
        </w:numPr>
        <w:spacing w:after="210" w:lineRule="auto"/>
      </w:pPr>
      <w:r>
        <w:rPr>
          <w:b/>
        </w:rPr>
        <w:t xml:space="preserve">Forward Proxy</w:t>
      </w:r>
      <w:r>
        <w:rPr>
          <w:rFonts w:eastAsia="Georgia" w:cs="Georgia" w:ascii="Georgia" w:hAnsi="Georgia"/>
        </w:rPr>
        <w:t xml:space="preserve"> – Mediates tenant-initiated outbound connections to external resources (internet egress, SaaS platforms). Enforces policy on egress traffic, provides visibility into external service usage, and supports allow-list enforcement for permitted destinations.</w:t>
      </w:r>
    </w:p>
    <w:p>
      <w:pPr>
        <w:numPr>
          <w:ilvl w:val="0"/>
          <w:numId w:val="15"/>
        </w:numPr>
        <w:spacing w:after="210" w:lineRule="auto"/>
      </w:pPr>
      <w:r>
        <w:rPr>
          <w:b/>
        </w:rPr>
        <w:t xml:space="preserve">Reverse Proxy</w:t>
      </w:r>
      <w:r>
        <w:rPr>
          <w:rFonts w:eastAsia="Georgia" w:cs="Georgia" w:ascii="Georgia" w:hAnsi="Georgia"/>
        </w:rPr>
        <w:t xml:space="preserve"> – Mediates external access to internal application capabilities. Terminates external sessions at the tenant boundary, enforces identity validation, applies per-application authorization, and proxies validated requests to internal endpoints.</w:t>
      </w:r>
    </w:p>
    <w:p>
      <w:pPr>
        <w:spacing w:after="210" w:lineRule="auto"/>
      </w:pPr>
      <w:r>
        <w:rPr/>
        <w:t xml:space="preserve">This separation ensures that mediation applies bidirectionally: inbound access to enterprise capabilities and outbound access to external services both traverse enforcement constructs with appropriate policy and visibility.</w:t>
      </w:r>
    </w:p>
    <w:p>
      <w:pPr>
        <w:spacing w:line="271" w:before="240" w:lineRule="auto"/>
      </w:pPr>
      <w:bookmarkStart w:id="17" w:name="c_4_implementation_requirements"/>
      <w:r>
        <w:rPr>
          <w:b/>
          <w:sz w:val="33"/>
        </w:rPr>
        <w:t xml:space="preserve">C.4 Implementation Requirements</w:t>
      </w:r>
      <w:bookmarkEnd w:id="17"/>
    </w:p>
    <w:p>
      <w:pPr>
        <w:spacing w:after="210" w:lineRule="auto"/>
      </w:pPr>
      <w:r>
        <w:rPr>
          <w:b/>
        </w:rPr>
        <w:t xml:space="preserve">Dual-Proxy Mediation Architecture</w:t>
      </w:r>
    </w:p>
    <w:p>
      <w:pPr>
        <w:spacing w:after="210" w:lineRule="auto"/>
      </w:pPr>
      <w:r>
        <w:rPr/>
        <w:t xml:space="preserve">The platform implements a two-tier mediation model that replaces subnet adjacency with capability adjacency:</w:t>
      </w:r>
    </w:p>
    <w:p>
      <w:pPr>
        <w:numPr>
          <w:ilvl w:val="0"/>
          <w:numId w:val="16"/>
        </w:numPr>
        <w:spacing w:after="210" w:lineRule="auto"/>
      </w:pPr>
      <w:r>
        <w:rPr>
          <w:b/>
        </w:rPr>
        <w:t xml:space="preserve">Tier-1 Tenant Proxy</w:t>
      </w:r>
      <w:r>
        <w:rPr>
          <w:rFonts w:eastAsia="Georgia" w:cs="Georgia" w:ascii="Georgia" w:hAnsi="Georgia"/>
        </w:rPr>
        <w:t xml:space="preserve"> – Terminates external connections within the tenant boundary, enforces identity validation, applies tenant-scoped policy, and provides the first layer of protocol mediation and inspection. This proxy operates entirely within the tenant routing context.</w:t>
      </w:r>
    </w:p>
    <w:p>
      <w:pPr>
        <w:numPr>
          <w:ilvl w:val="0"/>
          <w:numId w:val="16"/>
        </w:numPr>
        <w:spacing w:after="210" w:lineRule="auto"/>
      </w:pPr>
      <w:r>
        <w:rPr>
          <w:b/>
        </w:rPr>
        <w:t xml:space="preserve">Tier-2 Internal Proxy</w:t>
      </w:r>
      <w:r>
        <w:rPr>
          <w:rFonts w:eastAsia="Georgia" w:cs="Georgia" w:ascii="Georgia" w:hAnsi="Georgia"/>
        </w:rPr>
        <w:t xml:space="preserve"> – Resides in the core network context, receives validated and authenticated requests from tier-1, and mediates access to internal application endpoints. This proxy enforces destination constraints and protocol-specific allow-lists.</w:t>
      </w:r>
    </w:p>
    <w:p>
      <w:pPr>
        <w:spacing w:after="210" w:lineRule="auto"/>
      </w:pPr>
      <w:r>
        <w:rPr/>
        <w:t xml:space="preserve">No direct routed path exists between external entities and internal networks. All flows traverse both mediation tiers.</w:t>
      </w:r>
    </w:p>
    <w:p>
      <w:pPr>
        <w:spacing w:after="210" w:lineRule="auto"/>
      </w:pPr>
      <w:r>
        <w:rPr/>
        <w:t xml:space="preserve">The traffic path is deterministic:</w:t>
      </w:r>
    </w:p>
    <w:p>
      <w:pPr>
        <w:spacing w:after="210" w:lineRule="auto"/>
      </w:pPr>
      <w:r>
        <w:rPr>
          <w:rFonts w:eastAsia="Georgia" w:cs="Georgia" w:ascii="Georgia" w:hAnsi="Georgia"/>
        </w:rPr>
        <w:t xml:space="preserve">External Entity → Tenant Ingress (Transport Layer) → Tier-1 Tenant Proxy (Identity + Policy) → Tier-2 Internal Proxy (Destination + Protocol) → Internal Application</w:t>
      </w:r>
    </w:p>
    <w:p>
      <w:pPr>
        <w:spacing w:after="210" w:lineRule="auto"/>
      </w:pPr>
      <w:r>
        <w:rPr>
          <w:b/>
        </w:rPr>
        <w:t xml:space="preserve">Service-Specific Allow-Lists</w:t>
      </w:r>
    </w:p>
    <w:p>
      <w:pPr>
        <w:spacing w:after="210" w:lineRule="auto"/>
      </w:pPr>
      <w:r>
        <w:rPr/>
        <w:t xml:space="preserve">Mediation constructs enforce per-application destination constraints. A tenant user authorized for access to Application X cannot pivot to Application Y, enumerate internal hosts, or explore broader network segments.</w:t>
      </w:r>
    </w:p>
    <w:p>
      <w:pPr>
        <w:spacing w:after="210" w:lineRule="auto"/>
      </w:pPr>
      <w:r>
        <w:rPr/>
        <w:t xml:space="preserve">Authorization is bound to declared capabilities, not to network reachability.</w:t>
      </w:r>
    </w:p>
    <w:p>
      <w:pPr>
        <w:spacing w:after="210" w:lineRule="auto"/>
      </w:pPr>
      <w:r>
        <w:rPr>
          <w:b/>
        </w:rPr>
        <w:t xml:space="preserve">Protocol Mediation and Constraint</w:t>
      </w:r>
    </w:p>
    <w:p>
      <w:pPr>
        <w:spacing w:after="210" w:lineRule="auto"/>
      </w:pPr>
      <w:r>
        <w:rPr/>
        <w:t xml:space="preserve">Proxies constrain protocol behavior to declared use cases (HTTP/S for web applications, SFTP for file transfer, etc.) and prevent:</w:t>
      </w:r>
    </w:p>
    <w:p>
      <w:pPr>
        <w:numPr>
          <w:ilvl w:val="0"/>
          <w:numId w:val="17"/>
        </w:numPr>
        <w:spacing w:lineRule="auto"/>
      </w:pPr>
      <w:r>
        <w:rPr/>
        <w:t xml:space="preserve">Protocol tunneling or encapsulation attacks</w:t>
      </w:r>
    </w:p>
    <w:p>
      <w:pPr>
        <w:numPr>
          <w:ilvl w:val="0"/>
          <w:numId w:val="17"/>
        </w:numPr>
        <w:spacing w:lineRule="auto"/>
      </w:pPr>
      <w:r>
        <w:rPr/>
        <w:t xml:space="preserve">Misuse of application protocols for lateral exploration</w:t>
      </w:r>
    </w:p>
    <w:p>
      <w:pPr>
        <w:numPr>
          <w:ilvl w:val="0"/>
          <w:numId w:val="17"/>
        </w:numPr>
        <w:spacing w:lineRule="auto"/>
      </w:pPr>
      <w:r>
        <w:rPr/>
        <w:t xml:space="preserve">Unapproved protocol usage within approved sessions</w:t>
      </w:r>
    </w:p>
    <w:p>
      <w:pPr>
        <w:spacing w:after="210" w:lineRule="auto"/>
      </w:pPr>
      <w:r>
        <w:rPr/>
        <w:t xml:space="preserve">Protocol mediation ensures that connectivity translates to service access, not network access.</w:t>
      </w:r>
    </w:p>
    <w:p>
      <w:pPr>
        <w:spacing w:after="210" w:lineRule="auto"/>
      </w:pPr>
      <w:r>
        <w:rPr>
          <w:b/>
        </w:rPr>
        <w:t xml:space="preserve">Per-Application Service Endpoints</w:t>
      </w:r>
    </w:p>
    <w:p>
      <w:pPr>
        <w:spacing w:after="210" w:lineRule="auto"/>
      </w:pPr>
      <w:r>
        <w:rPr/>
        <w:t xml:space="preserve">Each catalog application is assigned a dedicated tenant-local service endpoint (typically a virtual IP address and port combination). These endpoints:</w:t>
      </w:r>
    </w:p>
    <w:p>
      <w:pPr>
        <w:numPr>
          <w:ilvl w:val="0"/>
          <w:numId w:val="18"/>
        </w:numPr>
        <w:spacing w:lineRule="auto"/>
      </w:pPr>
      <w:r>
        <w:rPr/>
        <w:t xml:space="preserve">Exist only within the tenant routing context</w:t>
      </w:r>
    </w:p>
    <w:p>
      <w:pPr>
        <w:numPr>
          <w:ilvl w:val="0"/>
          <w:numId w:val="18"/>
        </w:numPr>
        <w:spacing w:lineRule="auto"/>
      </w:pPr>
      <w:r>
        <w:rPr/>
        <w:t xml:space="preserve">Are announced via DNS rewrite to tenant users</w:t>
      </w:r>
    </w:p>
    <w:p>
      <w:pPr>
        <w:numPr>
          <w:ilvl w:val="0"/>
          <w:numId w:val="18"/>
        </w:numPr>
        <w:spacing w:lineRule="auto"/>
      </w:pPr>
      <w:r>
        <w:rPr/>
        <w:t xml:space="preserve">Terminate at tier-1 mediation constructs</w:t>
      </w:r>
    </w:p>
    <w:p>
      <w:pPr>
        <w:numPr>
          <w:ilvl w:val="0"/>
          <w:numId w:val="18"/>
        </w:numPr>
        <w:spacing w:lineRule="auto"/>
      </w:pPr>
      <w:r>
        <w:rPr/>
        <w:t xml:space="preserve">Enforce per-application authorization and logging</w:t>
      </w:r>
    </w:p>
    <w:p>
      <w:pPr>
        <w:spacing w:after="210" w:lineRule="auto"/>
      </w:pPr>
      <w:r>
        <w:rPr/>
        <w:t xml:space="preserve">This design ensures that service exposure is granular, auditable, and independently controllable.</w:t>
      </w:r>
    </w:p>
    <w:p>
      <w:pPr>
        <w:spacing w:line="271" w:before="240" w:lineRule="auto"/>
      </w:pPr>
      <w:bookmarkStart w:id="18" w:name="c_5_identity_binding"/>
      <w:r>
        <w:rPr>
          <w:b/>
          <w:sz w:val="33"/>
        </w:rPr>
        <w:t xml:space="preserve">C.5 Identity Binding</w:t>
      </w:r>
      <w:bookmarkEnd w:id="18"/>
    </w:p>
    <w:p>
      <w:pPr>
        <w:spacing w:after="210" w:lineRule="auto"/>
      </w:pPr>
      <w:r>
        <w:rPr/>
        <w:t xml:space="preserve">Where protocols allow, identity must be cryptographically verified and bound to the Tenant context.</w:t>
      </w:r>
    </w:p>
    <w:p>
      <w:pPr>
        <w:spacing w:after="210" w:lineRule="auto"/>
      </w:pPr>
      <w:r>
        <w:rPr>
          <w:b/>
        </w:rPr>
        <w:t xml:space="preserve">Mutual TLS (mTLS) Identity Enforcement</w:t>
      </w:r>
    </w:p>
    <w:p>
      <w:pPr>
        <w:spacing w:after="210" w:lineRule="auto"/>
      </w:pPr>
      <w:r>
        <w:rPr/>
        <w:t xml:space="preserve">Connections are authenticated using per-tenant certificates. Identity validation occurs at the tier-1 mediation layer.</w:t>
      </w:r>
    </w:p>
    <w:p>
      <w:pPr>
        <w:spacing w:after="210" w:lineRule="auto"/>
      </w:pPr>
      <w:r>
        <w:rPr>
          <w:b/>
        </w:rPr>
        <w:t xml:space="preserve">Certificate-Based Subject Validation</w:t>
      </w:r>
    </w:p>
    <w:p>
      <w:pPr>
        <w:spacing w:after="210" w:lineRule="auto"/>
      </w:pPr>
      <w:r>
        <w:rPr/>
        <w:t xml:space="preserve">Subject attributes within certificates are validated against tenant declarations. Invalid or expired certificates result in connection denial.</w:t>
      </w:r>
    </w:p>
    <w:p>
      <w:pPr>
        <w:spacing w:after="210" w:lineRule="auto"/>
      </w:pPr>
      <w:r>
        <w:rPr>
          <w:b/>
        </w:rPr>
        <w:t xml:space="preserve">Per-Tenant Trust Anchors</w:t>
      </w:r>
    </w:p>
    <w:p>
      <w:pPr>
        <w:spacing w:after="210" w:lineRule="auto"/>
      </w:pPr>
      <w:r>
        <w:rPr/>
        <w:t xml:space="preserve">Each tenant operates with a dedicated trust anchor or certificate authority scope, preventing credential replay across tenant boundaries.</w:t>
      </w:r>
    </w:p>
    <w:p>
      <w:pPr>
        <w:spacing w:after="210" w:lineRule="auto"/>
      </w:pPr>
      <w:r>
        <w:rPr>
          <w:b/>
        </w:rPr>
        <w:t xml:space="preserve">Identity-to-Capability Binding</w:t>
      </w:r>
    </w:p>
    <w:p>
      <w:pPr>
        <w:spacing w:after="210" w:lineRule="auto"/>
      </w:pPr>
      <w:r>
        <w:rPr/>
        <w:t xml:space="preserve">Access decisions correlate authenticated identity to declared service capabilities, ensuring actor-level accountability.</w:t>
      </w:r>
    </w:p>
    <w:p>
      <w:pPr>
        <w:spacing w:after="210" w:lineRule="auto"/>
      </w:pPr>
      <w:r>
        <w:rPr/>
        <w:t xml:space="preserve">Identity enforcement ensures:</w:t>
      </w:r>
    </w:p>
    <w:p>
      <w:pPr>
        <w:numPr>
          <w:ilvl w:val="0"/>
          <w:numId w:val="19"/>
        </w:numPr>
        <w:spacing w:lineRule="auto"/>
      </w:pPr>
      <w:r>
        <w:rPr/>
        <w:t xml:space="preserve">Actor-level accountability</w:t>
      </w:r>
    </w:p>
    <w:p>
      <w:pPr>
        <w:numPr>
          <w:ilvl w:val="0"/>
          <w:numId w:val="19"/>
        </w:numPr>
        <w:spacing w:lineRule="auto"/>
      </w:pPr>
      <w:r>
        <w:rPr/>
        <w:t xml:space="preserve">Revocation capability independent of network topology</w:t>
      </w:r>
    </w:p>
    <w:p>
      <w:pPr>
        <w:numPr>
          <w:ilvl w:val="0"/>
          <w:numId w:val="19"/>
        </w:numPr>
        <w:spacing w:lineRule="auto"/>
      </w:pPr>
      <w:r>
        <w:rPr/>
        <w:t xml:space="preserve">Traceability aligned to business ownership</w:t>
      </w:r>
    </w:p>
    <w:p>
      <w:pPr>
        <w:spacing w:after="210" w:lineRule="auto"/>
      </w:pPr>
      <w:r>
        <w:rPr/>
        <w:t xml:space="preserve">Without identity binding, exposure remains tied to location rather than subject.</w:t>
      </w:r>
    </w:p>
    <w:p>
      <w:pPr>
        <w:spacing w:line="271" w:before="240" w:lineRule="auto"/>
      </w:pPr>
      <w:bookmarkStart w:id="19" w:name="c_6_failure_modes_prevented"/>
      <w:r>
        <w:rPr>
          <w:b/>
          <w:sz w:val="33"/>
        </w:rPr>
        <w:t xml:space="preserve">C.6 Failure Modes Prevented</w:t>
      </w:r>
      <w:bookmarkEnd w:id="19"/>
    </w:p>
    <w:p>
      <w:pPr>
        <w:spacing w:after="210" w:lineRule="auto"/>
      </w:pPr>
      <w:r>
        <w:rPr/>
        <w:t xml:space="preserve">The mediation and identity architecture prevents:</w:t>
      </w:r>
    </w:p>
    <w:p>
      <w:pPr>
        <w:numPr>
          <w:ilvl w:val="0"/>
          <w:numId w:val="20"/>
        </w:numPr>
        <w:spacing w:lineRule="auto"/>
      </w:pPr>
      <w:r>
        <w:rPr>
          <w:b/>
        </w:rPr>
        <w:t xml:space="preserve">Lateral exploration within internal subnets</w:t>
      </w:r>
      <w:r>
        <w:rPr>
          <w:rFonts w:eastAsia="Georgia" w:cs="Georgia" w:ascii="Georgia" w:hAnsi="Georgia"/>
        </w:rPr>
        <w:t xml:space="preserve"> – No routed adjacency exists; tenants interact only with declared service endpoints</w:t>
      </w:r>
    </w:p>
    <w:p>
      <w:pPr>
        <w:numPr>
          <w:ilvl w:val="0"/>
          <w:numId w:val="20"/>
        </w:numPr>
        <w:spacing w:lineRule="auto"/>
      </w:pPr>
      <w:r>
        <w:rPr>
          <w:b/>
        </w:rPr>
        <w:t xml:space="preserve">Credential replay across tenants</w:t>
      </w:r>
      <w:r>
        <w:rPr>
          <w:rFonts w:eastAsia="Georgia" w:cs="Georgia" w:ascii="Georgia" w:hAnsi="Georgia"/>
        </w:rPr>
        <w:t xml:space="preserve"> – Per-tenant trust anchors and certificate scopes prevent cross-tenant authentication</w:t>
      </w:r>
    </w:p>
    <w:p>
      <w:pPr>
        <w:numPr>
          <w:ilvl w:val="0"/>
          <w:numId w:val="20"/>
        </w:numPr>
        <w:spacing w:lineRule="auto"/>
      </w:pPr>
      <w:r>
        <w:rPr>
          <w:b/>
        </w:rPr>
        <w:t xml:space="preserve">Implicit trust based solely on source IP</w:t>
      </w:r>
      <w:r>
        <w:rPr>
          <w:rFonts w:eastAsia="Georgia" w:cs="Georgia" w:ascii="Georgia" w:hAnsi="Georgia"/>
        </w:rPr>
        <w:t xml:space="preserve"> – Identity validation is cryptographic and session-bound</w:t>
      </w:r>
    </w:p>
    <w:p>
      <w:pPr>
        <w:numPr>
          <w:ilvl w:val="0"/>
          <w:numId w:val="20"/>
        </w:numPr>
        <w:spacing w:lineRule="auto"/>
      </w:pPr>
      <w:r>
        <w:rPr>
          <w:b/>
        </w:rPr>
        <w:t xml:space="preserve">Vendor compromise leading to unrestricted reach</w:t>
      </w:r>
      <w:r>
        <w:rPr>
          <w:rFonts w:eastAsia="Georgia" w:cs="Georgia" w:ascii="Georgia" w:hAnsi="Georgia"/>
        </w:rPr>
        <w:t xml:space="preserve"> – Compromise of a tenant user grants access only to explicitly authorized applications, not to the broader network</w:t>
      </w:r>
    </w:p>
    <w:p>
      <w:pPr>
        <w:numPr>
          <w:ilvl w:val="0"/>
          <w:numId w:val="20"/>
        </w:numPr>
        <w:spacing w:lineRule="auto"/>
      </w:pPr>
      <w:r>
        <w:rPr>
          <w:b/>
        </w:rPr>
        <w:t xml:space="preserve">Protocol tunneling and misuse</w:t>
      </w:r>
      <w:r>
        <w:rPr>
          <w:rFonts w:eastAsia="Georgia" w:cs="Georgia" w:ascii="Georgia" w:hAnsi="Georgia"/>
        </w:rPr>
        <w:t xml:space="preserve"> – Protocol mediation constrains session behavior to declared patterns</w:t>
      </w:r>
    </w:p>
    <w:p>
      <w:pPr>
        <w:numPr>
          <w:ilvl w:val="0"/>
          <w:numId w:val="20"/>
        </w:numPr>
        <w:spacing w:lineRule="auto"/>
      </w:pPr>
      <w:r>
        <w:rPr>
          <w:b/>
        </w:rPr>
        <w:t xml:space="preserve">DNS-based lateral discovery</w:t>
      </w:r>
      <w:r>
        <w:rPr>
          <w:rFonts w:eastAsia="Georgia" w:cs="Georgia" w:ascii="Georgia" w:hAnsi="Georgia"/>
        </w:rPr>
        <w:t xml:space="preserve"> – Namespace preservation with DNS rewrite limits visibility to catalog applications only</w:t>
      </w:r>
    </w:p>
    <w:p>
      <w:pPr>
        <w:spacing w:line="271" w:before="240" w:lineRule="auto"/>
      </w:pPr>
      <w:bookmarkStart w:id="20" w:name="c_7_validation_criteria"/>
      <w:r>
        <w:rPr>
          <w:b/>
          <w:sz w:val="33"/>
        </w:rPr>
        <w:t xml:space="preserve">C.7 Validation Criteria</w:t>
      </w:r>
      <w:bookmarkEnd w:id="20"/>
    </w:p>
    <w:p>
      <w:pPr>
        <w:spacing w:after="210" w:lineRule="auto"/>
      </w:pPr>
      <w:r>
        <w:rPr/>
        <w:t xml:space="preserve">An implementation satisfies mediation and identity invariants if:</w:t>
      </w:r>
    </w:p>
    <w:p>
      <w:pPr>
        <w:numPr>
          <w:ilvl w:val="0"/>
          <w:numId w:val="21"/>
        </w:numPr>
        <w:spacing w:lineRule="auto"/>
      </w:pPr>
      <w:r>
        <w:rPr/>
        <w:t xml:space="preserve">Direct routed access to internal subnets is impossible</w:t>
      </w:r>
    </w:p>
    <w:p>
      <w:pPr>
        <w:numPr>
          <w:ilvl w:val="0"/>
          <w:numId w:val="21"/>
        </w:numPr>
        <w:spacing w:lineRule="auto"/>
      </w:pPr>
      <w:r>
        <w:rPr/>
        <w:t xml:space="preserve">All permitted flows traverse enforcement constructs</w:t>
      </w:r>
    </w:p>
    <w:p>
      <w:pPr>
        <w:numPr>
          <w:ilvl w:val="0"/>
          <w:numId w:val="21"/>
        </w:numPr>
        <w:spacing w:lineRule="auto"/>
      </w:pPr>
      <w:r>
        <w:rPr/>
        <w:t xml:space="preserve">Identity validation failures result in denial</w:t>
      </w:r>
    </w:p>
    <w:p>
      <w:pPr>
        <w:numPr>
          <w:ilvl w:val="0"/>
          <w:numId w:val="21"/>
        </w:numPr>
        <w:spacing w:lineRule="auto"/>
      </w:pPr>
      <w:r>
        <w:rPr/>
        <w:t xml:space="preserve">Audit logs associate identity with capability invocation</w:t>
      </w:r>
    </w:p>
    <w:p>
      <w:pPr>
        <w:numPr>
          <w:ilvl w:val="0"/>
          <w:numId w:val="21"/>
        </w:numPr>
        <w:spacing w:lineRule="auto"/>
      </w:pPr>
      <w:r>
        <w:rPr/>
        <w:t xml:space="preserve">DNS resolution within tenant context exposes only catalog applications</w:t>
      </w:r>
    </w:p>
    <w:p>
      <w:pPr>
        <w:numPr>
          <w:ilvl w:val="0"/>
          <w:numId w:val="21"/>
        </w:numPr>
        <w:spacing w:lineRule="auto"/>
      </w:pPr>
      <w:r>
        <w:rPr/>
        <w:t xml:space="preserve">Protocol usage is constrained to declared service patterns</w:t>
      </w:r>
    </w:p>
    <w:p>
      <w:pPr>
        <w:numPr>
          <w:ilvl w:val="0"/>
          <w:numId w:val="21"/>
        </w:numPr>
        <w:spacing w:lineRule="auto"/>
      </w:pPr>
      <w:r>
        <w:rPr/>
        <w:t xml:space="preserve">Per-application authorization is enforced independently of network-layer controls</w:t>
      </w:r>
    </w:p>
    <w:p>
      <w:pPr>
        <w:spacing w:line="271" w:before="240" w:lineRule="auto"/>
      </w:pPr>
      <w:bookmarkStart w:id="21" w:name="c_8_relationship_to_business_gove_259000"/>
      <w:r>
        <w:rPr>
          <w:b/>
          <w:sz w:val="33"/>
        </w:rPr>
        <w:t xml:space="preserve">C.8 Relationship to Business Governance Outcomes</w:t>
      </w:r>
      <w:bookmarkEnd w:id="21"/>
    </w:p>
    <w:p>
      <w:pPr>
        <w:spacing w:after="210" w:lineRule="auto"/>
      </w:pPr>
      <w:r>
        <w:rPr/>
        <w:t xml:space="preserve">The mediation and identity architecture directly enforces business governance requirements:</w:t>
      </w:r>
    </w:p>
    <w:p>
      <w:pPr>
        <w:spacing w:after="210" w:lineRule="auto"/>
      </w:pPr>
      <w:r>
        <w:rPr>
          <w:b/>
        </w:rPr>
        <w:t xml:space="preserve">Accountability Alignment</w:t>
      </w:r>
    </w:p>
    <w:p>
      <w:pPr>
        <w:spacing w:after="210" w:lineRule="auto"/>
      </w:pPr>
      <w:r>
        <w:rPr/>
        <w:t xml:space="preserve">Identity binding ensures that access events can be traced to specific authenticated users, aligning technical enforcement with business ownership. When a tenant owner attests to the business need for connectivity, the architecture ensures that only authorized individuals within that tenant's scope can invoke declared capabilities.</w:t>
      </w:r>
    </w:p>
    <w:p>
      <w:pPr>
        <w:spacing w:after="210" w:lineRule="auto"/>
      </w:pPr>
      <w:r>
        <w:rPr>
          <w:b/>
        </w:rPr>
        <w:t xml:space="preserve">Least-Privilege Exposure</w:t>
      </w:r>
    </w:p>
    <w:p>
      <w:pPr>
        <w:spacing w:after="210" w:lineRule="auto"/>
      </w:pPr>
      <w:r>
        <w:rPr/>
        <w:t xml:space="preserve">Service catalog discipline ensures that third parties access only the applications required for their business function. This directly supports risk-proportional governance: exposure scope matches business justification.</w:t>
      </w:r>
    </w:p>
    <w:p>
      <w:pPr>
        <w:spacing w:after="210" w:lineRule="auto"/>
      </w:pPr>
      <w:r>
        <w:rPr>
          <w:b/>
        </w:rPr>
        <w:t xml:space="preserve">Lifecycle Responsiveness</w:t>
      </w:r>
    </w:p>
    <w:p>
      <w:pPr>
        <w:spacing w:after="210" w:lineRule="auto"/>
      </w:pPr>
      <w:r>
        <w:rPr/>
        <w:t xml:space="preserve">When business context changes (vendor relationship ends, application is retired, user leaves organization), identity and catalog constructs can be modified or revoked without altering network topology. This responsiveness prevents exposure from persisting beyond business need.</w:t>
      </w:r>
    </w:p>
    <w:p>
      <w:pPr>
        <w:spacing w:after="210" w:lineRule="auto"/>
      </w:pPr>
      <w:r>
        <w:rPr>
          <w:b/>
        </w:rPr>
        <w:t xml:space="preserve">Audit and Compliance Assurance</w:t>
      </w:r>
    </w:p>
    <w:p>
      <w:pPr>
        <w:spacing w:after="210" w:lineRule="auto"/>
      </w:pPr>
      <w:r>
        <w:rPr/>
        <w:t xml:space="preserve">Cryptographic identity combined with per-application logging creates an auditable record of who accessed what, when, and for what declared purpose. This traceability supports regulatory compliance, vendor management oversight, and security incident investigation.</w:t>
      </w:r>
    </w:p>
    <w:p>
      <w:pPr>
        <w:spacing w:after="210" w:lineRule="auto"/>
      </w:pPr>
      <w:r>
        <w:rPr>
          <w:b/>
        </w:rPr>
        <w:t xml:space="preserve">Mediation is the core of exposure control and the primary mechanism through which governance intent becomes enforceable system behavior.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appendix_d_deterministic_visibili_557226"/>
      <w:r>
        <w:rPr>
          <w:rFonts w:eastAsia="Georgia" w:cs="Georgia" w:ascii="Georgia" w:hAnsi="Georgia"/>
          <w:b/>
          <w:sz w:val="42"/>
        </w:rPr>
        <w:t xml:space="preserve">Appendix D – Deterministic Visibility and Inspection Architecture</w:t>
      </w:r>
      <w:bookmarkEnd w:id="22"/>
    </w:p>
    <w:p>
      <w:pPr>
        <w:spacing w:line="271" w:before="240" w:lineRule="auto"/>
      </w:pPr>
      <w:bookmarkStart w:id="23" w:name="d_1_the_problem_with_perimeter_in_3f34af"/>
      <w:r>
        <w:rPr>
          <w:b/>
          <w:sz w:val="33"/>
        </w:rPr>
        <w:t xml:space="preserve">D.1 The Problem With Perimeter Inspection</w:t>
      </w:r>
      <w:bookmarkEnd w:id="23"/>
    </w:p>
    <w:p>
      <w:pPr>
        <w:spacing w:after="210" w:lineRule="auto"/>
      </w:pPr>
      <w:r>
        <w:rPr/>
        <w:t xml:space="preserve">Perimeter inspection centralizes visibility but lacks context. It sees transport flows, not mediated capabilities. Distributed logging lacks consistency and correlation.</w:t>
      </w:r>
    </w:p>
    <w:p>
      <w:pPr>
        <w:spacing w:after="210" w:lineRule="auto"/>
      </w:pPr>
      <w:r>
        <w:rPr/>
        <w:t xml:space="preserve">Inspection without structural attachment points produces blind spots.</w:t>
      </w:r>
    </w:p>
    <w:p>
      <w:pPr>
        <w:spacing w:line="271" w:before="240" w:lineRule="auto"/>
      </w:pPr>
      <w:bookmarkStart w:id="24" w:name="d_2_deterministic_inspection_points"/>
      <w:r>
        <w:rPr>
          <w:b/>
          <w:sz w:val="33"/>
        </w:rPr>
        <w:t xml:space="preserve">D.2 Deterministic Inspection Points</w:t>
      </w:r>
      <w:bookmarkEnd w:id="24"/>
    </w:p>
    <w:p>
      <w:pPr>
        <w:spacing w:after="210" w:lineRule="auto"/>
      </w:pPr>
      <w:r>
        <w:rPr/>
        <w:t xml:space="preserve">Inspection must occur at defined locations within Tenant boundaries. These points must:</w:t>
      </w:r>
    </w:p>
    <w:p>
      <w:pPr>
        <w:numPr>
          <w:ilvl w:val="0"/>
          <w:numId w:val="22"/>
        </w:numPr>
        <w:spacing w:lineRule="auto"/>
      </w:pPr>
      <w:r>
        <w:rPr/>
        <w:t xml:space="preserve">Mirror traffic without altering routing semantics</w:t>
      </w:r>
    </w:p>
    <w:p>
      <w:pPr>
        <w:numPr>
          <w:ilvl w:val="0"/>
          <w:numId w:val="22"/>
        </w:numPr>
        <w:spacing w:lineRule="auto"/>
      </w:pPr>
      <w:r>
        <w:rPr/>
        <w:t xml:space="preserve">Log mediation decisions</w:t>
      </w:r>
    </w:p>
    <w:p>
      <w:pPr>
        <w:numPr>
          <w:ilvl w:val="0"/>
          <w:numId w:val="22"/>
        </w:numPr>
        <w:spacing w:lineRule="auto"/>
      </w:pPr>
      <w:r>
        <w:rPr/>
        <w:t xml:space="preserve">Preserve isolation boundaries</w:t>
      </w:r>
    </w:p>
    <w:p>
      <w:pPr>
        <w:numPr>
          <w:ilvl w:val="0"/>
          <w:numId w:val="22"/>
        </w:numPr>
        <w:spacing w:lineRule="auto"/>
      </w:pPr>
      <w:r>
        <w:rPr/>
        <w:t xml:space="preserve">Support export to enterprise analysis systems</w:t>
      </w:r>
    </w:p>
    <w:p>
      <w:pPr>
        <w:spacing w:after="210" w:lineRule="auto"/>
      </w:pPr>
      <w:r>
        <w:rPr/>
        <w:t xml:space="preserve">The invariant:</w:t>
      </w:r>
    </w:p>
    <w:p>
      <w:pPr>
        <w:spacing w:after="210" w:lineRule="auto"/>
      </w:pPr>
      <w:r>
        <w:rPr>
          <w:i/>
        </w:rPr>
        <w:t xml:space="preserve">Visibility must not alter exposure semantics.</w:t>
      </w:r>
    </w:p>
    <w:p>
      <w:pPr>
        <w:spacing w:line="271" w:before="240" w:lineRule="auto"/>
      </w:pPr>
      <w:bookmarkStart w:id="25" w:name="d_3_implementation_requirements"/>
      <w:r>
        <w:rPr>
          <w:b/>
          <w:sz w:val="33"/>
        </w:rPr>
        <w:t xml:space="preserve">D.3 Implementation Requirements</w:t>
      </w:r>
      <w:bookmarkEnd w:id="25"/>
    </w:p>
    <w:p>
      <w:pPr>
        <w:spacing w:after="210" w:lineRule="auto"/>
      </w:pPr>
      <w:r>
        <w:rPr>
          <w:b/>
        </w:rPr>
        <w:t xml:space="preserve">Traffic Mirroring Hooks</w:t>
      </w:r>
    </w:p>
    <w:p>
      <w:pPr>
        <w:spacing w:after="210" w:lineRule="auto"/>
      </w:pPr>
      <w:r>
        <w:rPr/>
        <w:t xml:space="preserve">The platform provides defined points within tenant mediation layers where traffic can be mirrored or copied for inspection.</w:t>
      </w:r>
    </w:p>
    <w:p>
      <w:pPr>
        <w:spacing w:after="210" w:lineRule="auto"/>
      </w:pPr>
      <w:r>
        <w:rPr>
          <w:b/>
        </w:rPr>
        <w:t xml:space="preserve">Export Pipelines</w:t>
      </w:r>
    </w:p>
    <w:p>
      <w:pPr>
        <w:spacing w:after="210" w:lineRule="auto"/>
      </w:pPr>
      <w:r>
        <w:rPr/>
        <w:t xml:space="preserve">Mirrored traffic or telemetry is exported to enterprise SIEM, analysis platforms, or data lakes through dedicated export channels that respect tenant isolation.</w:t>
      </w:r>
    </w:p>
    <w:p>
      <w:pPr>
        <w:spacing w:after="210" w:lineRule="auto"/>
      </w:pPr>
      <w:r>
        <w:rPr>
          <w:b/>
        </w:rPr>
        <w:t xml:space="preserve">Inspection Addon Modules</w:t>
      </w:r>
    </w:p>
    <w:p>
      <w:pPr>
        <w:spacing w:after="210" w:lineRule="auto"/>
      </w:pPr>
      <w:r>
        <w:rPr/>
        <w:t xml:space="preserve">The architecture supports integration of inspection capabilities (DLP, malware scanning, protocol analysis) through controlled extension points.</w:t>
      </w:r>
    </w:p>
    <w:p>
      <w:pPr>
        <w:spacing w:after="210" w:lineRule="auto"/>
      </w:pPr>
      <w:r>
        <w:rPr>
          <w:b/>
        </w:rPr>
        <w:t xml:space="preserve">Policy-Controlled Activation</w:t>
      </w:r>
    </w:p>
    <w:p>
      <w:pPr>
        <w:spacing w:after="210" w:lineRule="auto"/>
      </w:pPr>
      <w:r>
        <w:rPr/>
        <w:t xml:space="preserve">Inspection is explicitly enabled per tenant based on policy requirements. It is not universally applied by default.</w:t>
      </w:r>
    </w:p>
    <w:p>
      <w:pPr>
        <w:spacing w:line="271" w:before="240" w:lineRule="auto"/>
      </w:pPr>
      <w:bookmarkStart w:id="26" w:name="d_4_failure_modes_prevented"/>
      <w:r>
        <w:rPr>
          <w:b/>
          <w:sz w:val="33"/>
        </w:rPr>
        <w:t xml:space="preserve">D.4 Failure Modes Prevented</w:t>
      </w:r>
      <w:bookmarkEnd w:id="26"/>
    </w:p>
    <w:p>
      <w:pPr>
        <w:numPr>
          <w:ilvl w:val="0"/>
          <w:numId w:val="23"/>
        </w:numPr>
        <w:spacing w:lineRule="auto"/>
      </w:pPr>
      <w:r>
        <w:rPr/>
        <w:t xml:space="preserve">Undetected lateral movement within tenant scope</w:t>
      </w:r>
    </w:p>
    <w:p>
      <w:pPr>
        <w:numPr>
          <w:ilvl w:val="0"/>
          <w:numId w:val="23"/>
        </w:numPr>
        <w:spacing w:lineRule="auto"/>
      </w:pPr>
      <w:r>
        <w:rPr/>
        <w:t xml:space="preserve">Inspection bypass via alternate routes</w:t>
      </w:r>
    </w:p>
    <w:p>
      <w:pPr>
        <w:numPr>
          <w:ilvl w:val="0"/>
          <w:numId w:val="23"/>
        </w:numPr>
        <w:spacing w:lineRule="auto"/>
      </w:pPr>
      <w:r>
        <w:rPr/>
        <w:t xml:space="preserve">Loss of audit trace due to distributed logging inconsistencies</w:t>
      </w:r>
    </w:p>
    <w:p>
      <w:pPr>
        <w:spacing w:line="271" w:before="240" w:lineRule="auto"/>
      </w:pPr>
      <w:bookmarkStart w:id="27" w:name="d_5_validation_criteria"/>
      <w:r>
        <w:rPr>
          <w:b/>
          <w:sz w:val="33"/>
        </w:rPr>
        <w:t xml:space="preserve">D.5 Validation Criteria</w:t>
      </w:r>
      <w:bookmarkEnd w:id="27"/>
    </w:p>
    <w:p>
      <w:pPr>
        <w:spacing w:after="210" w:lineRule="auto"/>
      </w:pPr>
      <w:r>
        <w:rPr/>
        <w:t xml:space="preserve">An implementation satisfies visibility invariants if:</w:t>
      </w:r>
    </w:p>
    <w:p>
      <w:pPr>
        <w:numPr>
          <w:ilvl w:val="0"/>
          <w:numId w:val="24"/>
        </w:numPr>
        <w:spacing w:lineRule="auto"/>
      </w:pPr>
      <w:r>
        <w:rPr/>
        <w:t xml:space="preserve">Inspection can be enabled per Tenant without topology redesign</w:t>
      </w:r>
    </w:p>
    <w:p>
      <w:pPr>
        <w:numPr>
          <w:ilvl w:val="0"/>
          <w:numId w:val="24"/>
        </w:numPr>
        <w:spacing w:lineRule="auto"/>
      </w:pPr>
      <w:r>
        <w:rPr/>
        <w:t xml:space="preserve">Logging reflects mediation and identity outcomes</w:t>
      </w:r>
    </w:p>
    <w:p>
      <w:pPr>
        <w:numPr>
          <w:ilvl w:val="0"/>
          <w:numId w:val="24"/>
        </w:numPr>
        <w:spacing w:lineRule="auto"/>
      </w:pPr>
      <w:r>
        <w:rPr/>
        <w:t xml:space="preserve">Mirrored traffic cannot escape containment domains</w:t>
      </w:r>
    </w:p>
    <w:p>
      <w:pPr>
        <w:numPr>
          <w:ilvl w:val="0"/>
          <w:numId w:val="24"/>
        </w:numPr>
        <w:spacing w:lineRule="auto"/>
      </w:pPr>
      <w:r>
        <w:rPr/>
        <w:t xml:space="preserve">Disabling inspection does not alter routing behavior</w:t>
      </w:r>
    </w:p>
    <w:p>
      <w:pPr>
        <w:spacing w:after="210" w:lineRule="auto"/>
      </w:pPr>
      <w:r>
        <w:rPr>
          <w:b/>
        </w:rPr>
        <w:t xml:space="preserve">Inspection strengthens assurance without expanding exposure.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appendix_e_lifecycle_enforcement_d4563a"/>
      <w:r>
        <w:rPr>
          <w:rFonts w:eastAsia="Georgia" w:cs="Georgia" w:ascii="Georgia" w:hAnsi="Georgia"/>
          <w:b/>
          <w:sz w:val="42"/>
        </w:rPr>
        <w:t xml:space="preserve">Appendix E – Lifecycle Enforcement and Reversibility</w:t>
      </w:r>
      <w:bookmarkEnd w:id="28"/>
    </w:p>
    <w:p>
      <w:pPr>
        <w:spacing w:line="271" w:before="240" w:lineRule="auto"/>
      </w:pPr>
      <w:bookmarkStart w:id="29" w:name="e_1_accumulation_as_the_historica_e86d0d"/>
      <w:r>
        <w:rPr>
          <w:b/>
          <w:sz w:val="33"/>
        </w:rPr>
        <w:t xml:space="preserve">E.1 Accumulation as the Historical Failure Mode</w:t>
      </w:r>
      <w:bookmarkEnd w:id="29"/>
    </w:p>
    <w:p>
      <w:pPr>
        <w:spacing w:after="210" w:lineRule="auto"/>
      </w:pPr>
      <w:r>
        <w:rPr/>
        <w:t xml:space="preserve">Provisioning is engineered. Decommissioning is avoided. Over years, exposure domains persist without active justification.</w:t>
      </w:r>
    </w:p>
    <w:p>
      <w:pPr>
        <w:spacing w:after="210" w:lineRule="auto"/>
      </w:pPr>
      <w:r>
        <w:rPr>
          <w:b/>
        </w:rPr>
        <w:t xml:space="preserve">Residual connectivity becomes latent risk.</w:t>
      </w:r>
    </w:p>
    <w:p>
      <w:pPr>
        <w:spacing w:line="271" w:before="240" w:lineRule="auto"/>
      </w:pPr>
      <w:bookmarkStart w:id="30" w:name="e_2_reversibility_as_structural_d_6005d9"/>
      <w:r>
        <w:rPr>
          <w:b/>
          <w:sz w:val="33"/>
        </w:rPr>
        <w:t xml:space="preserve">E.2 Reversibility as Structural Discipline</w:t>
      </w:r>
      <w:bookmarkEnd w:id="30"/>
    </w:p>
    <w:p>
      <w:pPr>
        <w:spacing w:after="210" w:lineRule="auto"/>
      </w:pPr>
      <w:r>
        <w:rPr/>
        <w:t xml:space="preserve">The architecture must enforce:</w:t>
      </w:r>
    </w:p>
    <w:p>
      <w:pPr>
        <w:numPr>
          <w:ilvl w:val="0"/>
          <w:numId w:val="25"/>
        </w:numPr>
        <w:spacing w:lineRule="auto"/>
      </w:pPr>
      <w:r>
        <w:rPr/>
        <w:t xml:space="preserve">Idempotent provisioning from authoritative state</w:t>
      </w:r>
    </w:p>
    <w:p>
      <w:pPr>
        <w:numPr>
          <w:ilvl w:val="0"/>
          <w:numId w:val="25"/>
        </w:numPr>
        <w:spacing w:lineRule="auto"/>
      </w:pPr>
      <w:r>
        <w:rPr/>
        <w:t xml:space="preserve">Deterministic teardown removing all constructs</w:t>
      </w:r>
    </w:p>
    <w:p>
      <w:pPr>
        <w:numPr>
          <w:ilvl w:val="0"/>
          <w:numId w:val="25"/>
        </w:numPr>
        <w:spacing w:lineRule="auto"/>
      </w:pPr>
      <w:r>
        <w:rPr/>
        <w:t xml:space="preserve">Suspension capability without partial dismantling</w:t>
      </w:r>
    </w:p>
    <w:p>
      <w:pPr>
        <w:numPr>
          <w:ilvl w:val="0"/>
          <w:numId w:val="25"/>
        </w:numPr>
        <w:spacing w:lineRule="auto"/>
      </w:pPr>
      <w:r>
        <w:rPr/>
        <w:t xml:space="preserve">Renewal requiring explicit reauthorization</w:t>
      </w:r>
    </w:p>
    <w:p>
      <w:pPr>
        <w:spacing w:after="210" w:lineRule="auto"/>
      </w:pPr>
      <w:r>
        <w:rPr/>
        <w:t xml:space="preserve">The invariant:</w:t>
      </w:r>
    </w:p>
    <w:p>
      <w:pPr>
        <w:spacing w:after="210" w:lineRule="auto"/>
      </w:pPr>
      <w:r>
        <w:rPr>
          <w:i/>
        </w:rPr>
        <w:t xml:space="preserve">Exposure persists only while declared.</w:t>
      </w:r>
    </w:p>
    <w:p>
      <w:pPr>
        <w:spacing w:line="271" w:before="240" w:lineRule="auto"/>
      </w:pPr>
      <w:bookmarkStart w:id="31" w:name="e_3_implementation_requirements"/>
      <w:r>
        <w:rPr>
          <w:b/>
          <w:sz w:val="33"/>
        </w:rPr>
        <w:t xml:space="preserve">E.3 Implementation Requirements</w:t>
      </w:r>
      <w:bookmarkEnd w:id="31"/>
    </w:p>
    <w:p>
      <w:pPr>
        <w:spacing w:after="210" w:lineRule="auto"/>
      </w:pPr>
      <w:r>
        <w:rPr>
          <w:b/>
        </w:rPr>
        <w:t xml:space="preserve">Declarative Configuration Templates</w:t>
      </w:r>
    </w:p>
    <w:p>
      <w:pPr>
        <w:spacing w:after="210" w:lineRule="auto"/>
      </w:pPr>
      <w:r>
        <w:rPr/>
        <w:t xml:space="preserve">Tenant definitions are expressed in declarative configuration formats that serve as authoritative state. Provisioning applies this state idempotently.</w:t>
      </w:r>
    </w:p>
    <w:p>
      <w:pPr>
        <w:spacing w:after="210" w:lineRule="auto"/>
      </w:pPr>
      <w:r>
        <w:rPr>
          <w:b/>
        </w:rPr>
        <w:t xml:space="preserve">Lifecycle Orchestration</w:t>
      </w:r>
    </w:p>
    <w:p>
      <w:pPr>
        <w:spacing w:after="210" w:lineRule="auto"/>
      </w:pPr>
      <w:r>
        <w:rPr/>
        <w:t xml:space="preserve">Automated workflows manage tenant creation, modification, suspension, and deletion based on lifecycle events (expiration, ownership change, application retirement).</w:t>
      </w:r>
    </w:p>
    <w:p>
      <w:pPr>
        <w:spacing w:after="210" w:lineRule="auto"/>
      </w:pPr>
      <w:r>
        <w:rPr>
          <w:b/>
        </w:rPr>
        <w:t xml:space="preserve">Idempotent State Application</w:t>
      </w:r>
    </w:p>
    <w:p>
      <w:pPr>
        <w:spacing w:after="210" w:lineRule="auto"/>
      </w:pPr>
      <w:r>
        <w:rPr/>
        <w:t xml:space="preserve">Applying the same tenant configuration multiple times produces identical results without side effects or configuration drift.</w:t>
      </w:r>
    </w:p>
    <w:p>
      <w:pPr>
        <w:spacing w:after="210" w:lineRule="auto"/>
      </w:pPr>
      <w:r>
        <w:rPr>
          <w:b/>
        </w:rPr>
        <w:t xml:space="preserve">Deterministic Teardown Routines</w:t>
      </w:r>
    </w:p>
    <w:p>
      <w:pPr>
        <w:spacing w:after="210" w:lineRule="auto"/>
      </w:pPr>
      <w:r>
        <w:rPr/>
        <w:t xml:space="preserve">Deletion of a tenant triggers removal of:</w:t>
      </w:r>
    </w:p>
    <w:p>
      <w:pPr>
        <w:numPr>
          <w:ilvl w:val="0"/>
          <w:numId w:val="26"/>
        </w:numPr>
        <w:spacing w:lineRule="auto"/>
      </w:pPr>
      <w:r>
        <w:rPr/>
        <w:t xml:space="preserve">Routing contexts and forwarding tables</w:t>
      </w:r>
    </w:p>
    <w:p>
      <w:pPr>
        <w:numPr>
          <w:ilvl w:val="0"/>
          <w:numId w:val="26"/>
        </w:numPr>
        <w:spacing w:lineRule="auto"/>
      </w:pPr>
      <w:r>
        <w:rPr/>
        <w:t xml:space="preserve">Tunnel endpoints and transport state</w:t>
      </w:r>
    </w:p>
    <w:p>
      <w:pPr>
        <w:numPr>
          <w:ilvl w:val="0"/>
          <w:numId w:val="26"/>
        </w:numPr>
        <w:spacing w:lineRule="auto"/>
      </w:pPr>
      <w:r>
        <w:rPr/>
        <w:t xml:space="preserve">Mediation proxies and enforcement constructs</w:t>
      </w:r>
    </w:p>
    <w:p>
      <w:pPr>
        <w:numPr>
          <w:ilvl w:val="0"/>
          <w:numId w:val="26"/>
        </w:numPr>
        <w:spacing w:lineRule="auto"/>
      </w:pPr>
      <w:r>
        <w:rPr/>
        <w:t xml:space="preserve">Identity stores and certificate trust anchors</w:t>
      </w:r>
    </w:p>
    <w:p>
      <w:pPr>
        <w:numPr>
          <w:ilvl w:val="0"/>
          <w:numId w:val="26"/>
        </w:numPr>
        <w:spacing w:lineRule="auto"/>
      </w:pPr>
      <w:r>
        <w:rPr/>
        <w:t xml:space="preserve">Inspection hooks and telemetry export configurations</w:t>
      </w:r>
    </w:p>
    <w:p>
      <w:pPr>
        <w:spacing w:after="210" w:lineRule="auto"/>
      </w:pPr>
      <w:r>
        <w:rPr/>
        <w:t xml:space="preserve">No residual artifacts remain after teardown.</w:t>
      </w:r>
    </w:p>
    <w:p>
      <w:pPr>
        <w:spacing w:line="271" w:before="240" w:lineRule="auto"/>
      </w:pPr>
      <w:bookmarkStart w:id="32" w:name="e_4_failure_modes_prevented"/>
      <w:r>
        <w:rPr>
          <w:b/>
          <w:sz w:val="33"/>
        </w:rPr>
        <w:t xml:space="preserve">E.4 Failure Modes Prevented</w:t>
      </w:r>
      <w:bookmarkEnd w:id="32"/>
    </w:p>
    <w:p>
      <w:pPr>
        <w:numPr>
          <w:ilvl w:val="0"/>
          <w:numId w:val="27"/>
        </w:numPr>
        <w:spacing w:lineRule="auto"/>
      </w:pPr>
      <w:r>
        <w:rPr/>
        <w:t xml:space="preserve">Orphaned tunnels</w:t>
      </w:r>
    </w:p>
    <w:p>
      <w:pPr>
        <w:numPr>
          <w:ilvl w:val="0"/>
          <w:numId w:val="27"/>
        </w:numPr>
        <w:spacing w:lineRule="auto"/>
      </w:pPr>
      <w:r>
        <w:rPr/>
        <w:t xml:space="preserve">Residual firewall rules</w:t>
      </w:r>
    </w:p>
    <w:p>
      <w:pPr>
        <w:numPr>
          <w:ilvl w:val="0"/>
          <w:numId w:val="27"/>
        </w:numPr>
        <w:spacing w:lineRule="auto"/>
      </w:pPr>
      <w:r>
        <w:rPr/>
        <w:t xml:space="preserve">Undocumented route propagation</w:t>
      </w:r>
    </w:p>
    <w:p>
      <w:pPr>
        <w:numPr>
          <w:ilvl w:val="0"/>
          <w:numId w:val="27"/>
        </w:numPr>
        <w:spacing w:lineRule="auto"/>
      </w:pPr>
      <w:r>
        <w:rPr/>
        <w:t xml:space="preserve">Persistent trust after business termination</w:t>
      </w:r>
    </w:p>
    <w:p>
      <w:pPr>
        <w:spacing w:line="271" w:before="240" w:lineRule="auto"/>
      </w:pPr>
      <w:bookmarkStart w:id="33" w:name="e_5_validation_criteria"/>
      <w:r>
        <w:rPr>
          <w:b/>
          <w:sz w:val="33"/>
        </w:rPr>
        <w:t xml:space="preserve">E.5 Validation Criteria</w:t>
      </w:r>
      <w:bookmarkEnd w:id="33"/>
    </w:p>
    <w:p>
      <w:pPr>
        <w:spacing w:after="210" w:lineRule="auto"/>
      </w:pPr>
      <w:r>
        <w:rPr/>
        <w:t xml:space="preserve">An implementation satisfies lifecycle invariants if:</w:t>
      </w:r>
    </w:p>
    <w:p>
      <w:pPr>
        <w:numPr>
          <w:ilvl w:val="0"/>
          <w:numId w:val="28"/>
        </w:numPr>
        <w:spacing w:lineRule="auto"/>
      </w:pPr>
      <w:r>
        <w:rPr/>
        <w:t xml:space="preserve">Complete removal of a Tenant eliminates all routing and mediation constructs</w:t>
      </w:r>
    </w:p>
    <w:p>
      <w:pPr>
        <w:numPr>
          <w:ilvl w:val="0"/>
          <w:numId w:val="28"/>
        </w:numPr>
        <w:spacing w:lineRule="auto"/>
      </w:pPr>
      <w:r>
        <w:rPr/>
        <w:t xml:space="preserve">Re-creation produces identical deterministic state</w:t>
      </w:r>
    </w:p>
    <w:p>
      <w:pPr>
        <w:numPr>
          <w:ilvl w:val="0"/>
          <w:numId w:val="28"/>
        </w:numPr>
        <w:spacing w:lineRule="auto"/>
      </w:pPr>
      <w:r>
        <w:rPr/>
        <w:t xml:space="preserve">Audit logs reflect lifecycle transitions</w:t>
      </w:r>
    </w:p>
    <w:p>
      <w:pPr>
        <w:numPr>
          <w:ilvl w:val="0"/>
          <w:numId w:val="28"/>
        </w:numPr>
        <w:spacing w:lineRule="auto"/>
      </w:pPr>
      <w:r>
        <w:rPr/>
        <w:t xml:space="preserve">Expiration without renewal results in enforced suspension</w:t>
      </w:r>
    </w:p>
    <w:p>
      <w:pPr>
        <w:spacing w:after="210" w:lineRule="auto"/>
      </w:pPr>
      <w:r>
        <w:rPr>
          <w:b/>
        </w:rPr>
        <w:t xml:space="preserve">Reversibility prevents systemic entropy.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appendix_f_extensibility_without_erosion"/>
      <w:r>
        <w:rPr>
          <w:rFonts w:eastAsia="Georgia" w:cs="Georgia" w:ascii="Georgia" w:hAnsi="Georgia"/>
          <w:b/>
          <w:sz w:val="42"/>
        </w:rPr>
        <w:t xml:space="preserve">Appendix F – Extensibility Without Erosion</w:t>
      </w:r>
      <w:bookmarkEnd w:id="34"/>
    </w:p>
    <w:p>
      <w:pPr>
        <w:spacing w:line="271" w:before="240" w:lineRule="auto"/>
      </w:pPr>
      <w:bookmarkStart w:id="35" w:name="f_1_the_extension_risk"/>
      <w:r>
        <w:rPr>
          <w:b/>
          <w:sz w:val="33"/>
        </w:rPr>
        <w:t xml:space="preserve">F.1 The Extension Risk</w:t>
      </w:r>
      <w:bookmarkEnd w:id="35"/>
    </w:p>
    <w:p>
      <w:pPr>
        <w:spacing w:after="210" w:lineRule="auto"/>
      </w:pPr>
      <w:r>
        <w:rPr/>
        <w:t xml:space="preserve">New protocols, inspection modules, and mediation types will be introduced over time. Without guardrails, these additions can bypass containment layers.</w:t>
      </w:r>
    </w:p>
    <w:p>
      <w:pPr>
        <w:spacing w:line="271" w:before="240" w:lineRule="auto"/>
      </w:pPr>
      <w:bookmarkStart w:id="36" w:name="f_2_guardrail_enforced_extension_model"/>
      <w:r>
        <w:rPr>
          <w:b/>
          <w:sz w:val="33"/>
        </w:rPr>
        <w:t xml:space="preserve">F.2 Guardrail-Enforced Extension Model</w:t>
      </w:r>
      <w:bookmarkEnd w:id="36"/>
    </w:p>
    <w:p>
      <w:pPr>
        <w:spacing w:after="210" w:lineRule="auto"/>
      </w:pPr>
      <w:r>
        <w:rPr/>
        <w:t xml:space="preserve">Extensions must:</w:t>
      </w:r>
    </w:p>
    <w:p>
      <w:pPr>
        <w:numPr>
          <w:ilvl w:val="0"/>
          <w:numId w:val="29"/>
        </w:numPr>
        <w:spacing w:lineRule="auto"/>
      </w:pPr>
      <w:r>
        <w:rPr/>
        <w:t xml:space="preserve">Integrate through Tenant lifecycle hooks</w:t>
      </w:r>
    </w:p>
    <w:p>
      <w:pPr>
        <w:numPr>
          <w:ilvl w:val="0"/>
          <w:numId w:val="29"/>
        </w:numPr>
        <w:spacing w:lineRule="auto"/>
      </w:pPr>
      <w:r>
        <w:rPr/>
        <w:t xml:space="preserve">Inherit isolation and identity semantics</w:t>
      </w:r>
    </w:p>
    <w:p>
      <w:pPr>
        <w:numPr>
          <w:ilvl w:val="0"/>
          <w:numId w:val="29"/>
        </w:numPr>
        <w:spacing w:lineRule="auto"/>
      </w:pPr>
      <w:r>
        <w:rPr/>
        <w:t xml:space="preserve">Respect routing containment</w:t>
      </w:r>
    </w:p>
    <w:p>
      <w:pPr>
        <w:numPr>
          <w:ilvl w:val="0"/>
          <w:numId w:val="29"/>
        </w:numPr>
        <w:spacing w:lineRule="auto"/>
      </w:pPr>
      <w:r>
        <w:rPr/>
        <w:t xml:space="preserve">Avoid bypassing mediation constructs</w:t>
      </w:r>
    </w:p>
    <w:p>
      <w:pPr>
        <w:spacing w:after="210" w:lineRule="auto"/>
      </w:pPr>
      <w:r>
        <w:rPr/>
        <w:t xml:space="preserve">The invariant:</w:t>
      </w:r>
    </w:p>
    <w:p>
      <w:pPr>
        <w:spacing w:after="210" w:lineRule="auto"/>
      </w:pPr>
      <w:r>
        <w:rPr>
          <w:i/>
        </w:rPr>
        <w:t xml:space="preserve">No extension may operate outside Tenant structural context.</w:t>
      </w:r>
    </w:p>
    <w:p>
      <w:pPr>
        <w:spacing w:line="271" w:before="240" w:lineRule="auto"/>
      </w:pPr>
      <w:bookmarkStart w:id="37" w:name="f_3_implementation_requirements"/>
      <w:r>
        <w:rPr>
          <w:b/>
          <w:sz w:val="33"/>
        </w:rPr>
        <w:t xml:space="preserve">F.3 Implementation Requirements</w:t>
      </w:r>
      <w:bookmarkEnd w:id="37"/>
    </w:p>
    <w:p>
      <w:pPr>
        <w:spacing w:after="210" w:lineRule="auto"/>
      </w:pPr>
      <w:r>
        <w:rPr>
          <w:b/>
        </w:rPr>
        <w:t xml:space="preserve">Hook and Dispatch Framework</w:t>
      </w:r>
    </w:p>
    <w:p>
      <w:pPr>
        <w:spacing w:after="210" w:lineRule="auto"/>
      </w:pPr>
      <w:r>
        <w:rPr/>
        <w:t xml:space="preserve">The platform provides defined extension points within tenant lifecycle and mediation flows where additional capabilities can be invoked.</w:t>
      </w:r>
    </w:p>
    <w:p>
      <w:pPr>
        <w:spacing w:after="210" w:lineRule="auto"/>
      </w:pPr>
      <w:r>
        <w:rPr>
          <w:b/>
        </w:rPr>
        <w:t xml:space="preserve">Tenant-Scoped Extension Loading</w:t>
      </w:r>
    </w:p>
    <w:p>
      <w:pPr>
        <w:spacing w:after="210" w:lineRule="auto"/>
      </w:pPr>
      <w:r>
        <w:rPr/>
        <w:t xml:space="preserve">Extensions are loaded within tenant context and cannot access resources or routing outside their assigned tenant boundary.</w:t>
      </w:r>
    </w:p>
    <w:p>
      <w:pPr>
        <w:spacing w:after="210" w:lineRule="auto"/>
      </w:pPr>
      <w:r>
        <w:rPr>
          <w:b/>
        </w:rPr>
        <w:t xml:space="preserve">Controlled Invocation Model</w:t>
      </w:r>
    </w:p>
    <w:p>
      <w:pPr>
        <w:spacing w:after="210" w:lineRule="auto"/>
      </w:pPr>
      <w:r>
        <w:rPr/>
        <w:t xml:space="preserve">Extensions are invoked through platform-controlled dispatch mechanisms that enforce ordering, input validation, and output constraints.</w:t>
      </w:r>
    </w:p>
    <w:p>
      <w:pPr>
        <w:spacing w:after="210" w:lineRule="auto"/>
      </w:pPr>
      <w:r>
        <w:rPr>
          <w:b/>
        </w:rPr>
        <w:t xml:space="preserve">Isolation Inheritance</w:t>
      </w:r>
    </w:p>
    <w:p>
      <w:pPr>
        <w:spacing w:after="210" w:lineRule="auto"/>
      </w:pPr>
      <w:r>
        <w:rPr/>
        <w:t xml:space="preserve">Extensions automatically inherit the isolation, identity, and containment properties of the tenant within which they operate.</w:t>
      </w:r>
    </w:p>
    <w:p>
      <w:pPr>
        <w:spacing w:line="271" w:before="240" w:lineRule="auto"/>
      </w:pPr>
      <w:bookmarkStart w:id="38" w:name="f_4_validation_criteria"/>
      <w:r>
        <w:rPr>
          <w:b/>
          <w:sz w:val="33"/>
        </w:rPr>
        <w:t xml:space="preserve">F.4 Validation Criteria</w:t>
      </w:r>
      <w:bookmarkEnd w:id="38"/>
    </w:p>
    <w:p>
      <w:pPr>
        <w:numPr>
          <w:ilvl w:val="0"/>
          <w:numId w:val="30"/>
        </w:numPr>
        <w:spacing w:lineRule="auto"/>
      </w:pPr>
      <w:r>
        <w:rPr/>
        <w:t xml:space="preserve">Adding an extension cannot create new adjacency outside declared scope</w:t>
      </w:r>
    </w:p>
    <w:p>
      <w:pPr>
        <w:numPr>
          <w:ilvl w:val="0"/>
          <w:numId w:val="30"/>
        </w:numPr>
        <w:spacing w:lineRule="auto"/>
      </w:pPr>
      <w:r>
        <w:rPr/>
        <w:t xml:space="preserve">Removal of extension restores baseline state</w:t>
      </w:r>
    </w:p>
    <w:p>
      <w:pPr>
        <w:numPr>
          <w:ilvl w:val="0"/>
          <w:numId w:val="30"/>
        </w:numPr>
        <w:spacing w:lineRule="auto"/>
      </w:pPr>
      <w:r>
        <w:rPr/>
        <w:t xml:space="preserve">Extensions cannot modify global routing contexts</w:t>
      </w:r>
    </w:p>
    <w:p>
      <w:pPr>
        <w:spacing w:after="210" w:lineRule="auto"/>
      </w:pPr>
      <w:r>
        <w:rPr>
          <w:b/>
        </w:rPr>
        <w:t xml:space="preserve">Extensibility must preserve invariants.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appendix_g_administrative_separat_acfc49"/>
      <w:r>
        <w:rPr>
          <w:rFonts w:eastAsia="Georgia" w:cs="Georgia" w:ascii="Georgia" w:hAnsi="Georgia"/>
          <w:b/>
          <w:sz w:val="42"/>
        </w:rPr>
        <w:t xml:space="preserve">Appendix G – Administrative Separation and Operational Sustainability</w:t>
      </w:r>
      <w:bookmarkEnd w:id="39"/>
    </w:p>
    <w:p>
      <w:pPr>
        <w:spacing w:line="271" w:before="240" w:lineRule="auto"/>
      </w:pPr>
      <w:bookmarkStart w:id="40" w:name="g_1_control_plane_segregation"/>
      <w:r>
        <w:rPr>
          <w:b/>
          <w:sz w:val="33"/>
        </w:rPr>
        <w:t xml:space="preserve">G.1 Control Plane Segregation</w:t>
      </w:r>
      <w:bookmarkEnd w:id="40"/>
    </w:p>
    <w:p>
      <w:pPr>
        <w:spacing w:after="210" w:lineRule="auto"/>
      </w:pPr>
      <w:r>
        <w:rPr/>
        <w:t xml:space="preserve">Administrative and orchestration planes must be isolated from Tenant data planes. Tenant compromise must not enable platform compromise.</w:t>
      </w:r>
    </w:p>
    <w:p>
      <w:pPr>
        <w:spacing w:line="271" w:before="240" w:lineRule="auto"/>
      </w:pPr>
      <w:bookmarkStart w:id="41" w:name="g_2_implementation_requirements"/>
      <w:r>
        <w:rPr>
          <w:b/>
          <w:sz w:val="33"/>
        </w:rPr>
        <w:t xml:space="preserve">G.2 Implementation Requirements</w:t>
      </w:r>
      <w:bookmarkEnd w:id="41"/>
    </w:p>
    <w:p>
      <w:pPr>
        <w:spacing w:after="210" w:lineRule="auto"/>
      </w:pPr>
      <w:r>
        <w:rPr>
          <w:b/>
        </w:rPr>
        <w:t xml:space="preserve">Separate Management VRF or Network Namespace</w:t>
      </w:r>
    </w:p>
    <w:p>
      <w:pPr>
        <w:spacing w:after="210" w:lineRule="auto"/>
      </w:pPr>
      <w:r>
        <w:rPr/>
        <w:t xml:space="preserve">Platform management interfaces operate within a dedicated routing context isolated from tenant data paths.</w:t>
      </w:r>
    </w:p>
    <w:p>
      <w:pPr>
        <w:spacing w:after="210" w:lineRule="auto"/>
      </w:pPr>
      <w:r>
        <w:rPr>
          <w:b/>
        </w:rPr>
        <w:t xml:space="preserve">Restricted Administrative Interfaces</w:t>
      </w:r>
    </w:p>
    <w:p>
      <w:pPr>
        <w:spacing w:after="210" w:lineRule="auto"/>
      </w:pPr>
      <w:r>
        <w:rPr/>
        <w:t xml:space="preserve">Configuration APIs, orchestration endpoints, and platform services are accessible only from trusted administrative networks, not from tenant contexts.</w:t>
      </w:r>
    </w:p>
    <w:p>
      <w:pPr>
        <w:spacing w:after="210" w:lineRule="auto"/>
      </w:pPr>
      <w:r>
        <w:rPr>
          <w:b/>
        </w:rPr>
        <w:t xml:space="preserve">No Tenant-to-Admin Routing Path</w:t>
      </w:r>
    </w:p>
    <w:p>
      <w:pPr>
        <w:spacing w:after="210" w:lineRule="auto"/>
      </w:pPr>
      <w:r>
        <w:rPr/>
        <w:t xml:space="preserve">Routing and forwarding rules prevent any traffic originating in tenant domains from reaching administrative control plane interfaces.</w:t>
      </w:r>
    </w:p>
    <w:p>
      <w:pPr>
        <w:spacing w:after="210" w:lineRule="auto"/>
      </w:pPr>
      <w:r>
        <w:rPr>
          <w:b/>
        </w:rPr>
        <w:t xml:space="preserve">Hardened Service Access Controls</w:t>
      </w:r>
    </w:p>
    <w:p>
      <w:pPr>
        <w:spacing w:after="210" w:lineRule="auto"/>
      </w:pPr>
      <w:r>
        <w:rPr/>
        <w:t xml:space="preserve">Administrative services enforce authentication, authorization, and audit logging independent of tenant-layer controls.</w:t>
      </w:r>
    </w:p>
    <w:p>
      <w:pPr>
        <w:spacing w:line="271" w:before="240" w:lineRule="auto"/>
      </w:pPr>
      <w:bookmarkStart w:id="42" w:name="g_3_capacity_governance"/>
      <w:r>
        <w:rPr>
          <w:b/>
          <w:sz w:val="33"/>
        </w:rPr>
        <w:t xml:space="preserve">G.3 Capacity Governance</w:t>
      </w:r>
      <w:bookmarkEnd w:id="42"/>
    </w:p>
    <w:p>
      <w:pPr>
        <w:spacing w:after="210" w:lineRule="auto"/>
      </w:pPr>
      <w:r>
        <w:rPr/>
        <w:t xml:space="preserve">Resource monitoring must inform Tenant placement. Oversubscription must not degrade containment guarantees.</w:t>
      </w:r>
    </w:p>
    <w:p>
      <w:pPr>
        <w:spacing w:after="210" w:lineRule="auto"/>
      </w:pPr>
      <w:r>
        <w:rPr>
          <w:b/>
        </w:rPr>
        <w:t xml:space="preserve">Resource Telemetry</w:t>
      </w:r>
    </w:p>
    <w:p>
      <w:pPr>
        <w:spacing w:after="210" w:lineRule="auto"/>
      </w:pPr>
      <w:r>
        <w:rPr/>
        <w:t xml:space="preserve">The platform continuously monitors CPU utilization, memory consumption, session counts, and forwarding plane capacity.</w:t>
      </w:r>
    </w:p>
    <w:p>
      <w:pPr>
        <w:spacing w:after="210" w:lineRule="auto"/>
      </w:pPr>
      <w:r>
        <w:rPr>
          <w:b/>
        </w:rPr>
        <w:t xml:space="preserve">Polling and Reporting Utilities</w:t>
      </w:r>
    </w:p>
    <w:p>
      <w:pPr>
        <w:spacing w:after="210" w:lineRule="auto"/>
      </w:pPr>
      <w:r>
        <w:rPr/>
        <w:t xml:space="preserve">Operational dashboards surface resource utilization trends and alert when thresholds approach saturation.</w:t>
      </w:r>
    </w:p>
    <w:p>
      <w:pPr>
        <w:spacing w:after="210" w:lineRule="auto"/>
      </w:pPr>
      <w:r>
        <w:rPr>
          <w:b/>
        </w:rPr>
        <w:t xml:space="preserve">Preflight Validation</w:t>
      </w:r>
    </w:p>
    <w:p>
      <w:pPr>
        <w:spacing w:after="210" w:lineRule="auto"/>
      </w:pPr>
      <w:r>
        <w:rPr/>
        <w:t xml:space="preserve">Tenant provisioning requests trigger capacity checks. If insufficient resources exist, provisioning is deferred or rejected.</w:t>
      </w:r>
    </w:p>
    <w:p>
      <w:pPr>
        <w:spacing w:after="210" w:lineRule="auto"/>
      </w:pPr>
      <w:r>
        <w:rPr>
          <w:b/>
        </w:rPr>
        <w:t xml:space="preserve">Capacity Gating Logic</w:t>
      </w:r>
    </w:p>
    <w:p>
      <w:pPr>
        <w:spacing w:after="210" w:lineRule="auto"/>
      </w:pPr>
      <w:r>
        <w:rPr/>
        <w:t xml:space="preserve">Automated placement decisions consider current load, geographic distribution, redundancy requirements, and performance targets.</w:t>
      </w:r>
    </w:p>
    <w:p>
      <w:pPr>
        <w:spacing w:after="210" w:lineRule="auto"/>
      </w:pPr>
      <w:r>
        <w:rPr/>
        <w:t xml:space="preserve">The invariant:</w:t>
      </w:r>
    </w:p>
    <w:p>
      <w:pPr>
        <w:spacing w:after="210" w:lineRule="auto"/>
      </w:pPr>
      <w:r>
        <w:rPr>
          <w:i/>
        </w:rPr>
        <w:t xml:space="preserve">Governance enforcement must remain stable under scale.</w:t>
      </w:r>
    </w:p>
    <w:p>
      <w:pPr>
        <w:spacing w:line="271" w:before="240" w:lineRule="auto"/>
      </w:pPr>
      <w:bookmarkStart w:id="43" w:name="g_4_validation_criteria"/>
      <w:r>
        <w:rPr>
          <w:b/>
          <w:sz w:val="33"/>
        </w:rPr>
        <w:t xml:space="preserve">G.4 Validation Criteria</w:t>
      </w:r>
      <w:bookmarkEnd w:id="43"/>
    </w:p>
    <w:p>
      <w:pPr>
        <w:numPr>
          <w:ilvl w:val="0"/>
          <w:numId w:val="31"/>
        </w:numPr>
        <w:spacing w:lineRule="auto"/>
      </w:pPr>
      <w:r>
        <w:rPr/>
        <w:t xml:space="preserve">Administrative interfaces are unreachable from Tenant domains</w:t>
      </w:r>
    </w:p>
    <w:p>
      <w:pPr>
        <w:numPr>
          <w:ilvl w:val="0"/>
          <w:numId w:val="31"/>
        </w:numPr>
        <w:spacing w:lineRule="auto"/>
      </w:pPr>
      <w:r>
        <w:rPr/>
        <w:t xml:space="preserve">Resource thresholds prevent uncontrolled Tenant instantiation</w:t>
      </w:r>
    </w:p>
    <w:p>
      <w:pPr>
        <w:numPr>
          <w:ilvl w:val="0"/>
          <w:numId w:val="31"/>
        </w:numPr>
        <w:spacing w:lineRule="auto"/>
      </w:pPr>
      <w:r>
        <w:rPr/>
        <w:t xml:space="preserve">Control-plane failure does not collapse data-plane isolation</w:t>
      </w:r>
    </w:p>
    <w:p>
      <w:pPr>
        <w:spacing w:after="210" w:lineRule="auto"/>
      </w:pPr>
      <w:r>
        <w:rPr>
          <w:b/>
        </w:rPr>
        <w:t xml:space="preserve">Operational stability is part of exposure governance.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appendix_h_proof_of_architecture_450552"/>
      <w:r>
        <w:rPr>
          <w:rFonts w:eastAsia="Georgia" w:cs="Georgia" w:ascii="Georgia" w:hAnsi="Georgia"/>
          <w:b/>
          <w:sz w:val="42"/>
        </w:rPr>
        <w:t xml:space="preserve">Appendix H – Proof of Architecture: Functional Validation Summary</w:t>
      </w:r>
      <w:bookmarkEnd w:id="44"/>
    </w:p>
    <w:p>
      <w:pPr>
        <w:spacing w:line="271" w:before="240" w:lineRule="auto"/>
      </w:pPr>
      <w:bookmarkStart w:id="45" w:name="h_1_purpose_of_validation"/>
      <w:r>
        <w:rPr>
          <w:b/>
          <w:sz w:val="33"/>
        </w:rPr>
        <w:t xml:space="preserve">H.1 Purpose of Validation</w:t>
      </w:r>
      <w:bookmarkEnd w:id="45"/>
    </w:p>
    <w:p>
      <w:pPr>
        <w:spacing w:after="210" w:lineRule="auto"/>
      </w:pPr>
      <w:r>
        <w:rPr/>
        <w:t xml:space="preserve">The governed exposure model is not theoretical. It has been validated through functional implementation that demonstrates each architectural invariant in practice.</w:t>
      </w:r>
    </w:p>
    <w:p>
      <w:pPr>
        <w:spacing w:after="210" w:lineRule="auto"/>
      </w:pPr>
      <w:r>
        <w:rPr/>
        <w:t xml:space="preserve">The validation effort confirmed that:</w:t>
      </w:r>
    </w:p>
    <w:p>
      <w:pPr>
        <w:numPr>
          <w:ilvl w:val="0"/>
          <w:numId w:val="32"/>
        </w:numPr>
        <w:spacing w:lineRule="auto"/>
      </w:pPr>
      <w:r>
        <w:rPr/>
        <w:t xml:space="preserve">Tenant isolation can be structural</w:t>
      </w:r>
    </w:p>
    <w:p>
      <w:pPr>
        <w:numPr>
          <w:ilvl w:val="0"/>
          <w:numId w:val="32"/>
        </w:numPr>
        <w:spacing w:lineRule="auto"/>
      </w:pPr>
      <w:r>
        <w:rPr/>
        <w:t xml:space="preserve">Mediation can replace adjacency</w:t>
      </w:r>
    </w:p>
    <w:p>
      <w:pPr>
        <w:numPr>
          <w:ilvl w:val="0"/>
          <w:numId w:val="32"/>
        </w:numPr>
        <w:spacing w:lineRule="auto"/>
      </w:pPr>
      <w:r>
        <w:rPr/>
        <w:t xml:space="preserve">Lifecycle can be deterministic</w:t>
      </w:r>
    </w:p>
    <w:p>
      <w:pPr>
        <w:numPr>
          <w:ilvl w:val="0"/>
          <w:numId w:val="32"/>
        </w:numPr>
        <w:spacing w:lineRule="auto"/>
      </w:pPr>
      <w:r>
        <w:rPr/>
        <w:t xml:space="preserve">Extensibility can inherit containment</w:t>
      </w:r>
    </w:p>
    <w:p>
      <w:pPr>
        <w:numPr>
          <w:ilvl w:val="0"/>
          <w:numId w:val="32"/>
        </w:numPr>
        <w:spacing w:lineRule="auto"/>
      </w:pPr>
      <w:r>
        <w:rPr/>
        <w:t xml:space="preserve">Inspection can be deterministic</w:t>
      </w:r>
    </w:p>
    <w:p>
      <w:pPr>
        <w:numPr>
          <w:ilvl w:val="0"/>
          <w:numId w:val="32"/>
        </w:numPr>
        <w:spacing w:lineRule="auto"/>
      </w:pPr>
      <w:r>
        <w:rPr/>
        <w:t xml:space="preserve">Transport can be subordinate to exposure</w:t>
      </w:r>
    </w:p>
    <w:p>
      <w:pPr>
        <w:numPr>
          <w:ilvl w:val="0"/>
          <w:numId w:val="32"/>
        </w:numPr>
        <w:spacing w:lineRule="auto"/>
      </w:pPr>
      <w:r>
        <w:rPr/>
        <w:t xml:space="preserve">Governance constructs can map directly to technical constructs</w:t>
      </w:r>
    </w:p>
    <w:p>
      <w:pPr>
        <w:spacing w:line="271" w:before="240" w:lineRule="auto"/>
      </w:pPr>
      <w:bookmarkStart w:id="46" w:name="h_2_functional_decomposition"/>
      <w:r>
        <w:rPr>
          <w:b/>
          <w:sz w:val="33"/>
        </w:rPr>
        <w:t xml:space="preserve">H.2 Functional Decomposition</w:t>
      </w:r>
      <w:bookmarkEnd w:id="46"/>
    </w:p>
    <w:p>
      <w:pPr>
        <w:spacing w:after="210" w:lineRule="auto"/>
      </w:pPr>
      <w:r>
        <w:rPr>
          <w:b/>
        </w:rPr>
        <w:t xml:space="preserve">Tenant Instantiation Framework</w:t>
      </w:r>
    </w:p>
    <w:p>
      <w:pPr>
        <w:spacing w:after="210" w:lineRule="auto"/>
      </w:pPr>
      <w:r>
        <w:rPr/>
        <w:t xml:space="preserve">The implementation proved that tenants can be instantiated as atomic exposure units, each encapsulating:</w:t>
      </w:r>
    </w:p>
    <w:p>
      <w:pPr>
        <w:numPr>
          <w:ilvl w:val="0"/>
          <w:numId w:val="33"/>
        </w:numPr>
        <w:spacing w:lineRule="auto"/>
      </w:pPr>
      <w:r>
        <w:rPr/>
        <w:t xml:space="preserve">A third-party entity</w:t>
      </w:r>
    </w:p>
    <w:p>
      <w:pPr>
        <w:numPr>
          <w:ilvl w:val="0"/>
          <w:numId w:val="33"/>
        </w:numPr>
        <w:spacing w:lineRule="auto"/>
      </w:pPr>
      <w:r>
        <w:rPr/>
        <w:t xml:space="preserve">A bounded routing context</w:t>
      </w:r>
    </w:p>
    <w:p>
      <w:pPr>
        <w:numPr>
          <w:ilvl w:val="0"/>
          <w:numId w:val="33"/>
        </w:numPr>
        <w:spacing w:lineRule="auto"/>
      </w:pPr>
      <w:r>
        <w:rPr/>
        <w:t xml:space="preserve">Defined service capabilities</w:t>
      </w:r>
    </w:p>
    <w:p>
      <w:pPr>
        <w:numPr>
          <w:ilvl w:val="0"/>
          <w:numId w:val="33"/>
        </w:numPr>
        <w:spacing w:lineRule="auto"/>
      </w:pPr>
      <w:r>
        <w:rPr/>
        <w:t xml:space="preserve">Lifecycle-bound state</w:t>
      </w:r>
    </w:p>
    <w:p>
      <w:pPr>
        <w:numPr>
          <w:ilvl w:val="0"/>
          <w:numId w:val="33"/>
        </w:numPr>
        <w:spacing w:lineRule="auto"/>
      </w:pPr>
      <w:r>
        <w:rPr/>
        <w:t xml:space="preserve">Isolated enforcement constructs</w:t>
      </w:r>
    </w:p>
    <w:p>
      <w:pPr>
        <w:spacing w:after="210" w:lineRule="auto"/>
      </w:pPr>
      <w:r>
        <w:rPr/>
        <w:t xml:space="preserve">Technical validation included per-tenant routing domains, per-tenant forwarding contexts, tenant-specific IP addressing domains, tenant-specific enforcement chains, and tenant-specific mediation proxies.</w:t>
      </w:r>
    </w:p>
    <w:p>
      <w:pPr>
        <w:spacing w:after="210" w:lineRule="auto"/>
      </w:pPr>
      <w:r>
        <w:rPr>
          <w:b/>
        </w:rPr>
        <w:t xml:space="preserve">Secure Transport Layer</w:t>
      </w:r>
    </w:p>
    <w:p>
      <w:pPr>
        <w:spacing w:after="210" w:lineRule="auto"/>
      </w:pPr>
      <w:r>
        <w:rPr/>
        <w:t xml:space="preserve">Encrypted third-party ingress was implemented using standardized transport constructs bound to tenant context. Transport was restricted to declared endpoints and isolated from core routing domains.</w:t>
      </w:r>
    </w:p>
    <w:p>
      <w:pPr>
        <w:spacing w:after="210" w:lineRule="auto"/>
      </w:pPr>
      <w:r>
        <w:rPr/>
        <w:t xml:space="preserve">The validation confirmed that transport does not equal trust. Encrypted connectivity alone did not grant access to internal networks; mediation constructs were required to complete flows.</w:t>
      </w:r>
    </w:p>
    <w:p>
      <w:pPr>
        <w:spacing w:after="210" w:lineRule="auto"/>
      </w:pPr>
      <w:r>
        <w:rPr>
          <w:b/>
        </w:rPr>
        <w:t xml:space="preserve">Dual-Proxy Mediation Model</w:t>
      </w:r>
    </w:p>
    <w:p>
      <w:pPr>
        <w:spacing w:after="210" w:lineRule="auto"/>
      </w:pPr>
      <w:r>
        <w:rPr/>
        <w:t xml:space="preserve">The implementation proved that proxy-to-proxy mediation between tenant ingress and internal capability layers can replace routed adjacency with mediated capability exposure.</w:t>
      </w:r>
    </w:p>
    <w:p>
      <w:pPr>
        <w:spacing w:after="210" w:lineRule="auto"/>
      </w:pPr>
      <w:r>
        <w:rPr/>
        <w:t xml:space="preserve">Technical validation included tier-1 tenant proxies with mTLS identity enforcement, tier-2 internal proxies with core VRF separation, service-specific allow-lists, destination constraint enforcement, and protocol mediation.</w:t>
      </w:r>
    </w:p>
    <w:p>
      <w:pPr>
        <w:spacing w:after="210" w:lineRule="auto"/>
      </w:pPr>
      <w:r>
        <w:rPr>
          <w:rFonts w:eastAsia="Georgia" w:cs="Georgia" w:ascii="Georgia" w:hAnsi="Georgia"/>
        </w:rPr>
        <w:t xml:space="preserve">The traffic path validated was: External → Tenant Ingress → Tenant Mediation → Internal Mediation → Application, with no direct routed path.</w:t>
      </w:r>
    </w:p>
    <w:p>
      <w:pPr>
        <w:spacing w:after="210" w:lineRule="auto"/>
      </w:pPr>
      <w:r>
        <w:rPr/>
        <w:t xml:space="preserve">This validation demonstrated that capability adjacency replaces subnet adjacency, directionality is enforced, destination scope is enforced, and identity can be bound to mediation context.</w:t>
      </w:r>
    </w:p>
    <w:p>
      <w:pPr>
        <w:spacing w:after="210" w:lineRule="auto"/>
      </w:pPr>
      <w:r>
        <w:rPr>
          <w:b/>
        </w:rPr>
        <w:t xml:space="preserve">Identity Binding</w:t>
      </w:r>
    </w:p>
    <w:p>
      <w:pPr>
        <w:spacing w:after="210" w:lineRule="auto"/>
      </w:pPr>
      <w:r>
        <w:rPr/>
        <w:t xml:space="preserve">The implementation enforced identity at mediation points. Access decisions were not based solely on source IP.</w:t>
      </w:r>
    </w:p>
    <w:p>
      <w:pPr>
        <w:spacing w:after="210" w:lineRule="auto"/>
      </w:pPr>
      <w:r>
        <w:rPr/>
        <w:t xml:space="preserve">Technical validation included mTLS per-tenant identity validation, certificate-based subject validation, per-tenant trust anchors, and identity-to-capability binding.</w:t>
      </w:r>
    </w:p>
    <w:p>
      <w:pPr>
        <w:spacing w:after="210" w:lineRule="auto"/>
      </w:pPr>
      <w:r>
        <w:rPr/>
        <w:t xml:space="preserve">This confirmed that identity is bound to exposure context and that a valid tunnel without valid identity does not grant access. The implementation prevented implicit IP-based trust and cross-tenant credential replay.</w:t>
      </w:r>
    </w:p>
    <w:p>
      <w:pPr>
        <w:spacing w:after="210" w:lineRule="auto"/>
      </w:pPr>
      <w:r>
        <w:rPr>
          <w:b/>
        </w:rPr>
        <w:t xml:space="preserve">Deterministic Inspection Points</w:t>
      </w:r>
    </w:p>
    <w:p>
      <w:pPr>
        <w:spacing w:after="210" w:lineRule="auto"/>
      </w:pPr>
      <w:r>
        <w:rPr/>
        <w:t xml:space="preserve">Inspection and export capability was embedded within tenant boundaries. Inspection was tenant-scoped, attached at defined mediation layers, and optional but deterministic.</w:t>
      </w:r>
    </w:p>
    <w:p>
      <w:pPr>
        <w:spacing w:after="210" w:lineRule="auto"/>
      </w:pPr>
      <w:r>
        <w:rPr/>
        <w:t xml:space="preserve">Technical validation included traffic mirroring hooks, export pipelines, inspection addon modules, and policy-controlled activation.</w:t>
      </w:r>
    </w:p>
    <w:p>
      <w:pPr>
        <w:spacing w:after="210" w:lineRule="auto"/>
      </w:pPr>
      <w:r>
        <w:rPr/>
        <w:t xml:space="preserve">This confirmed that visibility does not alter routing semantics and that inspection occurred without bypassing containment.</w:t>
      </w:r>
    </w:p>
    <w:p>
      <w:pPr>
        <w:spacing w:after="210" w:lineRule="auto"/>
      </w:pPr>
      <w:r>
        <w:rPr>
          <w:b/>
        </w:rPr>
        <w:t xml:space="preserve">Lifecycle Automation</w:t>
      </w:r>
    </w:p>
    <w:p>
      <w:pPr>
        <w:spacing w:after="210" w:lineRule="auto"/>
      </w:pPr>
      <w:r>
        <w:rPr/>
        <w:t xml:space="preserve">Idempotent provisioning and teardown was implemented. Tenants could be created, validated, suspended, and deleted.</w:t>
      </w:r>
    </w:p>
    <w:p>
      <w:pPr>
        <w:spacing w:after="210" w:lineRule="auto"/>
      </w:pPr>
      <w:r>
        <w:rPr/>
        <w:t xml:space="preserve">Deletion removed tunnels, routes, proxies, identity stores, and inspection hooks.</w:t>
      </w:r>
    </w:p>
    <w:p>
      <w:pPr>
        <w:spacing w:after="210" w:lineRule="auto"/>
      </w:pPr>
      <w:r>
        <w:rPr/>
        <w:t xml:space="preserve">Technical validation included declarative configuration templates, lifecycle orchestration scripts, idempotent state application, and deterministic teardown routines.</w:t>
      </w:r>
    </w:p>
    <w:p>
      <w:pPr>
        <w:spacing w:after="210" w:lineRule="auto"/>
      </w:pPr>
      <w:r>
        <w:rPr/>
        <w:t xml:space="preserve">This confirmed that exposure is reversible and that no residual routing artifacts remain after teardown.</w:t>
      </w:r>
    </w:p>
    <w:p>
      <w:pPr>
        <w:spacing w:after="210" w:lineRule="auto"/>
      </w:pPr>
      <w:r>
        <w:rPr>
          <w:b/>
        </w:rPr>
        <w:t xml:space="preserve">Guardrail-Enforced Extensibility</w:t>
      </w:r>
    </w:p>
    <w:p>
      <w:pPr>
        <w:spacing w:after="210" w:lineRule="auto"/>
      </w:pPr>
      <w:r>
        <w:rPr/>
        <w:t xml:space="preserve">The implementation supported extension modules (inspection addons, protocol-specific mediation layers) without bypassing core enforcement planes.</w:t>
      </w:r>
    </w:p>
    <w:p>
      <w:pPr>
        <w:spacing w:after="210" w:lineRule="auto"/>
      </w:pPr>
      <w:r>
        <w:rPr/>
        <w:t xml:space="preserve">Technical validation included hook and dispatch frameworks, tenant-scoped extension loading, controlled invocation models, and isolation inheritance.</w:t>
      </w:r>
    </w:p>
    <w:p>
      <w:pPr>
        <w:spacing w:after="210" w:lineRule="auto"/>
      </w:pPr>
      <w:r>
        <w:rPr/>
        <w:t xml:space="preserve">This confirmed that extensions inherit containment and that no extension could create new adjacency, escape tenant context, or bypass mediation.</w:t>
      </w:r>
    </w:p>
    <w:p>
      <w:pPr>
        <w:spacing w:after="210" w:lineRule="auto"/>
      </w:pPr>
      <w:r>
        <w:rPr>
          <w:b/>
        </w:rPr>
        <w:t xml:space="preserve">Administrative Plane Separation</w:t>
      </w:r>
    </w:p>
    <w:p>
      <w:pPr>
        <w:spacing w:after="210" w:lineRule="auto"/>
      </w:pPr>
      <w:r>
        <w:rPr/>
        <w:t xml:space="preserve">The implementation separated tenant data plane from management and control plane.</w:t>
      </w:r>
    </w:p>
    <w:p>
      <w:pPr>
        <w:spacing w:after="210" w:lineRule="auto"/>
      </w:pPr>
      <w:r>
        <w:rPr/>
        <w:t xml:space="preserve">Technical validation included separate VRF for management, restricted administrative interfaces, no tenant-to-admin routing path, and hardened service access controls.</w:t>
      </w:r>
    </w:p>
    <w:p>
      <w:pPr>
        <w:spacing w:after="210" w:lineRule="auto"/>
      </w:pPr>
      <w:r>
        <w:rPr/>
        <w:t xml:space="preserve">This confirmed that tenant compromise does not equal platform compromise.</w:t>
      </w:r>
    </w:p>
    <w:p>
      <w:pPr>
        <w:spacing w:after="210" w:lineRule="auto"/>
      </w:pPr>
      <w:r>
        <w:rPr>
          <w:b/>
        </w:rPr>
        <w:t xml:space="preserve">Capacity and Placement Governance</w:t>
      </w:r>
    </w:p>
    <w:p>
      <w:pPr>
        <w:spacing w:after="210" w:lineRule="auto"/>
      </w:pPr>
      <w:r>
        <w:rPr/>
        <w:t xml:space="preserve">The implementation included performance monitoring and eligibility checks before instantiation.</w:t>
      </w:r>
    </w:p>
    <w:p>
      <w:pPr>
        <w:spacing w:after="210" w:lineRule="auto"/>
      </w:pPr>
      <w:r>
        <w:rPr/>
        <w:t xml:space="preserve">Technical validation included resource telemetry (CPU, memory, session count), polling and reporting utilities, preflight validation scripts, and capacity gating logic.</w:t>
      </w:r>
    </w:p>
    <w:p>
      <w:pPr>
        <w:spacing w:after="210" w:lineRule="auto"/>
      </w:pPr>
      <w:r>
        <w:rPr/>
        <w:t xml:space="preserve">This confirmed that scale cannot degrade containment guarantees and that oversubscription does not silently erode enforcement integrity.</w:t>
      </w:r>
    </w:p>
    <w:p>
      <w:pPr>
        <w:spacing w:line="271" w:before="240" w:lineRule="auto"/>
      </w:pPr>
      <w:bookmarkStart w:id="47" w:name="h_3_what_was_proven"/>
      <w:r>
        <w:rPr>
          <w:b/>
          <w:sz w:val="33"/>
        </w:rPr>
        <w:t xml:space="preserve">H.3 What Was Proven</w:t>
      </w:r>
      <w:bookmarkEnd w:id="47"/>
    </w:p>
    <w:p>
      <w:pPr>
        <w:spacing w:after="210" w:lineRule="auto"/>
      </w:pPr>
      <w:r>
        <w:rPr/>
        <w:t xml:space="preserve">The validation demonstrated that:</w:t>
      </w:r>
    </w:p>
    <w:p>
      <w:pPr>
        <w:numPr>
          <w:ilvl w:val="0"/>
          <w:numId w:val="34"/>
        </w:numPr>
        <w:spacing w:lineRule="auto"/>
      </w:pPr>
      <w:r>
        <w:rPr/>
        <w:t xml:space="preserve">Structural tenant isolation is achievable</w:t>
      </w:r>
    </w:p>
    <w:p>
      <w:pPr>
        <w:numPr>
          <w:ilvl w:val="0"/>
          <w:numId w:val="34"/>
        </w:numPr>
        <w:spacing w:lineRule="auto"/>
      </w:pPr>
      <w:r>
        <w:rPr/>
        <w:t xml:space="preserve">Mediation can replace routed adjacency</w:t>
      </w:r>
    </w:p>
    <w:p>
      <w:pPr>
        <w:numPr>
          <w:ilvl w:val="0"/>
          <w:numId w:val="34"/>
        </w:numPr>
        <w:spacing w:lineRule="auto"/>
      </w:pPr>
      <w:r>
        <w:rPr/>
        <w:t xml:space="preserve">Transport can be subordinate</w:t>
      </w:r>
    </w:p>
    <w:p>
      <w:pPr>
        <w:numPr>
          <w:ilvl w:val="0"/>
          <w:numId w:val="34"/>
        </w:numPr>
        <w:spacing w:lineRule="auto"/>
      </w:pPr>
      <w:r>
        <w:rPr/>
        <w:t xml:space="preserve">Identity can be tenant-scoped</w:t>
      </w:r>
    </w:p>
    <w:p>
      <w:pPr>
        <w:numPr>
          <w:ilvl w:val="0"/>
          <w:numId w:val="34"/>
        </w:numPr>
        <w:spacing w:lineRule="auto"/>
      </w:pPr>
      <w:r>
        <w:rPr/>
        <w:t xml:space="preserve">Inspection can be deterministic</w:t>
      </w:r>
    </w:p>
    <w:p>
      <w:pPr>
        <w:numPr>
          <w:ilvl w:val="0"/>
          <w:numId w:val="34"/>
        </w:numPr>
        <w:spacing w:lineRule="auto"/>
      </w:pPr>
      <w:r>
        <w:rPr/>
        <w:t xml:space="preserve">Lifecycle can be idempotent</w:t>
      </w:r>
    </w:p>
    <w:p>
      <w:pPr>
        <w:numPr>
          <w:ilvl w:val="0"/>
          <w:numId w:val="34"/>
        </w:numPr>
        <w:spacing w:lineRule="auto"/>
      </w:pPr>
      <w:r>
        <w:rPr/>
        <w:t xml:space="preserve">Extensions can inherit containment</w:t>
      </w:r>
    </w:p>
    <w:p>
      <w:pPr>
        <w:numPr>
          <w:ilvl w:val="0"/>
          <w:numId w:val="34"/>
        </w:numPr>
        <w:spacing w:lineRule="auto"/>
      </w:pPr>
      <w:r>
        <w:rPr/>
        <w:t xml:space="preserve">Control planes can remain segregated</w:t>
      </w:r>
    </w:p>
    <w:p>
      <w:pPr>
        <w:numPr>
          <w:ilvl w:val="0"/>
          <w:numId w:val="34"/>
        </w:numPr>
        <w:spacing w:lineRule="auto"/>
      </w:pPr>
      <w:r>
        <w:rPr/>
        <w:t xml:space="preserve">Governance constructs can map directly to routing constructs</w:t>
      </w:r>
    </w:p>
    <w:p>
      <w:pPr>
        <w:spacing w:after="210" w:lineRule="auto"/>
      </w:pPr>
      <w:r>
        <w:rPr>
          <w:b/>
        </w:rPr>
        <w:t xml:space="preserve">The architecture is implementable, not theoretical.</w:t>
      </w:r>
    </w:p>
    <w:p>
      <w:pPr>
        <w:spacing w:line="271" w:before="240" w:lineRule="auto"/>
      </w:pPr>
      <w:bookmarkStart w:id="48" w:name="h_4_the_critical_insight"/>
      <w:r>
        <w:rPr>
          <w:b/>
          <w:sz w:val="33"/>
        </w:rPr>
        <w:t xml:space="preserve">H.4 The Critical Insight</w:t>
      </w:r>
      <w:bookmarkEnd w:id="48"/>
    </w:p>
    <w:p>
      <w:pPr>
        <w:spacing w:after="210" w:lineRule="auto"/>
      </w:pPr>
      <w:r>
        <w:rPr/>
        <w:t xml:space="preserve">The validation effort redefined what a third-party connection is:</w:t>
      </w:r>
    </w:p>
    <w:p>
      <w:pPr>
        <w:spacing w:after="210" w:lineRule="auto"/>
      </w:pPr>
      <w:r>
        <w:rPr/>
        <w:t xml:space="preserve">Not a tunnel.</w:t>
      </w:r>
      <w:r>
        <w:rPr/>
        <w:br w:type="textWrapping"/>
      </w:r>
      <w:r>
        <w:rPr/>
        <w:t xml:space="preserve">Not a firewall rule.</w:t>
      </w:r>
      <w:r>
        <w:rPr/>
        <w:br w:type="textWrapping"/>
      </w:r>
      <w:r>
        <w:rPr/>
        <w:t xml:space="preserve">Not a route.</w:t>
      </w:r>
    </w:p>
    <w:p>
      <w:pPr>
        <w:spacing w:after="210" w:lineRule="auto"/>
      </w:pPr>
      <w:r>
        <w:rPr/>
        <w:t xml:space="preserve">But a </w:t>
      </w:r>
      <w:r>
        <w:rPr>
          <w:b/>
        </w:rPr>
        <w:t xml:space="preserve">bounded, lifecycle-managed, mediated exposure domain.</w:t>
      </w:r>
    </w:p>
    <w:p>
      <w:pPr>
        <w:spacing w:after="210" w:lineRule="auto"/>
      </w:pPr>
      <w:r>
        <w:rPr>
          <w:rFonts w:eastAsia="Georgia" w:cs="Georgia" w:ascii="Georgia" w:hAnsi="Georgia"/>
        </w:rPr>
        <w:t xml:space="preserve">This fundamental reconceptualization—validated through implementation—enables enterprises to govern connectivity at the same scale and pace as business growth, transforming third-party integration from an accumulation of network artifacts into a structured, accountable, and reversible capability aligned to enterprise objectives.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decimal"/>
      <w:lvlText w:val="%1."/>
      <w:lvlJc w:val="left"/>
      <w:pPr>
        <w:tabs>
          <w:tab w:val="num" w:pos="1080"/>
        </w:tabs>
        <w:ind w:left="720" w:hanging="360"/>
      </w:p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2026-02-24T23:28:38.395Z</dcterms:created>
  <dcterms:modified xsi:type="dcterms:W3CDTF">2026-02-24T23:28:38.395Z</dcterms:modified>
</cp:coreProperties>
</file>