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third_party_connectivity_transiti_1b945c"/>
      <w:r>
        <w:rPr>
          <w:rFonts w:eastAsia="Georgia" w:cs="Georgia" w:ascii="Georgia" w:hAnsi="Georgia"/>
          <w:b/>
          <w:sz w:val="56"/>
        </w:rPr>
        <w:t xml:space="preserve">Third‑Party Connectivity Transition Strategy: Executive Brief</w:t>
      </w:r>
      <w:bookmarkEnd w:id="0"/>
    </w:p>
    <w:p>
      <w:pPr>
        <w:spacing w:line="271" w:before="240" w:lineRule="auto"/>
      </w:pPr>
      <w:bookmarkStart w:id="1" w:name="the_challenge"/>
      <w:r>
        <w:rPr>
          <w:b/>
          <w:sz w:val="42"/>
        </w:rPr>
        <w:t xml:space="preserve">The Challenge</w:t>
      </w:r>
      <w:bookmarkEnd w:id="1"/>
    </w:p>
    <w:p>
      <w:pPr>
        <w:spacing w:after="210" w:lineRule="auto"/>
      </w:pPr>
      <w:r>
        <w:rPr/>
        <w:t xml:space="preserve">The enterprise must </w:t>
      </w:r>
      <w:r>
        <w:rPr>
          <w:b/>
        </w:rPr>
        <w:t xml:space="preserve">identify, qualify, and onboard over 500 third‑party connectivity relationships within 9–22 months</w:t>
      </w:r>
      <w:r>
        <w:rPr/>
        <w:t xml:space="preserve">. This discovery and qualification cycle will repeat </w:t>
      </w:r>
      <w:r>
        <w:rPr>
          <w:b/>
        </w:rPr>
        <w:t xml:space="preserve">three more times over the next five years</w:t>
      </w:r>
      <w:r>
        <w:rPr/>
        <w:t xml:space="preserve">, driven by business consolidation, partner ecosystem expansion, and application modernization initiatives.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This is not primarily a technology problem—it is an </w:t>
      </w:r>
      <w:r>
        <w:rPr>
          <w:b/>
        </w:rPr>
        <w:t xml:space="preserve">organizational discovery bottleneck</w:t>
      </w:r>
      <w:r>
        <w:rPr/>
        <w:t xml:space="preserve">. Even with ideal technical automation, business teams must: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Interview stakeholders</w:t>
      </w:r>
      <w:r>
        <w:rPr/>
        <w:t xml:space="preserve"> to determine which third parties require connectivity and why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Inspect traffic patterns</w:t>
      </w:r>
      <w:r>
        <w:rPr/>
        <w:t xml:space="preserve"> to validate protocol requirements and scope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Determine ownership</w:t>
      </w:r>
      <w:r>
        <w:rPr/>
        <w:t xml:space="preserve"> and accountability for each connection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Document business justification</w:t>
      </w:r>
      <w:r>
        <w:rPr/>
        <w:t xml:space="preserve"> to support governance approval and risk assessment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These activities are human‑intensive and cannot be automated. The manual discovery process will consume the full 9–22 month window regardless of technical delivery speed.</w:t>
      </w:r>
    </w:p>
    <w:p>
      <w:pPr>
        <w:spacing w:after="210" w:lineRule="auto"/>
      </w:pPr>
      <w:r>
        <w:rPr>
          <w:b/>
        </w:rPr>
        <w:t xml:space="preserve">The strategic question:</w:t>
      </w:r>
      <w:r>
        <w:rPr/>
        <w:t xml:space="preserve"> How do we absorb 500+ connections at the pace discovery permits, while establishing the governance foundations required for sustainable, repeatable onboarding over five years?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the_vision_governed_exposure_infr_690c89"/>
      <w:r>
        <w:rPr>
          <w:b/>
          <w:sz w:val="42"/>
        </w:rPr>
        <w:t xml:space="preserve">The Vision: Governed Exposure Infrastructure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The long‑term target is a </w:t>
      </w:r>
      <w:r>
        <w:rPr>
          <w:b/>
        </w:rPr>
        <w:t xml:space="preserve">vendor‑agnostic, portal‑driven connectivity platform</w:t>
      </w:r>
      <w:r>
        <w:rPr>
          <w:rFonts w:eastAsia="Georgia" w:cs="Georgia" w:ascii="Georgia" w:hAnsi="Georgia"/>
        </w:rPr>
        <w:t xml:space="preserve"> where third‑party relationships are treated as governed business capabilities, not ad‑hoc network tasks:</w:t>
      </w:r>
    </w:p>
    <w:p>
      <w:pPr>
        <w:spacing w:after="210" w:lineRule="auto"/>
      </w:pPr>
      <w:r>
        <w:rPr>
          <w:b/>
        </w:rPr>
        <w:t xml:space="preserve">Self‑Service Portal</w:t>
      </w:r>
      <w:r>
        <w:rPr>
          <w:rFonts w:eastAsia="Georgia" w:cs="Georgia" w:ascii="Georgia" w:hAnsi="Georgia"/>
        </w:rPr>
        <w:t xml:space="preserve"> — Business owners define connectivity requirements by selecting from a service catalog (SaaS integration, file transfer, API access, web applications), not by specifying network configurations.</w:t>
      </w:r>
    </w:p>
    <w:p>
      <w:pPr>
        <w:spacing w:after="210" w:lineRule="auto"/>
      </w:pPr>
      <w:r>
        <w:rPr>
          <w:b/>
        </w:rPr>
        <w:t xml:space="preserve">Tenant‑Based Governance</w:t>
      </w:r>
      <w:r>
        <w:rPr>
          <w:rFonts w:eastAsia="Georgia" w:cs="Georgia" w:ascii="Georgia" w:hAnsi="Georgia"/>
        </w:rPr>
        <w:t xml:space="preserve"> — Each third‑party relationship becomes a "Tenant" linked to application inventories and business ownership records, ensuring accountability and traceability.</w:t>
      </w:r>
    </w:p>
    <w:p>
      <w:pPr>
        <w:spacing w:after="210" w:lineRule="auto"/>
      </w:pPr>
      <w:r>
        <w:rPr>
          <w:b/>
        </w:rPr>
        <w:t xml:space="preserve">Lifecycle Discipline</w:t>
      </w:r>
      <w:r>
        <w:rPr>
          <w:rFonts w:eastAsia="Georgia" w:cs="Georgia" w:ascii="Georgia" w:hAnsi="Georgia"/>
        </w:rPr>
        <w:t xml:space="preserve"> — All connections have defined expiration dates or review schedules. Owners must re‑attest that connectivity remains necessary, or exposure is automatically suspended.</w:t>
      </w:r>
    </w:p>
    <w:p>
      <w:pPr>
        <w:spacing w:after="210" w:lineRule="auto"/>
      </w:pPr>
      <w:r>
        <w:rPr>
          <w:b/>
        </w:rPr>
        <w:t xml:space="preserve">Structural Security</w:t>
      </w:r>
      <w:r>
        <w:rPr>
          <w:rFonts w:eastAsia="Georgia" w:cs="Georgia" w:ascii="Georgia" w:hAnsi="Georgia"/>
        </w:rPr>
        <w:t xml:space="preserve"> — Isolation embedded in network topology (not just firewall rules), mediated access to specific applications (not broad subnet reachability), and identity‑based authorization (not IP‑based trust).</w:t>
      </w:r>
    </w:p>
    <w:p>
      <w:pPr>
        <w:spacing w:after="210" w:lineRule="auto"/>
      </w:pPr>
      <w:r>
        <w:rPr/>
        <w:t xml:space="preserve">This model prevents the historical problem: connectivity accumulating over years without clear ownership, business justification, or lifecycle management.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the_reality_we_cannot_wait"/>
      <w:r>
        <w:rPr>
          <w:b/>
          <w:sz w:val="42"/>
        </w:rPr>
        <w:t xml:space="preserve">The Reality: We Cannot Wait</w:t>
      </w:r>
      <w:bookmarkEnd w:id="3"/>
    </w:p>
    <w:p>
      <w:pPr>
        <w:spacing w:after="210" w:lineRule="auto"/>
      </w:pPr>
      <w:r>
        <w:rPr/>
        <w:t xml:space="preserve">Building the full governed platform requires: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Developing the vendor‑agnostic portal with CMDB/ITSM integration</w:t>
      </w:r>
    </w:p>
    <w:p>
      <w:pPr>
        <w:numPr>
          <w:ilvl w:val="0"/>
          <w:numId w:val="2"/>
        </w:numPr>
        <w:spacing w:lineRule="auto"/>
      </w:pPr>
      <w:r>
        <w:rPr/>
        <w:t xml:space="preserve">Defining and standardizing service catalog patterns</w:t>
      </w:r>
    </w:p>
    <w:p>
      <w:pPr>
        <w:numPr>
          <w:ilvl w:val="0"/>
          <w:numId w:val="2"/>
        </w:numPr>
        <w:spacing w:lineRule="auto"/>
      </w:pPr>
      <w:r>
        <w:rPr/>
        <w:t xml:space="preserve">Implementing mediation architecture (proxies, identity enforcement, DNS management)</w:t>
      </w:r>
    </w:p>
    <w:p>
      <w:pPr>
        <w:numPr>
          <w:ilvl w:val="0"/>
          <w:numId w:val="2"/>
        </w:numPr>
        <w:spacing w:lineRule="auto"/>
      </w:pPr>
      <w:r>
        <w:rPr/>
        <w:t xml:space="preserve">Establishing governance workflows and training business teams</w:t>
      </w:r>
    </w:p>
    <w:p>
      <w:pPr>
        <w:spacing w:after="210" w:lineRule="auto"/>
      </w:pPr>
      <w:r>
        <w:rPr>
          <w:b/>
        </w:rPr>
        <w:t xml:space="preserve">This is a 2–3 year platform buildout</w:t>
      </w:r>
      <w:r>
        <w:rPr>
          <w:rFonts w:eastAsia="Georgia" w:cs="Georgia" w:ascii="Georgia" w:hAnsi="Georgia"/>
        </w:rPr>
        <w:t xml:space="preserve">. Yet we must onboard 500+ connections in the next 9–22 months, and the business discovery process will consume that entire window.</w:t>
      </w:r>
    </w:p>
    <w:p>
      <w:pPr>
        <w:spacing w:after="210" w:lineRule="auto"/>
      </w:pPr>
      <w:r>
        <w:rPr>
          <w:b/>
        </w:rPr>
        <w:t xml:space="preserve">We cannot delay onboarding until the portal is ready.</w:t>
      </w:r>
      <w:r>
        <w:rPr/>
        <w:t xml:space="preserve"> The business would be blocked for years, missing critical integration windows and forcing shadow IT workarounds.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the_solution_phased_transition_ar_300521"/>
      <w:r>
        <w:rPr>
          <w:b/>
          <w:sz w:val="42"/>
        </w:rPr>
        <w:t xml:space="preserve">The Solution: Phased Transition Architecture</w:t>
      </w:r>
      <w:bookmarkEnd w:id="4"/>
    </w:p>
    <w:p>
      <w:pPr>
        <w:spacing w:after="210" w:lineRule="auto"/>
      </w:pPr>
      <w:r>
        <w:rPr/>
        <w:t xml:space="preserve">Deploy a </w:t>
      </w:r>
      <w:r>
        <w:rPr>
          <w:b/>
        </w:rPr>
        <w:t xml:space="preserve">multi‑VSYS Palo Alto IPsec service edge</w:t>
      </w:r>
      <w:r>
        <w:rPr>
          <w:rFonts w:eastAsia="Georgia" w:cs="Georgia" w:ascii="Georgia" w:hAnsi="Georgia"/>
        </w:rPr>
        <w:t xml:space="preserve"> immediately to absorb onboarding velocity, then migrate incrementally to the governed platform over 3–5 years.</w:t>
      </w:r>
    </w:p>
    <w:p>
      <w:pPr>
        <w:spacing w:line="271" w:before="240" w:lineRule="auto"/>
      </w:pPr>
      <w:bookmarkStart w:id="5" w:name="phase_1_foundation_and_onboarding_7f78cd"/>
      <w:r>
        <w:rPr>
          <w:rFonts w:eastAsia="Georgia" w:cs="Georgia" w:ascii="Georgia" w:hAnsi="Georgia"/>
          <w:b/>
          <w:sz w:val="33"/>
        </w:rPr>
        <w:t xml:space="preserve">Phase 1: Foundation and Onboarding (Months 1–22)</w:t>
      </w:r>
      <w:bookmarkEnd w:id="5"/>
    </w:p>
    <w:p>
      <w:pPr>
        <w:spacing w:after="210" w:lineRule="auto"/>
      </w:pPr>
      <w:r>
        <w:rPr>
          <w:b/>
        </w:rPr>
        <w:t xml:space="preserve">Deploy network‑level IPsec platform supporting 500+ tunnels with: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Structural isolation</w:t>
      </w:r>
      <w:r>
        <w:rPr>
          <w:rFonts w:eastAsia="Georgia" w:cs="Georgia" w:ascii="Georgia" w:hAnsi="Georgia"/>
        </w:rPr>
        <w:t xml:space="preserve"> — Multi‑VSYS architecture prevents cross‑tenant exposure and lateral movement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Per‑tunnel identity</w:t>
      </w:r>
      <w:r>
        <w:rPr>
          <w:rFonts w:eastAsia="Georgia" w:cs="Georgia" w:ascii="Georgia" w:hAnsi="Georgia"/>
        </w:rPr>
        <w:t xml:space="preserve"> — Unique SNAT address per connection enables deterministic audit trails and traffic inspection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Rapid provisioning</w:t>
      </w:r>
      <w:r>
        <w:rPr>
          <w:rFonts w:eastAsia="Georgia" w:cs="Georgia" w:ascii="Georgia" w:hAnsi="Georgia"/>
        </w:rPr>
        <w:t xml:space="preserve"> — Standardized templates allow new connections to be onboarded in hours as discovery completes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Observability</w:t>
      </w:r>
      <w:r>
        <w:rPr>
          <w:rFonts w:eastAsia="Georgia" w:cs="Georgia" w:ascii="Georgia" w:hAnsi="Georgia"/>
        </w:rPr>
        <w:t xml:space="preserve"> — Per‑tunnel logging feeds SIEM for compliance and security monitoring</w:t>
      </w:r>
    </w:p>
    <w:p>
      <w:pPr>
        <w:spacing w:after="210" w:lineRule="auto"/>
      </w:pPr>
      <w:r>
        <w:rPr>
          <w:b/>
        </w:rPr>
        <w:t xml:space="preserve">Business activities in parallel:</w:t>
      </w:r>
    </w:p>
    <w:p>
      <w:pPr>
        <w:numPr>
          <w:ilvl w:val="0"/>
          <w:numId w:val="4"/>
        </w:numPr>
        <w:spacing w:lineRule="auto"/>
      </w:pPr>
      <w:r>
        <w:rPr/>
        <w:t xml:space="preserve">Conduct stakeholder interviews and traffic inspection</w:t>
      </w:r>
    </w:p>
    <w:p>
      <w:pPr>
        <w:numPr>
          <w:ilvl w:val="0"/>
          <w:numId w:val="4"/>
        </w:numPr>
        <w:spacing w:lineRule="auto"/>
      </w:pPr>
      <w:r>
        <w:rPr/>
        <w:t xml:space="preserve">Determine ownership and document business justification</w:t>
      </w:r>
    </w:p>
    <w:p>
      <w:pPr>
        <w:numPr>
          <w:ilvl w:val="0"/>
          <w:numId w:val="4"/>
        </w:numPr>
        <w:spacing w:lineRule="auto"/>
      </w:pPr>
      <w:r>
        <w:rPr/>
        <w:t xml:space="preserve">Onboard connections as qualification completes</w:t>
      </w:r>
    </w:p>
    <w:p>
      <w:pPr>
        <w:spacing w:after="210" w:lineRule="auto"/>
      </w:pPr>
      <w:r>
        <w:rPr>
          <w:b/>
        </w:rPr>
        <w:t xml:space="preserve">Outcome:</w:t>
      </w:r>
      <w:r>
        <w:rPr>
          <w:rFonts w:eastAsia="Georgia" w:cs="Georgia" w:ascii="Georgia" w:hAnsi="Georgia"/>
        </w:rPr>
        <w:t xml:space="preserve"> All 500+ connections operationalized within the 9–22 month window, with documented ownership and business purpose.</w:t>
      </w:r>
    </w:p>
    <w:p>
      <w:pPr>
        <w:spacing w:line="271" w:before="240" w:lineRule="auto"/>
      </w:pPr>
      <w:bookmarkStart w:id="6" w:name="phase_2_governance_formalization_d1f9f2"/>
      <w:r>
        <w:rPr>
          <w:rFonts w:eastAsia="Georgia" w:cs="Georgia" w:ascii="Georgia" w:hAnsi="Georgia"/>
          <w:b/>
          <w:sz w:val="33"/>
        </w:rPr>
        <w:t xml:space="preserve">Phase 2: Governance Formalization (Months 12–30, Overlapping)</w:t>
      </w:r>
      <w:bookmarkEnd w:id="6"/>
    </w:p>
    <w:p>
      <w:pPr>
        <w:spacing w:after="210" w:lineRule="auto"/>
      </w:pPr>
      <w:r>
        <w:rPr>
          <w:b/>
        </w:rPr>
        <w:t xml:space="preserve">While onboarding continues, formalize governance constructs:</w:t>
      </w:r>
    </w:p>
    <w:p>
      <w:pPr>
        <w:numPr>
          <w:ilvl w:val="0"/>
          <w:numId w:val="5"/>
        </w:numPr>
        <w:spacing w:lineRule="auto"/>
      </w:pPr>
      <w:r>
        <w:rPr/>
        <w:t xml:space="preserve">Map existing connections to "Tenant" records linked to CMDB and business owners</w:t>
      </w:r>
    </w:p>
    <w:p>
      <w:pPr>
        <w:numPr>
          <w:ilvl w:val="0"/>
          <w:numId w:val="5"/>
        </w:numPr>
        <w:spacing w:lineRule="auto"/>
      </w:pPr>
      <w:r>
        <w:rPr/>
        <w:t xml:space="preserve">Classify connections into service patterns (SaaS, file transfer, API, web app, VDI)</w:t>
      </w:r>
    </w:p>
    <w:p>
      <w:pPr>
        <w:numPr>
          <w:ilvl w:val="0"/>
          <w:numId w:val="5"/>
        </w:numPr>
        <w:spacing w:lineRule="auto"/>
      </w:pPr>
      <w:r>
        <w:rPr/>
        <w:t xml:space="preserve">Define governance workflows (approval, lifecycle attestation, renewal cadence)</w:t>
      </w:r>
    </w:p>
    <w:p>
      <w:pPr>
        <w:numPr>
          <w:ilvl w:val="0"/>
          <w:numId w:val="5"/>
        </w:numPr>
        <w:spacing w:lineRule="auto"/>
      </w:pPr>
      <w:r>
        <w:rPr/>
        <w:t xml:space="preserve">Design portal requirements based on real operational patterns</w:t>
      </w:r>
    </w:p>
    <w:p>
      <w:pPr>
        <w:spacing w:after="210" w:lineRule="auto"/>
      </w:pPr>
      <w:r>
        <w:rPr>
          <w:b/>
        </w:rPr>
        <w:t xml:space="preserve">Outcome:</w:t>
      </w:r>
      <w:r>
        <w:rPr/>
        <w:t xml:space="preserve"> Tenant registry with 100% ownership documentation, defined service catalog covering &gt;90% of use cases, governance workflows piloted with early adopter teams.</w:t>
      </w:r>
    </w:p>
    <w:p>
      <w:pPr>
        <w:spacing w:line="271" w:before="240" w:lineRule="auto"/>
      </w:pPr>
      <w:bookmarkStart w:id="7" w:name="phase_3_portal_deployment_and_mig_5dd211"/>
      <w:r>
        <w:rPr>
          <w:rFonts w:eastAsia="Georgia" w:cs="Georgia" w:ascii="Georgia" w:hAnsi="Georgia"/>
          <w:b/>
          <w:sz w:val="33"/>
        </w:rPr>
        <w:t xml:space="preserve">Phase 3: Portal Deployment and Migration (Months 24–60+)</w:t>
      </w:r>
      <w:bookmarkEnd w:id="7"/>
    </w:p>
    <w:p>
      <w:pPr>
        <w:spacing w:after="210" w:lineRule="auto"/>
      </w:pPr>
      <w:r>
        <w:rPr>
          <w:b/>
        </w:rPr>
        <w:t xml:space="preserve">Deploy vendor‑agnostic portal and migrate connections incrementally: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Build self‑service portal with service catalog and lifecycle management</w:t>
      </w:r>
    </w:p>
    <w:p>
      <w:pPr>
        <w:numPr>
          <w:ilvl w:val="0"/>
          <w:numId w:val="6"/>
        </w:numPr>
        <w:spacing w:lineRule="auto"/>
      </w:pPr>
      <w:r>
        <w:rPr/>
        <w:t xml:space="preserve">Enhance platform with mediation capabilities (proxies, identity enforcement)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Migrate existing connections from manual provisioning to portal‑driven workflows in cohorts (50–100 per quarter)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Onboard subsequent waves (years 2–5) using portal as primary mechanism</w:t>
      </w:r>
    </w:p>
    <w:p>
      <w:pPr>
        <w:spacing w:after="210" w:lineRule="auto"/>
      </w:pPr>
      <w:r>
        <w:rPr>
          <w:b/>
        </w:rPr>
        <w:t xml:space="preserve">Outcome:</w:t>
      </w:r>
      <w:r>
        <w:rPr/>
        <w:t xml:space="preserve"> Portal operational and adopted by &gt;50% of business teams by Month 36; 80% of new connections onboarded via portal by Month 48; lifecycle attestation compliance &gt;95%.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why_this_approach_works"/>
      <w:r>
        <w:rPr>
          <w:b/>
          <w:sz w:val="42"/>
        </w:rPr>
        <w:t xml:space="preserve">Why This Approach Works</w:t>
      </w:r>
      <w:bookmarkEnd w:id="8"/>
    </w:p>
    <w:p>
      <w:pPr>
        <w:spacing w:line="271" w:before="240" w:lineRule="auto"/>
      </w:pPr>
      <w:bookmarkStart w:id="9" w:name="immediate_value"/>
      <w:r>
        <w:rPr>
          <w:b/>
          <w:sz w:val="33"/>
        </w:rPr>
        <w:t xml:space="preserve">Immediate Value</w:t>
      </w:r>
      <w:bookmarkEnd w:id="9"/>
    </w:p>
    <w:p>
      <w:pPr>
        <w:spacing w:after="210" w:lineRule="auto"/>
      </w:pPr>
      <w:r>
        <w:rPr>
          <w:b/>
        </w:rPr>
        <w:t xml:space="preserve">Unblocks the business</w:t>
      </w:r>
      <w:r>
        <w:rPr>
          <w:rFonts w:eastAsia="Georgia" w:cs="Georgia" w:ascii="Georgia" w:hAnsi="Georgia"/>
        </w:rPr>
        <w:t xml:space="preserve"> — Technical capacity matches discovery pace; no delay waiting for portal buildout</w:t>
      </w:r>
    </w:p>
    <w:p>
      <w:pPr>
        <w:spacing w:after="210" w:lineRule="auto"/>
      </w:pPr>
      <w:r>
        <w:rPr>
          <w:b/>
        </w:rPr>
        <w:t xml:space="preserve">Reduces risk</w:t>
      </w:r>
      <w:r>
        <w:rPr>
          <w:rFonts w:eastAsia="Georgia" w:cs="Georgia" w:ascii="Georgia" w:hAnsi="Georgia"/>
        </w:rPr>
        <w:t xml:space="preserve"> — Structural isolation limits blast radius during high‑velocity onboarding period</w:t>
      </w:r>
    </w:p>
    <w:p>
      <w:pPr>
        <w:spacing w:after="210" w:lineRule="auto"/>
      </w:pPr>
      <w:r>
        <w:rPr>
          <w:b/>
        </w:rPr>
        <w:t xml:space="preserve">Establishes audit trails</w:t>
      </w:r>
      <w:r>
        <w:rPr>
          <w:rFonts w:eastAsia="Georgia" w:cs="Georgia" w:ascii="Georgia" w:hAnsi="Georgia"/>
        </w:rPr>
        <w:t xml:space="preserve"> — Per‑tunnel identity and SIEM integration support compliance requirements (SOX, GDPR, PCI‑DSS, HIPAA)</w:t>
      </w:r>
    </w:p>
    <w:p>
      <w:pPr>
        <w:spacing w:after="210" w:lineRule="auto"/>
      </w:pPr>
      <w:r>
        <w:rPr>
          <w:b/>
        </w:rPr>
        <w:t xml:space="preserve">Standardizes operations</w:t>
      </w:r>
      <w:r>
        <w:rPr>
          <w:rFonts w:eastAsia="Georgia" w:cs="Georgia" w:ascii="Georgia" w:hAnsi="Georgia"/>
        </w:rPr>
        <w:t xml:space="preserve"> — Templates and runbooks reduce human error and improve consistency</w:t>
      </w:r>
    </w:p>
    <w:p>
      <w:pPr>
        <w:spacing w:line="271" w:before="240" w:lineRule="auto"/>
      </w:pPr>
      <w:bookmarkStart w:id="10" w:name="long_term_strategic_positioning"/>
      <w:r>
        <w:rPr>
          <w:rFonts w:eastAsia="Georgia" w:cs="Georgia" w:ascii="Georgia" w:hAnsi="Georgia"/>
          <w:b/>
          <w:sz w:val="33"/>
        </w:rPr>
        <w:t xml:space="preserve">Long‑Term Strategic Positioning</w:t>
      </w:r>
      <w:bookmarkEnd w:id="10"/>
    </w:p>
    <w:p>
      <w:pPr>
        <w:spacing w:after="210" w:lineRule="auto"/>
      </w:pPr>
      <w:r>
        <w:rPr>
          <w:b/>
        </w:rPr>
        <w:t xml:space="preserve">Builds toward the vision</w:t>
      </w:r>
      <w:r>
        <w:rPr>
          <w:rFonts w:eastAsia="Georgia" w:cs="Georgia" w:ascii="Georgia" w:hAnsi="Georgia"/>
        </w:rPr>
        <w:t xml:space="preserve"> — IPsec platform establishes structural foundations (isolation, deterministic lifecycle) required for eventual portal migration</w:t>
      </w:r>
    </w:p>
    <w:p>
      <w:pPr>
        <w:spacing w:after="210" w:lineRule="auto"/>
      </w:pPr>
      <w:r>
        <w:rPr>
          <w:b/>
        </w:rPr>
        <w:t xml:space="preserve">Enables incremental transition</w:t>
      </w:r>
      <w:r>
        <w:rPr>
          <w:rFonts w:eastAsia="Georgia" w:cs="Georgia" w:ascii="Georgia" w:hAnsi="Georgia"/>
        </w:rPr>
        <w:t xml:space="preserve"> — Portal and platform evolve independently; connections migrate in cohorts without big‑bang cutover risk</w:t>
      </w:r>
    </w:p>
    <w:p>
      <w:pPr>
        <w:spacing w:after="210" w:lineRule="auto"/>
      </w:pPr>
      <w:r>
        <w:rPr>
          <w:b/>
        </w:rPr>
        <w:t xml:space="preserve">Enforces governance discipline</w:t>
      </w:r>
      <w:r>
        <w:rPr>
          <w:rFonts w:eastAsia="Georgia" w:cs="Georgia" w:ascii="Georgia" w:hAnsi="Georgia"/>
        </w:rPr>
        <w:t xml:space="preserve"> — Mapping connections to Tenants shifts organizational culture from "tunnels that persist forever" to "exposure domains with defined lifecycles"</w:t>
      </w:r>
    </w:p>
    <w:p>
      <w:pPr>
        <w:spacing w:after="210" w:lineRule="auto"/>
      </w:pPr>
      <w:r>
        <w:rPr>
          <w:b/>
        </w:rPr>
        <w:t xml:space="preserve">Supports recurring cycles</w:t>
      </w:r>
      <w:r>
        <w:rPr>
          <w:rFonts w:eastAsia="Georgia" w:cs="Georgia" w:ascii="Georgia" w:hAnsi="Georgia"/>
        </w:rPr>
        <w:t xml:space="preserve"> — Platform design accommodates 3 additional onboarding waves over five years without rearchitecture</w:t>
      </w:r>
    </w:p>
    <w:p>
      <w:pPr>
        <w:spacing w:line="271" w:before="240" w:lineRule="auto"/>
      </w:pPr>
      <w:bookmarkStart w:id="11" w:name="comparison_to_alternatives"/>
      <w:r>
        <w:rPr>
          <w:b/>
          <w:sz w:val="33"/>
        </w:rPr>
        <w:t xml:space="preserve">Comparison to Alternatives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Approach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Outcome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Wait for portal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Business blocked 2–3 years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Missed integration windows, shadow IT proliferation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Continue ad‑hoc VPNs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Connectivity sprawl, no governance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 technical debt, eventual forced rearchitecture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Build full platform immediately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2–3 year construction timeline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 blocked, high scope creep risk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Phased transition (chosen)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 unblocked, technical debt minimized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Balanced approach meeting immediate and long‑term needs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investment_and_timeline"/>
      <w:r>
        <w:rPr>
          <w:b/>
          <w:sz w:val="42"/>
        </w:rPr>
        <w:t xml:space="preserve">Investment and Timeline</w:t>
      </w:r>
      <w:bookmarkEnd w:id="12"/>
    </w:p>
    <w:p>
      <w:pPr>
        <w:spacing w:line="271" w:before="240" w:lineRule="auto"/>
      </w:pPr>
      <w:bookmarkStart w:id="13" w:name="phase_1_investment_months_1_22"/>
      <w:r>
        <w:rPr>
          <w:rFonts w:eastAsia="Georgia" w:cs="Georgia" w:ascii="Georgia" w:hAnsi="Georgia"/>
          <w:b/>
          <w:sz w:val="33"/>
        </w:rPr>
        <w:t xml:space="preserve">Phase 1 Investment (Months 1–22)</w:t>
      </w:r>
      <w:bookmarkEnd w:id="13"/>
    </w:p>
    <w:p>
      <w:pPr>
        <w:spacing w:after="210" w:lineRule="auto"/>
      </w:pPr>
      <w:r>
        <w:rPr>
          <w:b/>
        </w:rPr>
        <w:t xml:space="preserve">Infrastructure:</w:t>
      </w:r>
      <w:r>
        <w:rPr>
          <w:rFonts w:eastAsia="Georgia" w:cs="Georgia" w:ascii="Georgia" w:hAnsi="Georgia"/>
        </w:rPr>
        <w:t xml:space="preserve"> Palo Alto PA‑5400 HA cluster, Panorama management platform, IPAM system integration, SIEM integration</w:t>
      </w:r>
    </w:p>
    <w:p>
      <w:pPr>
        <w:spacing w:after="210" w:lineRule="auto"/>
      </w:pPr>
      <w:r>
        <w:rPr>
          <w:b/>
        </w:rPr>
        <w:t xml:space="preserve">Services:</w:t>
      </w:r>
      <w:r>
        <w:rPr/>
        <w:t xml:space="preserve"> Network architecture design, Panorama template development, operational runbook creation, staff training</w:t>
      </w:r>
    </w:p>
    <w:p>
      <w:pPr>
        <w:spacing w:after="210" w:lineRule="auto"/>
      </w:pPr>
      <w:r>
        <w:rPr>
          <w:b/>
        </w:rPr>
        <w:t xml:space="preserve">Business effort:</w:t>
      </w:r>
      <w:r>
        <w:rPr/>
        <w:t xml:space="preserve"> Discovery interviews, traffic inspection, ownership determination (organizational cost, not IT budget)</w:t>
      </w:r>
    </w:p>
    <w:p>
      <w:pPr>
        <w:spacing w:after="210" w:lineRule="auto"/>
      </w:pPr>
      <w:r>
        <w:rPr>
          <w:b/>
        </w:rPr>
        <w:t xml:space="preserve">Expected spend:</w:t>
      </w:r>
      <w:r>
        <w:rPr>
          <w:rFonts w:eastAsia="Georgia" w:cs="Georgia" w:ascii="Georgia" w:hAnsi="Georgia"/>
        </w:rPr>
        <w:t xml:space="preserve"> $800K–$1.2M infrastructure + services (one‑time); $200K–$300K annual support and operations</w:t>
      </w:r>
    </w:p>
    <w:p>
      <w:pPr>
        <w:spacing w:line="271" w:before="240" w:lineRule="auto"/>
      </w:pPr>
      <w:bookmarkStart w:id="14" w:name="phase_2_investment_months_12_30"/>
      <w:r>
        <w:rPr>
          <w:rFonts w:eastAsia="Georgia" w:cs="Georgia" w:ascii="Georgia" w:hAnsi="Georgia"/>
          <w:b/>
          <w:sz w:val="33"/>
        </w:rPr>
        <w:t xml:space="preserve">Phase 2 Investment (Months 12–30)</w:t>
      </w:r>
      <w:bookmarkEnd w:id="14"/>
    </w:p>
    <w:p>
      <w:pPr>
        <w:spacing w:after="210" w:lineRule="auto"/>
      </w:pPr>
      <w:r>
        <w:rPr>
          <w:b/>
        </w:rPr>
        <w:t xml:space="preserve">Platform:</w:t>
      </w:r>
      <w:r>
        <w:rPr/>
        <w:t xml:space="preserve"> Governance workflow tooling (ITSM integration), Tenant registry development</w:t>
      </w:r>
    </w:p>
    <w:p>
      <w:pPr>
        <w:spacing w:after="210" w:lineRule="auto"/>
      </w:pPr>
      <w:r>
        <w:rPr>
          <w:b/>
        </w:rPr>
        <w:t xml:space="preserve">Services:</w:t>
      </w:r>
      <w:r>
        <w:rPr/>
        <w:t xml:space="preserve"> Service catalog definition, governance process design, portal requirements analysis</w:t>
      </w:r>
    </w:p>
    <w:p>
      <w:pPr>
        <w:spacing w:after="210" w:lineRule="auto"/>
      </w:pPr>
      <w:r>
        <w:rPr>
          <w:b/>
        </w:rPr>
        <w:t xml:space="preserve">Business effort:</w:t>
      </w:r>
      <w:r>
        <w:rPr/>
        <w:t xml:space="preserve"> Governance workflow piloting, lifecycle attestation process adoption</w:t>
      </w:r>
    </w:p>
    <w:p>
      <w:pPr>
        <w:spacing w:after="210" w:lineRule="auto"/>
      </w:pPr>
      <w:r>
        <w:rPr>
          <w:b/>
        </w:rPr>
        <w:t xml:space="preserve">Expected spend:</w:t>
      </w:r>
      <w:r>
        <w:rPr>
          <w:rFonts w:eastAsia="Georgia" w:cs="Georgia" w:ascii="Georgia" w:hAnsi="Georgia"/>
        </w:rPr>
        <w:t xml:space="preserve"> $300K–$500K (tooling and services)</w:t>
      </w:r>
    </w:p>
    <w:p>
      <w:pPr>
        <w:spacing w:line="271" w:before="240" w:lineRule="auto"/>
      </w:pPr>
      <w:bookmarkStart w:id="15" w:name="phase_3_investment_months_24_60"/>
      <w:r>
        <w:rPr>
          <w:rFonts w:eastAsia="Georgia" w:cs="Georgia" w:ascii="Georgia" w:hAnsi="Georgia"/>
          <w:b/>
          <w:sz w:val="33"/>
        </w:rPr>
        <w:t xml:space="preserve">Phase 3 Investment (Months 24–60+)</w:t>
      </w:r>
      <w:bookmarkEnd w:id="15"/>
    </w:p>
    <w:p>
      <w:pPr>
        <w:spacing w:after="210" w:lineRule="auto"/>
      </w:pPr>
      <w:r>
        <w:rPr>
          <w:b/>
        </w:rPr>
        <w:t xml:space="preserve">Platform:</w:t>
      </w:r>
      <w:r>
        <w:rPr/>
        <w:t xml:space="preserve"> Portal development, mediation architecture (proxies, identity enforcement), certificate authority integration</w:t>
      </w:r>
    </w:p>
    <w:p>
      <w:pPr>
        <w:spacing w:after="210" w:lineRule="auto"/>
      </w:pPr>
      <w:r>
        <w:rPr>
          <w:b/>
        </w:rPr>
        <w:t xml:space="preserve">Services:</w:t>
      </w:r>
      <w:r>
        <w:rPr/>
        <w:t xml:space="preserve"> Portal implementation, platform enhancement, migration orchestration, business training</w:t>
      </w:r>
    </w:p>
    <w:p>
      <w:pPr>
        <w:spacing w:after="210" w:lineRule="auto"/>
      </w:pPr>
      <w:r>
        <w:rPr>
          <w:b/>
        </w:rPr>
        <w:t xml:space="preserve">Expected spend:</w:t>
      </w:r>
      <w:r>
        <w:rPr>
          <w:rFonts w:eastAsia="Georgia" w:cs="Georgia" w:ascii="Georgia" w:hAnsi="Georgia"/>
        </w:rPr>
        <w:t xml:space="preserve"> $1.5M–$2.5M (phased over 3 years); $400K–$600K annual operations at scale</w:t>
      </w:r>
    </w:p>
    <w:p>
      <w:pPr>
        <w:spacing w:line="271" w:before="240" w:lineRule="auto"/>
      </w:pPr>
      <w:bookmarkStart w:id="16" w:name="total_5_year_investment"/>
      <w:r>
        <w:rPr>
          <w:rFonts w:eastAsia="Georgia" w:cs="Georgia" w:ascii="Georgia" w:hAnsi="Georgia"/>
          <w:b/>
          <w:sz w:val="33"/>
        </w:rPr>
        <w:t xml:space="preserve">Total 5‑Year Investment</w:t>
      </w:r>
      <w:bookmarkEnd w:id="16"/>
    </w:p>
    <w:p>
      <w:pPr>
        <w:spacing w:after="210" w:lineRule="auto"/>
      </w:pPr>
      <w:r>
        <w:rPr>
          <w:b/>
        </w:rPr>
        <w:t xml:space="preserve">$3.5M–$5M</w:t>
      </w:r>
      <w:r>
        <w:rPr/>
        <w:t xml:space="preserve"> infrastructure and platform buildout (phased deployment reduces risk)</w:t>
      </w:r>
    </w:p>
    <w:p>
      <w:pPr>
        <w:spacing w:after="210" w:lineRule="auto"/>
      </w:pPr>
      <w:r>
        <w:rPr>
          <w:b/>
        </w:rPr>
        <w:t xml:space="preserve">$1.5M–$2.5M</w:t>
      </w:r>
      <w:r>
        <w:rPr/>
        <w:t xml:space="preserve"> annual operations and support at steady state</w:t>
      </w:r>
    </w:p>
    <w:p>
      <w:pPr>
        <w:spacing w:after="210" w:lineRule="auto"/>
      </w:pPr>
      <w:r>
        <w:rPr>
          <w:b/>
        </w:rPr>
        <w:t xml:space="preserve">ROI drivers:</w:t>
      </w:r>
      <w:r>
        <w:rPr/>
        <w:t xml:space="preserve"> Reduced security incidents, compliance assurance, avoided shadow IT costs, accelerated business partnership velocity, reduced operational overhead through automation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success_metrics"/>
      <w:r>
        <w:rPr>
          <w:b/>
          <w:sz w:val="42"/>
        </w:rPr>
        <w:t xml:space="preserve">Success Metrics</w:t>
      </w:r>
      <w:bookmarkEnd w:id="17"/>
    </w:p>
    <w:p>
      <w:pPr>
        <w:spacing w:line="271" w:before="240" w:lineRule="auto"/>
      </w:pPr>
      <w:bookmarkStart w:id="18" w:name="phase_1_months_1_22"/>
      <w:r>
        <w:rPr>
          <w:rFonts w:eastAsia="Georgia" w:cs="Georgia" w:ascii="Georgia" w:hAnsi="Georgia"/>
          <w:b/>
          <w:sz w:val="33"/>
        </w:rPr>
        <w:t xml:space="preserve">Phase 1 (Months 1–22)</w:t>
      </w:r>
      <w:bookmarkEnd w:id="18"/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✓ All 500+ connections onboarded within discovery timeline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✓ 100% ownership documentation and business justification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✓ &lt;1% tunnel failure rate; &lt;2 hour mean time to repair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✓ Zero cross‑tenant lateral movement incidents</w:t>
      </w:r>
    </w:p>
    <w:p>
      <w:pPr>
        <w:spacing w:line="271" w:before="240" w:lineRule="auto"/>
      </w:pPr>
      <w:bookmarkStart w:id="19" w:name="phase_2_months_12_30"/>
      <w:r>
        <w:rPr>
          <w:rFonts w:eastAsia="Georgia" w:cs="Georgia" w:ascii="Georgia" w:hAnsi="Georgia"/>
          <w:b/>
          <w:sz w:val="33"/>
        </w:rPr>
        <w:t xml:space="preserve">Phase 2 (Months 12–30)</w:t>
      </w:r>
      <w:bookmarkEnd w:id="19"/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✓ 100% of connections mapped to Tenant constructs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✓ Service catalog patterns cover &gt;90% of use cases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✓ Governance workflows piloted with ≥3 business teams</w:t>
      </w:r>
    </w:p>
    <w:p>
      <w:pPr>
        <w:spacing w:line="271" w:before="240" w:lineRule="auto"/>
      </w:pPr>
      <w:bookmarkStart w:id="20" w:name="phase_3_months_24_60"/>
      <w:r>
        <w:rPr>
          <w:rFonts w:eastAsia="Georgia" w:cs="Georgia" w:ascii="Georgia" w:hAnsi="Georgia"/>
          <w:b/>
          <w:sz w:val="33"/>
        </w:rPr>
        <w:t xml:space="preserve">Phase 3 (Months 24–60)</w:t>
      </w:r>
      <w:bookmarkEnd w:id="20"/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✓ Portal operational and adopted by &gt;50% of teams by Month 36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✓ 80% of new connections via portal by Month 48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✓ Lifecycle attestation compliance &gt;95%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✓ Mean time to onboard reduced from hours to &lt;1 hour (self‑service)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risk_management"/>
      <w:r>
        <w:rPr>
          <w:b/>
          <w:sz w:val="42"/>
        </w:rPr>
        <w:t xml:space="preserve">Risk Management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Discovery delays beyond 22 months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Prioritize high‑value/high‑risk connections; accept phased onboarding if necessary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Platform capacity saturation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Monitor VSYS utilization; expand proactively at &lt;70% threshold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Governance adoption resistance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Pilot with early adopters; demonstrate value through reduced onboarding friction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Portal migration disruption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Incremental cohort migration; maintain IPsec as fallback; pilot with low‑risk Tenants first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Technical complexity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Standardized templates and runbooks; operational training; vendor support engagement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decision_required"/>
      <w:r>
        <w:rPr>
          <w:b/>
          <w:sz w:val="42"/>
        </w:rPr>
        <w:t xml:space="preserve">Decision Required</w:t>
      </w:r>
      <w:bookmarkEnd w:id="22"/>
    </w:p>
    <w:p>
      <w:pPr>
        <w:spacing w:after="210" w:lineRule="auto"/>
      </w:pPr>
      <w:r>
        <w:rPr>
          <w:b/>
        </w:rPr>
        <w:t xml:space="preserve">Approve phased transition strategy: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Immediate:</w:t>
      </w:r>
      <w:r>
        <w:rPr>
          <w:rFonts w:eastAsia="Georgia" w:cs="Georgia" w:ascii="Georgia" w:hAnsi="Georgia"/>
        </w:rPr>
        <w:t xml:space="preserve"> Deploy multi‑VSYS IPsec service edge to absorb first wave of 500+ connections (9–22 months)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Near‑term:</w:t>
      </w:r>
      <w:r>
        <w:rPr>
          <w:rFonts w:eastAsia="Georgia" w:cs="Georgia" w:ascii="Georgia" w:hAnsi="Georgia"/>
        </w:rPr>
        <w:t xml:space="preserve"> Formalize governance constructs and service catalog patterns (Months 12–30)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Long‑term:</w:t>
      </w:r>
      <w:r>
        <w:rPr>
          <w:rFonts w:eastAsia="Georgia" w:cs="Georgia" w:ascii="Georgia" w:hAnsi="Georgia"/>
        </w:rPr>
        <w:t xml:space="preserve"> Deploy vendor‑agnostic portal and migrate incrementally to governed exposure model (Months 24–60+)</w:t>
      </w:r>
    </w:p>
    <w:p>
      <w:pPr>
        <w:spacing w:after="210" w:lineRule="auto"/>
      </w:pPr>
      <w:r>
        <w:rPr>
          <w:b/>
        </w:rPr>
        <w:t xml:space="preserve">This approach balances immediate operational needs with long‑term strategic vision</w:t>
      </w:r>
      <w:r>
        <w:rPr/>
        <w:t xml:space="preserve">, enabling the business to execute partner integrations at required velocity while establishing sustainable governance foundations for the next five years.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key_takeaway"/>
      <w:r>
        <w:rPr>
          <w:b/>
          <w:sz w:val="42"/>
        </w:rPr>
        <w:t xml:space="preserve">Key Takeaway</w:t>
      </w:r>
      <w:bookmarkEnd w:id="23"/>
    </w:p>
    <w:p>
      <w:pPr>
        <w:spacing w:after="210" w:lineRule="auto"/>
      </w:pPr>
      <w:r>
        <w:rPr>
          <w:b/>
        </w:rPr>
        <w:t xml:space="preserve">The vendor‑agnostic portal will not eliminate the discovery burden—it will streamline provisioning once requirements are clear.</w:t>
      </w:r>
      <w:r>
        <w:rPr/>
        <w:t xml:space="preserve"> The critical insight is that manual discovery (interviews, traffic inspection, ownership determination) remains a hard requirement regardless of technical delivery mechanism.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By deploying the IPsec service edge immediately and migrating incrementally toward the governed platform, we meet both immediate operational constraints and long‑term governance objectives. This is not a choice between "network solution" and "governed solution"—it is a </w:t>
      </w:r>
      <w:r>
        <w:rPr>
          <w:b/>
        </w:rPr>
        <w:t xml:space="preserve">phased delivery strategy</w:t>
      </w:r>
      <w:r>
        <w:rPr/>
        <w:t xml:space="preserve"> that recognizes organizational realities and delivers value at every stage.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2026-02-25T01:03:04.022Z</dcterms:created>
  <dcterms:modified xsi:type="dcterms:W3CDTF">2026-02-25T01:03:04.022Z</dcterms:modified>
</cp:coreProperties>
</file>