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5F26A" w14:textId="77777777" w:rsidR="005F6948" w:rsidRDefault="00000000">
      <w:pPr>
        <w:spacing w:before="240" w:line="288" w:lineRule="auto"/>
      </w:pPr>
      <w:bookmarkStart w:id="0" w:name="third_party_connectivity_transiti_cc8923"/>
      <w:r>
        <w:rPr>
          <w:rFonts w:eastAsia="Georgia" w:hAnsi="Georgia" w:cs="Georgia"/>
          <w:b/>
          <w:sz w:val="56"/>
        </w:rPr>
        <w:t>Third‑Party Connectivity Transition Strategy: Network-Level IPsec Service Edge as a Path to Governed Exposure Infrastructure</w:t>
      </w:r>
      <w:bookmarkEnd w:id="0"/>
    </w:p>
    <w:p w14:paraId="2181C9A4" w14:textId="77777777" w:rsidR="005F6948" w:rsidRDefault="00000000">
      <w:pPr>
        <w:spacing w:before="240" w:line="271" w:lineRule="auto"/>
      </w:pPr>
      <w:bookmarkStart w:id="1" w:name="executive_summary"/>
      <w:r>
        <w:rPr>
          <w:b/>
          <w:sz w:val="42"/>
        </w:rPr>
        <w:t>Executive Summary</w:t>
      </w:r>
      <w:bookmarkEnd w:id="1"/>
    </w:p>
    <w:p w14:paraId="0B215918" w14:textId="77777777" w:rsidR="005F6948" w:rsidRDefault="00000000">
      <w:pPr>
        <w:spacing w:after="210"/>
      </w:pPr>
      <w:r>
        <w:rPr>
          <w:rFonts w:eastAsia="Georgia" w:hAnsi="Georgia" w:cs="Georgia"/>
        </w:rPr>
        <w:t>This document presents a phased transition strategy that addresses an urgent operational reality: the enterprise must identify, qualify, and onboard over 500 third‑party connectivity relationships within 9–22 months, with this discovery and qualification cycle repeating three more times over a five‑year period. While the long‑term vision calls for a vendor‑agnostic, governed exposure platform with self‑service portal capabilities, the immediate need demands a network‑level solution that can absorb scale quickly while establishing the structural foundations required for eventual migration to the target architecture.</w:t>
      </w:r>
    </w:p>
    <w:p w14:paraId="1963B042" w14:textId="77777777" w:rsidR="005F6948" w:rsidRDefault="00000000">
      <w:pPr>
        <w:spacing w:after="210"/>
      </w:pPr>
      <w:r>
        <w:t xml:space="preserve">The strategy centers on deploying a </w:t>
      </w:r>
      <w:r>
        <w:rPr>
          <w:b/>
        </w:rPr>
        <w:t>multi</w:t>
      </w:r>
      <w:r>
        <w:rPr>
          <w:b/>
        </w:rPr>
        <w:t>‑</w:t>
      </w:r>
      <w:r>
        <w:rPr>
          <w:b/>
        </w:rPr>
        <w:t>VSYS Palo Alto IPsec service edge</w:t>
      </w:r>
      <w:r>
        <w:t xml:space="preserve"> as a transitional platform that:</w:t>
      </w:r>
    </w:p>
    <w:p w14:paraId="206D92D8" w14:textId="77777777" w:rsidR="005F6948" w:rsidRDefault="00000000">
      <w:pPr>
        <w:numPr>
          <w:ilvl w:val="0"/>
          <w:numId w:val="1"/>
        </w:numPr>
      </w:pPr>
      <w:r>
        <w:rPr>
          <w:b/>
        </w:rPr>
        <w:t>Enables rapid onboarding velocity</w:t>
      </w:r>
      <w:r>
        <w:rPr>
          <w:rFonts w:eastAsia="Georgia" w:hAnsi="Georgia" w:cs="Georgia"/>
        </w:rPr>
        <w:t xml:space="preserve"> — Supports 500+ IPsec tunnels with per‑tunnel identity (SNAT), allowing business functions to connect third parties at the pace discovery and qualification can sustain</w:t>
      </w:r>
    </w:p>
    <w:p w14:paraId="26A72B28" w14:textId="77777777" w:rsidR="005F6948" w:rsidRDefault="00000000">
      <w:pPr>
        <w:numPr>
          <w:ilvl w:val="0"/>
          <w:numId w:val="1"/>
        </w:numPr>
      </w:pPr>
      <w:r>
        <w:rPr>
          <w:b/>
        </w:rPr>
        <w:t>Establishes structural containment</w:t>
      </w:r>
      <w:r>
        <w:rPr>
          <w:rFonts w:eastAsia="Georgia" w:hAnsi="Georgia" w:cs="Georgia"/>
        </w:rPr>
        <w:t xml:space="preserve"> — Uses multi‑VSYS sharding, per‑tenant routing domains (VRs), and isolated zones to prevent lateral movement and cross‑tenant exposure</w:t>
      </w:r>
    </w:p>
    <w:p w14:paraId="762F6A54" w14:textId="77777777" w:rsidR="005F6948" w:rsidRDefault="00000000">
      <w:pPr>
        <w:numPr>
          <w:ilvl w:val="0"/>
          <w:numId w:val="1"/>
        </w:numPr>
      </w:pPr>
      <w:r>
        <w:rPr>
          <w:b/>
        </w:rPr>
        <w:t>Provides per</w:t>
      </w:r>
      <w:r>
        <w:rPr>
          <w:b/>
        </w:rPr>
        <w:t>‑</w:t>
      </w:r>
      <w:r>
        <w:rPr>
          <w:b/>
        </w:rPr>
        <w:t>tunnel observability</w:t>
      </w:r>
      <w:r>
        <w:rPr>
          <w:rFonts w:eastAsia="Georgia" w:hAnsi="Georgia" w:cs="Georgia"/>
        </w:rPr>
        <w:t xml:space="preserve"> — Delivers deterministic SNAT addressing for clean audit trails, supporting the manual discovery and traffic inspection processes required for qualification</w:t>
      </w:r>
    </w:p>
    <w:p w14:paraId="140F1FB0" w14:textId="77777777" w:rsidR="005F6948" w:rsidRDefault="00000000">
      <w:pPr>
        <w:numPr>
          <w:ilvl w:val="0"/>
          <w:numId w:val="1"/>
        </w:numPr>
      </w:pPr>
      <w:r>
        <w:rPr>
          <w:b/>
        </w:rPr>
        <w:t>Creates a governed transition path</w:t>
      </w:r>
      <w:r>
        <w:rPr>
          <w:rFonts w:eastAsia="Georgia" w:hAnsi="Georgia" w:cs="Georgia"/>
        </w:rPr>
        <w:t xml:space="preserve"> — Bridges from legacy point‑to‑point connectivity patterns to a catalog‑driven, lifecycle‑managed exposure model</w:t>
      </w:r>
    </w:p>
    <w:p w14:paraId="233F707E" w14:textId="77777777" w:rsidR="005F6948" w:rsidRDefault="00000000">
      <w:pPr>
        <w:spacing w:after="210"/>
      </w:pPr>
      <w:r>
        <w:rPr>
          <w:b/>
        </w:rPr>
        <w:t>The critical insight:</w:t>
      </w:r>
      <w:r>
        <w:rPr>
          <w:rFonts w:eastAsia="Georgia" w:hAnsi="Georgia" w:cs="Georgia"/>
        </w:rPr>
        <w:t xml:space="preserve"> The vendor‑agnostic portal that will eventually enable business‑driven self‑service onboarding cannot substitute for the discovery work. Business teams must interview stakeholders, inspect traffic, validate owners, and document application dependencies regardless of the technical delivery mechanism. The network platform's job is to </w:t>
      </w:r>
      <w:r>
        <w:rPr>
          <w:b/>
        </w:rPr>
        <w:t>absorb discovered connections at scale</w:t>
      </w:r>
      <w:r>
        <w:t xml:space="preserve"> while the business completes its governance work.</w:t>
      </w:r>
    </w:p>
    <w:p w14:paraId="53CB452C" w14:textId="77777777" w:rsidR="005F6948" w:rsidRDefault="00000000">
      <w:pPr>
        <w:spacing w:after="210"/>
      </w:pPr>
      <w:r>
        <w:t xml:space="preserve">This is not a "build once and done" solution. It is a </w:t>
      </w:r>
      <w:r>
        <w:rPr>
          <w:b/>
        </w:rPr>
        <w:t>transition architecture</w:t>
      </w:r>
      <w:r>
        <w:t xml:space="preserve"> that solves the immediate scale crisis while positioning the enterprise to migrate incrementally toward the </w:t>
      </w:r>
      <w:r>
        <w:lastRenderedPageBreak/>
        <w:t>target governed exposure model as portal capabilities mature and business processes stabilize.</w:t>
      </w:r>
    </w:p>
    <w:p w14:paraId="38299A0D" w14:textId="77777777" w:rsidR="005F6948" w:rsidRDefault="00132649">
      <w:r>
        <w:rPr>
          <w:noProof/>
        </w:rPr>
        <w:pict w14:anchorId="30992918">
          <v:rect id="_x0000_i1033" alt="" style="width:434.5pt;height:.05pt;mso-width-percent:0;mso-height-percent:0;mso-width-percent:0;mso-height-percent:0" o:hralign="center" o:hrstd="t" o:hr="t"/>
        </w:pict>
      </w:r>
    </w:p>
    <w:p w14:paraId="2F07C23C" w14:textId="77777777" w:rsidR="005F6948" w:rsidRDefault="00000000">
      <w:pPr>
        <w:spacing w:before="240" w:line="271" w:lineRule="auto"/>
      </w:pPr>
      <w:bookmarkStart w:id="2" w:name="part_i_the_business_challenge_sca_40aa76"/>
      <w:r>
        <w:rPr>
          <w:rFonts w:eastAsia="Georgia" w:hAnsi="Georgia" w:cs="Georgia"/>
          <w:b/>
          <w:sz w:val="42"/>
        </w:rPr>
        <w:t>Part I: The Business Challenge — Scale, Discovery, and Governance Asymmetry</w:t>
      </w:r>
      <w:bookmarkEnd w:id="2"/>
    </w:p>
    <w:p w14:paraId="57B345A5" w14:textId="77777777" w:rsidR="005F6948" w:rsidRDefault="00000000">
      <w:pPr>
        <w:spacing w:before="240" w:line="271" w:lineRule="auto"/>
      </w:pPr>
      <w:bookmarkStart w:id="3" w:name="the_immediate_problem_500_connect_c23fe1"/>
      <w:r>
        <w:rPr>
          <w:rFonts w:eastAsia="Georgia" w:hAnsi="Georgia" w:cs="Georgia"/>
          <w:b/>
          <w:sz w:val="33"/>
        </w:rPr>
        <w:t>The Immediate Problem: 500+ Connections in 9–22 Months</w:t>
      </w:r>
      <w:bookmarkEnd w:id="3"/>
    </w:p>
    <w:p w14:paraId="1383C095" w14:textId="77777777" w:rsidR="005F6948" w:rsidRDefault="00000000">
      <w:pPr>
        <w:spacing w:after="210"/>
      </w:pPr>
      <w:r>
        <w:rPr>
          <w:rFonts w:eastAsia="Georgia" w:hAnsi="Georgia" w:cs="Georgia"/>
        </w:rPr>
        <w:t xml:space="preserve">The enterprise faces a structural onboarding challenge driven by business consolidation, application rationalization, or third‑party ecosystem expansion. Regardless of cause, the result is identical: </w:t>
      </w:r>
      <w:r>
        <w:rPr>
          <w:b/>
        </w:rPr>
        <w:t>over 500 third</w:t>
      </w:r>
      <w:r>
        <w:rPr>
          <w:b/>
        </w:rPr>
        <w:t>‑</w:t>
      </w:r>
      <w:r>
        <w:rPr>
          <w:b/>
        </w:rPr>
        <w:t>party connectivity relationships must be discovered, qualified, and operationalized within 9</w:t>
      </w:r>
      <w:r>
        <w:rPr>
          <w:b/>
        </w:rPr>
        <w:t>–</w:t>
      </w:r>
      <w:r>
        <w:rPr>
          <w:b/>
        </w:rPr>
        <w:t>22 months</w:t>
      </w:r>
      <w:r>
        <w:t>, with this cycle repeating three additional times over five years.</w:t>
      </w:r>
    </w:p>
    <w:p w14:paraId="407FCE59" w14:textId="77777777" w:rsidR="005F6948" w:rsidRDefault="00000000">
      <w:pPr>
        <w:spacing w:after="210"/>
      </w:pPr>
      <w:r>
        <w:t xml:space="preserve">This is not purely a network capacity problem. It is a </w:t>
      </w:r>
      <w:r>
        <w:rPr>
          <w:b/>
        </w:rPr>
        <w:t>business discovery and qualification bottleneck</w:t>
      </w:r>
      <w:r>
        <w:t xml:space="preserve"> constrained by:</w:t>
      </w:r>
    </w:p>
    <w:p w14:paraId="021C0B58" w14:textId="77777777" w:rsidR="005F6948" w:rsidRDefault="00000000">
      <w:pPr>
        <w:spacing w:after="210"/>
      </w:pPr>
      <w:r>
        <w:rPr>
          <w:b/>
        </w:rPr>
        <w:t>Manual discovery processes</w:t>
      </w:r>
      <w:r>
        <w:rPr>
          <w:rFonts w:eastAsia="Georgia" w:hAnsi="Georgia" w:cs="Georgia"/>
        </w:rPr>
        <w:t xml:space="preserve"> — Business owners must be interviewed to determine which third parties require connectivity, what applications they access, and who is accountable for the relationship.</w:t>
      </w:r>
    </w:p>
    <w:p w14:paraId="08EBEEBD" w14:textId="77777777" w:rsidR="005F6948" w:rsidRDefault="00000000">
      <w:pPr>
        <w:spacing w:after="210"/>
      </w:pPr>
      <w:r>
        <w:rPr>
          <w:b/>
        </w:rPr>
        <w:t>Traffic inspection and validation</w:t>
      </w:r>
      <w:r>
        <w:rPr>
          <w:rFonts w:eastAsia="Georgia" w:hAnsi="Georgia" w:cs="Georgia"/>
        </w:rPr>
        <w:t xml:space="preserve"> — Network teams must capture and analyze traffic patterns to understand protocol requirements, destination scope, and data flows before formalizing connectivity.</w:t>
      </w:r>
    </w:p>
    <w:p w14:paraId="5E326BE1" w14:textId="77777777" w:rsidR="005F6948" w:rsidRDefault="00000000">
      <w:pPr>
        <w:spacing w:after="210"/>
      </w:pPr>
      <w:r>
        <w:rPr>
          <w:b/>
        </w:rPr>
        <w:t>Ownership and accountability determination</w:t>
      </w:r>
      <w:r>
        <w:rPr>
          <w:rFonts w:eastAsia="Georgia" w:hAnsi="Georgia" w:cs="Georgia"/>
        </w:rPr>
        <w:t xml:space="preserve"> — Each connection must be tied to a responsible business function that can articulate purpose, justify risk, and participate in lifecycle decisions.</w:t>
      </w:r>
    </w:p>
    <w:p w14:paraId="4F616F72" w14:textId="77777777" w:rsidR="005F6948" w:rsidRDefault="00000000">
      <w:pPr>
        <w:spacing w:after="210"/>
      </w:pPr>
      <w:r>
        <w:rPr>
          <w:b/>
        </w:rPr>
        <w:t>Application dependency mapping</w:t>
      </w:r>
      <w:r>
        <w:rPr>
          <w:rFonts w:eastAsia="Georgia" w:hAnsi="Georgia" w:cs="Georgia"/>
        </w:rPr>
        <w:t xml:space="preserve"> — IT teams must document which internal applications are accessed, their criticality, and their interdependencies to scope exposure appropriately.</w:t>
      </w:r>
    </w:p>
    <w:p w14:paraId="67FD355D" w14:textId="77777777" w:rsidR="005F6948" w:rsidRDefault="00000000">
      <w:pPr>
        <w:spacing w:after="210"/>
      </w:pPr>
      <w:r>
        <w:rPr>
          <w:rFonts w:eastAsia="Georgia" w:hAnsi="Georgia" w:cs="Georgia"/>
        </w:rPr>
        <w:t xml:space="preserve">Even with an idealized self‑service portal, </w:t>
      </w:r>
      <w:r>
        <w:rPr>
          <w:b/>
        </w:rPr>
        <w:t>these discovery activities remain mandatory human work</w:t>
      </w:r>
      <w:r>
        <w:t xml:space="preserve">. The portal can streamline provisioning once requirements are clear, but it cannot automate stakeholder interviews or replace traffic inspection. The business constraint is not technical automation; it is </w:t>
      </w:r>
      <w:r>
        <w:rPr>
          <w:b/>
        </w:rPr>
        <w:t>organizational velocity in identifying and qualifying what to connect</w:t>
      </w:r>
      <w:r>
        <w:t>.</w:t>
      </w:r>
    </w:p>
    <w:p w14:paraId="77F51F87" w14:textId="77777777" w:rsidR="005F6948" w:rsidRDefault="00000000">
      <w:pPr>
        <w:spacing w:before="240" w:line="271" w:lineRule="auto"/>
      </w:pPr>
      <w:bookmarkStart w:id="4" w:name="the_recurring_nature_three_more_c_3be0a0"/>
      <w:r>
        <w:rPr>
          <w:b/>
          <w:sz w:val="33"/>
        </w:rPr>
        <w:t>The Recurring Nature: Three More Cycles Over Five Years</w:t>
      </w:r>
      <w:bookmarkEnd w:id="4"/>
    </w:p>
    <w:p w14:paraId="11C769B8" w14:textId="77777777" w:rsidR="005F6948" w:rsidRDefault="00000000">
      <w:pPr>
        <w:spacing w:after="210"/>
      </w:pPr>
      <w:r>
        <w:rPr>
          <w:rFonts w:eastAsia="Georgia" w:hAnsi="Georgia" w:cs="Georgia"/>
        </w:rPr>
        <w:t xml:space="preserve">This is not a one‑time migration event. The enterprise expects to repeat this discovery and onboarding cycle </w:t>
      </w:r>
      <w:r>
        <w:rPr>
          <w:b/>
        </w:rPr>
        <w:t>three additional times</w:t>
      </w:r>
      <w:r>
        <w:rPr>
          <w:rFonts w:eastAsia="Georgia" w:hAnsi="Georgia" w:cs="Georgia"/>
        </w:rPr>
        <w:t xml:space="preserve"> over a five‑year horizon, driven by:</w:t>
      </w:r>
    </w:p>
    <w:p w14:paraId="2A2F6C12" w14:textId="77777777" w:rsidR="005F6948" w:rsidRDefault="00000000">
      <w:pPr>
        <w:numPr>
          <w:ilvl w:val="0"/>
          <w:numId w:val="2"/>
        </w:numPr>
      </w:pPr>
      <w:r>
        <w:t>Continued business consolidation or divestiture activity</w:t>
      </w:r>
    </w:p>
    <w:p w14:paraId="7851B92A" w14:textId="77777777" w:rsidR="005F6948" w:rsidRDefault="00000000">
      <w:pPr>
        <w:numPr>
          <w:ilvl w:val="0"/>
          <w:numId w:val="2"/>
        </w:numPr>
      </w:pPr>
      <w:r>
        <w:lastRenderedPageBreak/>
        <w:t>Expansion into new markets requiring additional partner integrations</w:t>
      </w:r>
    </w:p>
    <w:p w14:paraId="72397D29" w14:textId="77777777" w:rsidR="005F6948" w:rsidRDefault="00000000">
      <w:pPr>
        <w:numPr>
          <w:ilvl w:val="0"/>
          <w:numId w:val="2"/>
        </w:numPr>
      </w:pPr>
      <w:r>
        <w:rPr>
          <w:rFonts w:eastAsia="Georgia" w:hAnsi="Georgia" w:cs="Georgia"/>
        </w:rPr>
        <w:t>Application modernization initiatives that alter third‑party interaction patterns</w:t>
      </w:r>
    </w:p>
    <w:p w14:paraId="2283864E" w14:textId="77777777" w:rsidR="005F6948" w:rsidRDefault="00000000">
      <w:pPr>
        <w:numPr>
          <w:ilvl w:val="0"/>
          <w:numId w:val="2"/>
        </w:numPr>
      </w:pPr>
      <w:r>
        <w:rPr>
          <w:rFonts w:eastAsia="Georgia" w:hAnsi="Georgia" w:cs="Georgia"/>
        </w:rPr>
        <w:t>Regulatory or security‑driven rearchitecture mandates</w:t>
      </w:r>
    </w:p>
    <w:p w14:paraId="2AC43448" w14:textId="77777777" w:rsidR="005F6948" w:rsidRDefault="00000000">
      <w:pPr>
        <w:spacing w:after="210"/>
      </w:pPr>
      <w:r>
        <w:t xml:space="preserve">Each cycle will involve similar discovery, qualification, and onboarding burdens. The platform must therefore be designed not just to </w:t>
      </w:r>
      <w:r>
        <w:rPr>
          <w:b/>
        </w:rPr>
        <w:t>handle a single wave of 500 connections</w:t>
      </w:r>
      <w:r>
        <w:t xml:space="preserve">, but to </w:t>
      </w:r>
      <w:r>
        <w:rPr>
          <w:b/>
        </w:rPr>
        <w:t>support iterative, multi</w:t>
      </w:r>
      <w:r>
        <w:rPr>
          <w:b/>
        </w:rPr>
        <w:t>‑</w:t>
      </w:r>
      <w:r>
        <w:rPr>
          <w:b/>
        </w:rPr>
        <w:t>year onboarding cadence</w:t>
      </w:r>
      <w:r>
        <w:t xml:space="preserve"> without requiring fundamental redesign.</w:t>
      </w:r>
    </w:p>
    <w:p w14:paraId="44166EBF" w14:textId="77777777" w:rsidR="005F6948" w:rsidRDefault="00000000">
      <w:pPr>
        <w:spacing w:before="240" w:line="271" w:lineRule="auto"/>
      </w:pPr>
      <w:bookmarkStart w:id="5" w:name="the_governance_gap_ownership_life_2d5f17"/>
      <w:r>
        <w:rPr>
          <w:b/>
          <w:sz w:val="33"/>
        </w:rPr>
        <w:t>The Governance Gap: Ownership, Lifecycle, and Accountability</w:t>
      </w:r>
      <w:bookmarkEnd w:id="5"/>
    </w:p>
    <w:p w14:paraId="2BA35EE5" w14:textId="77777777" w:rsidR="005F6948" w:rsidRDefault="00000000">
      <w:pPr>
        <w:spacing w:after="210"/>
      </w:pPr>
      <w:r>
        <w:t>Historical connectivity growth occurred organically. Tunnels were provisioned to solve immediate business needs, often without formalizing ownership, documenting purpose, or establishing lifecycle review processes. Over time, this produced:</w:t>
      </w:r>
    </w:p>
    <w:p w14:paraId="357C31F0" w14:textId="77777777" w:rsidR="005F6948" w:rsidRDefault="00000000">
      <w:pPr>
        <w:spacing w:after="210"/>
      </w:pPr>
      <w:r>
        <w:rPr>
          <w:b/>
        </w:rPr>
        <w:t>Ambiguous ownership</w:t>
      </w:r>
      <w:r>
        <w:rPr>
          <w:rFonts w:eastAsia="Georgia" w:hAnsi="Georgia" w:cs="Georgia"/>
        </w:rPr>
        <w:t xml:space="preserve"> — Many existing connections lack clear business owners who can articulate why they exist or whether they remain necessary.</w:t>
      </w:r>
    </w:p>
    <w:p w14:paraId="7894873F" w14:textId="77777777" w:rsidR="005F6948" w:rsidRDefault="00000000">
      <w:pPr>
        <w:spacing w:after="210"/>
      </w:pPr>
      <w:r>
        <w:rPr>
          <w:b/>
        </w:rPr>
        <w:t>Informal lifecycle management</w:t>
      </w:r>
      <w:r>
        <w:rPr>
          <w:rFonts w:eastAsia="Georgia" w:hAnsi="Georgia" w:cs="Georgia"/>
        </w:rPr>
        <w:t xml:space="preserve"> — Connections persist indefinitely unless explicitly removed, and removal is avoided because it might break something.</w:t>
      </w:r>
    </w:p>
    <w:p w14:paraId="75156B87" w14:textId="77777777" w:rsidR="005F6948" w:rsidRDefault="00000000">
      <w:pPr>
        <w:spacing w:after="210"/>
      </w:pPr>
      <w:r>
        <w:rPr>
          <w:b/>
        </w:rPr>
        <w:t>Audit and compliance complexity</w:t>
      </w:r>
      <w:r>
        <w:rPr>
          <w:rFonts w:eastAsia="Georgia" w:hAnsi="Georgia" w:cs="Georgia"/>
        </w:rPr>
        <w:t xml:space="preserve"> — Security and compliance teams struggle to assess risk when they cannot determine which third parties access which systems or who authorized the connectivity.</w:t>
      </w:r>
    </w:p>
    <w:p w14:paraId="51CB0CC2" w14:textId="77777777" w:rsidR="005F6948" w:rsidRDefault="00000000">
      <w:pPr>
        <w:spacing w:after="210"/>
      </w:pPr>
      <w:r>
        <w:rPr>
          <w:b/>
        </w:rPr>
        <w:t>Technical inertia</w:t>
      </w:r>
      <w:r>
        <w:rPr>
          <w:rFonts w:eastAsia="Georgia" w:hAnsi="Georgia" w:cs="Georgia"/>
        </w:rPr>
        <w:t xml:space="preserve"> — Once a tunnel is established, it becomes part of the infrastructure baseline, sustained by operational risk aversion rather than ongoing business justification.</w:t>
      </w:r>
    </w:p>
    <w:p w14:paraId="75B54BE9" w14:textId="77777777" w:rsidR="005F6948" w:rsidRDefault="00000000">
      <w:pPr>
        <w:spacing w:after="210"/>
      </w:pPr>
      <w:r>
        <w:t xml:space="preserve">The transition strategy must address not just technical onboarding velocity, but also </w:t>
      </w:r>
      <w:r>
        <w:rPr>
          <w:b/>
        </w:rPr>
        <w:t>governance structure</w:t>
      </w:r>
      <w:r>
        <w:t>: ensuring that every new connection is owned, documented, scoped, and subject to lifecycle discipline from day one.</w:t>
      </w:r>
    </w:p>
    <w:p w14:paraId="472E16E4" w14:textId="77777777" w:rsidR="005F6948" w:rsidRDefault="00132649">
      <w:r>
        <w:rPr>
          <w:noProof/>
        </w:rPr>
        <w:pict w14:anchorId="74BFA564">
          <v:rect id="_x0000_i1032" alt="" style="width:434.5pt;height:.05pt;mso-width-percent:0;mso-height-percent:0;mso-width-percent:0;mso-height-percent:0" o:hralign="center" o:hrstd="t" o:hr="t"/>
        </w:pict>
      </w:r>
    </w:p>
    <w:p w14:paraId="4E30FC5F" w14:textId="77777777" w:rsidR="005F6948" w:rsidRDefault="00000000">
      <w:pPr>
        <w:spacing w:before="240" w:line="271" w:lineRule="auto"/>
      </w:pPr>
      <w:bookmarkStart w:id="6" w:name="part_ii_the_target_state_governed_b2f143"/>
      <w:r>
        <w:rPr>
          <w:rFonts w:eastAsia="Georgia" w:hAnsi="Georgia" w:cs="Georgia"/>
          <w:b/>
          <w:sz w:val="42"/>
        </w:rPr>
        <w:t>Part II: The Target State — Governed Third‑Party Connectivity Architecture</w:t>
      </w:r>
      <w:bookmarkEnd w:id="6"/>
    </w:p>
    <w:p w14:paraId="484EB6A8" w14:textId="77777777" w:rsidR="005F6948" w:rsidRDefault="00000000">
      <w:pPr>
        <w:spacing w:after="210"/>
      </w:pPr>
      <w:r>
        <w:rPr>
          <w:rFonts w:eastAsia="Georgia" w:hAnsi="Georgia" w:cs="Georgia"/>
        </w:rPr>
        <w:t xml:space="preserve">Before defining the transition path, we must establish the long‑term vision: a </w:t>
      </w:r>
      <w:r>
        <w:rPr>
          <w:b/>
        </w:rPr>
        <w:t>governed exposure infrastructure</w:t>
      </w:r>
      <w:r>
        <w:rPr>
          <w:rFonts w:eastAsia="Georgia" w:hAnsi="Georgia" w:cs="Georgia"/>
        </w:rPr>
        <w:t xml:space="preserve"> in which third‑party connectivity is treated as a business‑owned capability delivered through structured service patterns, not ad‑hoc network provisioning.</w:t>
      </w:r>
    </w:p>
    <w:p w14:paraId="0EC22553" w14:textId="77777777" w:rsidR="005F6948" w:rsidRDefault="00000000">
      <w:pPr>
        <w:spacing w:before="240" w:line="271" w:lineRule="auto"/>
      </w:pPr>
      <w:bookmarkStart w:id="7" w:name="core_principles_of_the_target_arc_d0038a"/>
      <w:r>
        <w:rPr>
          <w:b/>
          <w:sz w:val="33"/>
        </w:rPr>
        <w:t>Core Principles of the Target Architecture</w:t>
      </w:r>
      <w:bookmarkEnd w:id="7"/>
    </w:p>
    <w:p w14:paraId="491E8FE8" w14:textId="77777777" w:rsidR="005F6948" w:rsidRDefault="00000000">
      <w:pPr>
        <w:spacing w:after="210"/>
      </w:pPr>
      <w:r>
        <w:rPr>
          <w:rFonts w:eastAsia="Georgia" w:hAnsi="Georgia" w:cs="Georgia"/>
        </w:rPr>
        <w:t>The target state is defined by four architectural principles that move beyond traditional VPN‑and‑firewall models:</w:t>
      </w:r>
    </w:p>
    <w:p w14:paraId="34839E4F" w14:textId="77777777" w:rsidR="005F6948" w:rsidRDefault="00000000">
      <w:pPr>
        <w:spacing w:before="240" w:line="271" w:lineRule="auto"/>
      </w:pPr>
      <w:bookmarkStart w:id="8" w:name="bm_1_structural_containment_isola_d1a66a"/>
      <w:r>
        <w:rPr>
          <w:rFonts w:eastAsia="Georgia" w:hAnsi="Georgia" w:cs="Georgia"/>
          <w:b/>
          <w:sz w:val="28"/>
        </w:rPr>
        <w:t>1. Structural Containment — Isolation Embedded in Topology</w:t>
      </w:r>
      <w:bookmarkEnd w:id="8"/>
    </w:p>
    <w:p w14:paraId="385D0D2C" w14:textId="77777777" w:rsidR="005F6948" w:rsidRDefault="00000000">
      <w:pPr>
        <w:spacing w:after="210"/>
      </w:pPr>
      <w:r>
        <w:rPr>
          <w:rFonts w:eastAsia="Georgia" w:hAnsi="Georgia" w:cs="Georgia"/>
        </w:rPr>
        <w:lastRenderedPageBreak/>
        <w:t xml:space="preserve">Third‑party connections operate within </w:t>
      </w:r>
      <w:r>
        <w:rPr>
          <w:b/>
        </w:rPr>
        <w:t>isolated routing and forwarding contexts</w:t>
      </w:r>
      <w:r>
        <w:t xml:space="preserve"> (analogous to VRFs or network namespaces). No third party inherits adjacency to another by default, and internal enterprise networks are not reachable without explicit mediation constructs. Isolation is a structural property, not a policy artifact. Removing mediation must eliminate reachability.</w:t>
      </w:r>
    </w:p>
    <w:p w14:paraId="64CF2DF8" w14:textId="77777777" w:rsidR="005F6948" w:rsidRDefault="00000000">
      <w:pPr>
        <w:spacing w:after="210"/>
      </w:pPr>
      <w:r>
        <w:t xml:space="preserve">This aligns with the </w:t>
      </w:r>
      <w:r>
        <w:rPr>
          <w:b/>
        </w:rPr>
        <w:t>Structural Containment paradigm</w:t>
      </w:r>
      <w:r>
        <w:t xml:space="preserve"> from the security evaluation framework: security is enforced by structure, not policy layering.</w:t>
      </w:r>
    </w:p>
    <w:p w14:paraId="7B236CE4" w14:textId="77777777" w:rsidR="005F6948" w:rsidRDefault="00000000">
      <w:pPr>
        <w:spacing w:before="240" w:line="271" w:lineRule="auto"/>
      </w:pPr>
      <w:bookmarkStart w:id="9" w:name="bm_2_mediated_capability_exposure_7ae953"/>
      <w:r>
        <w:rPr>
          <w:rFonts w:eastAsia="Georgia" w:hAnsi="Georgia" w:cs="Georgia"/>
          <w:b/>
          <w:sz w:val="28"/>
        </w:rPr>
        <w:t>2. Mediated Capability Exposure — Service‑Level Access, Not Network Adjacency</w:t>
      </w:r>
      <w:bookmarkEnd w:id="9"/>
    </w:p>
    <w:p w14:paraId="191552F4" w14:textId="77777777" w:rsidR="005F6948" w:rsidRDefault="00000000">
      <w:pPr>
        <w:spacing w:after="210"/>
      </w:pPr>
      <w:r>
        <w:t xml:space="preserve">Third parties interact with </w:t>
      </w:r>
      <w:r>
        <w:rPr>
          <w:b/>
        </w:rPr>
        <w:t>defined application endpoints</w:t>
      </w:r>
      <w:r>
        <w:t xml:space="preserve"> through mediation layers (proxies, gateways), not raw network segments. All flows traverse enforcement constructs that constrain destination scope, directionality, and protocol semantics. Connectivity translates to service access, not subnet reachability.</w:t>
      </w:r>
    </w:p>
    <w:p w14:paraId="621C1250" w14:textId="77777777" w:rsidR="005F6948" w:rsidRDefault="00000000">
      <w:pPr>
        <w:spacing w:after="210"/>
      </w:pPr>
      <w:r>
        <w:t xml:space="preserve">This implements the </w:t>
      </w:r>
      <w:r>
        <w:rPr>
          <w:b/>
        </w:rPr>
        <w:t>Mediated Capability Exposure paradigm</w:t>
      </w:r>
      <w:r>
        <w:t>: external actors access declared capabilities, not network segments.</w:t>
      </w:r>
    </w:p>
    <w:p w14:paraId="69F75F53" w14:textId="77777777" w:rsidR="005F6948" w:rsidRDefault="00000000">
      <w:pPr>
        <w:spacing w:before="240" w:line="271" w:lineRule="auto"/>
      </w:pPr>
      <w:bookmarkStart w:id="10" w:name="bm_3_identity_bound_authorization_af912e"/>
      <w:r>
        <w:rPr>
          <w:rFonts w:eastAsia="Georgia" w:hAnsi="Georgia" w:cs="Georgia"/>
          <w:b/>
          <w:sz w:val="28"/>
        </w:rPr>
        <w:t>3. Identity‑Bound Authorization — Cryptographic Identity, Not Location‑Based Trust</w:t>
      </w:r>
      <w:bookmarkEnd w:id="10"/>
    </w:p>
    <w:p w14:paraId="5210F24E" w14:textId="77777777" w:rsidR="005F6948" w:rsidRDefault="00000000">
      <w:pPr>
        <w:spacing w:after="210"/>
      </w:pPr>
      <w:r>
        <w:t xml:space="preserve">Where protocols permit, access decisions are anchored in </w:t>
      </w:r>
      <w:r>
        <w:rPr>
          <w:b/>
        </w:rPr>
        <w:t>authenticated identity</w:t>
      </w:r>
      <w:r>
        <w:rPr>
          <w:rFonts w:eastAsia="Georgia" w:hAnsi="Georgia" w:cs="Georgia"/>
        </w:rPr>
        <w:t xml:space="preserve"> (certificates, tokens) rather than source IP addresses. Identity is tenant‑scoped and tied to declared capabilities. Revocation is independent of routing topology changes.</w:t>
      </w:r>
    </w:p>
    <w:p w14:paraId="6F2C7D8A" w14:textId="77777777" w:rsidR="005F6948" w:rsidRDefault="00000000">
      <w:pPr>
        <w:spacing w:after="210"/>
      </w:pPr>
      <w:r>
        <w:t xml:space="preserve">This realizes the </w:t>
      </w:r>
      <w:r>
        <w:rPr>
          <w:b/>
        </w:rPr>
        <w:t>Identity</w:t>
      </w:r>
      <w:r>
        <w:rPr>
          <w:b/>
        </w:rPr>
        <w:t>‑</w:t>
      </w:r>
      <w:r>
        <w:rPr>
          <w:b/>
        </w:rPr>
        <w:t>Bound Authorization paradigm</w:t>
      </w:r>
      <w:r>
        <w:rPr>
          <w:rFonts w:eastAsia="Georgia" w:hAnsi="Georgia" w:cs="Georgia"/>
        </w:rPr>
        <w:t>: access is subject‑level, not location‑level.</w:t>
      </w:r>
    </w:p>
    <w:p w14:paraId="18D903DB" w14:textId="77777777" w:rsidR="005F6948" w:rsidRDefault="00000000">
      <w:pPr>
        <w:spacing w:before="240" w:line="271" w:lineRule="auto"/>
      </w:pPr>
      <w:bookmarkStart w:id="11" w:name="bm_4_deterministic_lifecycle_gove_c65dd4"/>
      <w:r>
        <w:rPr>
          <w:rFonts w:eastAsia="Georgia" w:hAnsi="Georgia" w:cs="Georgia"/>
          <w:b/>
          <w:sz w:val="28"/>
        </w:rPr>
        <w:t>4. Deterministic Lifecycle Governance — Reversible Provisioning With No Residual Artifacts</w:t>
      </w:r>
      <w:bookmarkEnd w:id="11"/>
    </w:p>
    <w:p w14:paraId="5875B19D" w14:textId="77777777" w:rsidR="005F6948" w:rsidRDefault="00000000">
      <w:pPr>
        <w:spacing w:after="210"/>
      </w:pPr>
      <w:r>
        <w:t xml:space="preserve">Provisioning is </w:t>
      </w:r>
      <w:r>
        <w:rPr>
          <w:b/>
        </w:rPr>
        <w:t>declarative and idempotent</w:t>
      </w:r>
      <w:r>
        <w:t xml:space="preserve">. Removal is </w:t>
      </w:r>
      <w:r>
        <w:rPr>
          <w:b/>
        </w:rPr>
        <w:t>automated and deterministic</w:t>
      </w:r>
      <w:r>
        <w:t>, eliminating all artifacts (tunnels, routes, mediation constructs, identity stores). Exposure does not persist beyond declared lifecycle without reauthorization.</w:t>
      </w:r>
    </w:p>
    <w:p w14:paraId="362BB1B2" w14:textId="77777777" w:rsidR="005F6948" w:rsidRDefault="00000000">
      <w:pPr>
        <w:spacing w:after="210"/>
      </w:pPr>
      <w:r>
        <w:t xml:space="preserve">This enforces the </w:t>
      </w:r>
      <w:r>
        <w:rPr>
          <w:b/>
        </w:rPr>
        <w:t>Deterministic Lifecycle Governance paradigm</w:t>
      </w:r>
      <w:r>
        <w:t>: exposure persists only while declared.</w:t>
      </w:r>
    </w:p>
    <w:p w14:paraId="454CD574" w14:textId="77777777" w:rsidR="005F6948" w:rsidRDefault="00000000">
      <w:pPr>
        <w:spacing w:before="240" w:line="271" w:lineRule="auto"/>
      </w:pPr>
      <w:bookmarkStart w:id="12" w:name="the_operating_model_tenants_servi_83ecd8"/>
      <w:r>
        <w:rPr>
          <w:rFonts w:eastAsia="Georgia" w:hAnsi="Georgia" w:cs="Georgia"/>
          <w:b/>
          <w:sz w:val="33"/>
        </w:rPr>
        <w:t>The Operating Model: Tenants, Service Catalog, and Product‑Agnostic Portal</w:t>
      </w:r>
      <w:bookmarkEnd w:id="12"/>
    </w:p>
    <w:p w14:paraId="2FA58A2D" w14:textId="77777777" w:rsidR="005F6948" w:rsidRDefault="00000000">
      <w:pPr>
        <w:spacing w:after="210"/>
      </w:pPr>
      <w:r>
        <w:t xml:space="preserve">The target architecture is not just technology; it is an </w:t>
      </w:r>
      <w:r>
        <w:rPr>
          <w:b/>
        </w:rPr>
        <w:t>operating model</w:t>
      </w:r>
      <w:r>
        <w:rPr>
          <w:rFonts w:eastAsia="Georgia" w:hAnsi="Georgia" w:cs="Georgia"/>
        </w:rPr>
        <w:t xml:space="preserve"> that redefines how third‑party connectivity is requested, approved, delivered, and retired:</w:t>
      </w:r>
    </w:p>
    <w:p w14:paraId="7CB29B50" w14:textId="77777777" w:rsidR="005F6948" w:rsidRDefault="00000000">
      <w:pPr>
        <w:spacing w:after="210"/>
      </w:pPr>
      <w:r>
        <w:rPr>
          <w:b/>
        </w:rPr>
        <w:t>Tenants as Governance Anchors</w:t>
      </w:r>
      <w:r>
        <w:rPr>
          <w:rFonts w:eastAsia="Georgia" w:hAnsi="Georgia" w:cs="Georgia"/>
        </w:rPr>
        <w:t xml:space="preserve"> — Each third‑party relationship is defined as a </w:t>
      </w:r>
      <w:r>
        <w:rPr>
          <w:b/>
        </w:rPr>
        <w:t>Tenant</w:t>
      </w:r>
      <w:r>
        <w:t>, representing a discrete exposure domain. The Tenant encapsulates the business relationship, associated applications, responsible owners, and intended scope. It links to systems of record (application inventories, vendor management) so that lifecycle changes trigger connectivity reviews.</w:t>
      </w:r>
    </w:p>
    <w:p w14:paraId="6AFD4A64" w14:textId="77777777" w:rsidR="005F6948" w:rsidRDefault="00000000">
      <w:pPr>
        <w:spacing w:after="210"/>
      </w:pPr>
      <w:r>
        <w:rPr>
          <w:b/>
        </w:rPr>
        <w:lastRenderedPageBreak/>
        <w:t>Service Catalog as Structured Abstraction</w:t>
      </w:r>
      <w:r>
        <w:rPr>
          <w:rFonts w:eastAsia="Georgia" w:hAnsi="Georgia" w:cs="Georgia"/>
        </w:rPr>
        <w:t xml:space="preserve"> — Business owners do not design network topologies or encryption schemes. They select from a </w:t>
      </w:r>
      <w:r>
        <w:rPr>
          <w:b/>
        </w:rPr>
        <w:t>Service Catalog</w:t>
      </w:r>
      <w:r>
        <w:t xml:space="preserve"> of approved connectivity patterns (SaaS integration, managed file transfer, API communication, web application access, virtual desktop access). Each pattern embeds governance and control expectations (inspection, logging, identity enforcement, containment posture).</w:t>
      </w:r>
    </w:p>
    <w:p w14:paraId="121BC1C3" w14:textId="77777777" w:rsidR="005F6948" w:rsidRDefault="00000000">
      <w:pPr>
        <w:spacing w:after="210"/>
      </w:pPr>
      <w:r>
        <w:rPr>
          <w:b/>
        </w:rPr>
        <w:t>Product</w:t>
      </w:r>
      <w:r>
        <w:rPr>
          <w:b/>
        </w:rPr>
        <w:t>‑</w:t>
      </w:r>
      <w:r>
        <w:rPr>
          <w:b/>
        </w:rPr>
        <w:t>Agnostic Self</w:t>
      </w:r>
      <w:r>
        <w:rPr>
          <w:b/>
        </w:rPr>
        <w:t>‑</w:t>
      </w:r>
      <w:r>
        <w:rPr>
          <w:b/>
        </w:rPr>
        <w:t>Service Portal</w:t>
      </w:r>
      <w:r>
        <w:rPr>
          <w:rFonts w:eastAsia="Georgia" w:hAnsi="Georgia" w:cs="Georgia"/>
        </w:rPr>
        <w:t xml:space="preserve"> — The portal surfaces governance constructs and business capabilities, not infrastructure primitives. Owners define Tenants, associate them with inventory records, select catalog services, declare lifecycle attributes, and submit for governance review. Approved requests trigger standardized provisioning through automation.</w:t>
      </w:r>
    </w:p>
    <w:p w14:paraId="4DE50AD0" w14:textId="77777777" w:rsidR="005F6948" w:rsidRDefault="00000000">
      <w:pPr>
        <w:spacing w:after="210"/>
      </w:pPr>
      <w:r>
        <w:rPr>
          <w:b/>
        </w:rPr>
        <w:t>Portal</w:t>
      </w:r>
      <w:r>
        <w:rPr>
          <w:b/>
        </w:rPr>
        <w:t>‑</w:t>
      </w:r>
      <w:r>
        <w:rPr>
          <w:b/>
        </w:rPr>
        <w:t>Platform Separation</w:t>
      </w:r>
      <w:r>
        <w:rPr>
          <w:rFonts w:eastAsia="Georgia" w:hAnsi="Georgia" w:cs="Georgia"/>
        </w:rPr>
        <w:t xml:space="preserve"> — The portal's contracts are </w:t>
      </w:r>
      <w:r>
        <w:rPr>
          <w:b/>
        </w:rPr>
        <w:t>stable business constructs</w:t>
      </w:r>
      <w:r>
        <w:t xml:space="preserve"> (Tenant definition, catalog service selection, lifecycle attributes), not technical primitives (tunnel config, route design, firewall rules). This decoupling allows the underlying platform to evolve (new mediation patterns, inspection modules, transport technologies) without altering the business interface.</w:t>
      </w:r>
    </w:p>
    <w:p w14:paraId="66DCB782" w14:textId="77777777" w:rsidR="005F6948" w:rsidRDefault="00000000">
      <w:pPr>
        <w:spacing w:before="240" w:line="271" w:lineRule="auto"/>
      </w:pPr>
      <w:bookmarkStart w:id="13" w:name="why_this_cannot_be_delivered_immediately"/>
      <w:r>
        <w:rPr>
          <w:b/>
          <w:sz w:val="33"/>
        </w:rPr>
        <w:t>Why This Cannot Be Delivered Immediately</w:t>
      </w:r>
      <w:bookmarkEnd w:id="13"/>
    </w:p>
    <w:p w14:paraId="3C78F049" w14:textId="77777777" w:rsidR="005F6948" w:rsidRDefault="00000000">
      <w:pPr>
        <w:spacing w:after="210"/>
      </w:pPr>
      <w:r>
        <w:t>The target architecture is comprehensive, technically sophisticated, and operationally transformative. It requires:</w:t>
      </w:r>
    </w:p>
    <w:p w14:paraId="06A6F63E" w14:textId="77777777" w:rsidR="005F6948" w:rsidRDefault="00000000">
      <w:pPr>
        <w:numPr>
          <w:ilvl w:val="0"/>
          <w:numId w:val="3"/>
        </w:numPr>
      </w:pPr>
      <w:r>
        <w:rPr>
          <w:rFonts w:eastAsia="Georgia" w:hAnsi="Georgia" w:cs="Georgia"/>
        </w:rPr>
        <w:t>Development of the vendor‑agnostic portal with CMDB/ITSM integration</w:t>
      </w:r>
    </w:p>
    <w:p w14:paraId="4E415435" w14:textId="77777777" w:rsidR="005F6948" w:rsidRDefault="00000000">
      <w:pPr>
        <w:numPr>
          <w:ilvl w:val="0"/>
          <w:numId w:val="3"/>
        </w:numPr>
      </w:pPr>
      <w:r>
        <w:t>Definition and standardization of service catalog patterns</w:t>
      </w:r>
    </w:p>
    <w:p w14:paraId="3B484B1F" w14:textId="77777777" w:rsidR="005F6948" w:rsidRDefault="00000000">
      <w:pPr>
        <w:numPr>
          <w:ilvl w:val="0"/>
          <w:numId w:val="3"/>
        </w:numPr>
      </w:pPr>
      <w:r>
        <w:rPr>
          <w:rFonts w:eastAsia="Georgia" w:hAnsi="Georgia" w:cs="Georgia"/>
        </w:rPr>
        <w:t>Implementation of dual‑proxy mediation architecture</w:t>
      </w:r>
    </w:p>
    <w:p w14:paraId="5F76C43E" w14:textId="77777777" w:rsidR="005F6948" w:rsidRDefault="00000000">
      <w:pPr>
        <w:numPr>
          <w:ilvl w:val="0"/>
          <w:numId w:val="3"/>
        </w:numPr>
      </w:pPr>
      <w:r>
        <w:t>Integration of identity validation mechanisms (certificate authorities, mTLS)</w:t>
      </w:r>
    </w:p>
    <w:p w14:paraId="6A537283" w14:textId="77777777" w:rsidR="005F6948" w:rsidRDefault="00000000">
      <w:pPr>
        <w:numPr>
          <w:ilvl w:val="0"/>
          <w:numId w:val="3"/>
        </w:numPr>
      </w:pPr>
      <w:r>
        <w:t>Deployment of DNS mediation and namespace preservation capabilities</w:t>
      </w:r>
    </w:p>
    <w:p w14:paraId="1E5CEC53" w14:textId="77777777" w:rsidR="005F6948" w:rsidRDefault="00000000">
      <w:pPr>
        <w:numPr>
          <w:ilvl w:val="0"/>
          <w:numId w:val="3"/>
        </w:numPr>
      </w:pPr>
      <w:r>
        <w:t>Establishment of governance workflows (approval, attestation, renewal)</w:t>
      </w:r>
    </w:p>
    <w:p w14:paraId="6DE2F2BB" w14:textId="77777777" w:rsidR="005F6948" w:rsidRDefault="00000000">
      <w:pPr>
        <w:numPr>
          <w:ilvl w:val="0"/>
          <w:numId w:val="3"/>
        </w:numPr>
      </w:pPr>
      <w:r>
        <w:t>Training of business owners on the new operating model</w:t>
      </w:r>
    </w:p>
    <w:p w14:paraId="3686F42F" w14:textId="77777777" w:rsidR="005F6948" w:rsidRDefault="00000000">
      <w:pPr>
        <w:spacing w:after="210"/>
      </w:pPr>
      <w:r>
        <w:rPr>
          <w:b/>
        </w:rPr>
        <w:t>This is a multi</w:t>
      </w:r>
      <w:r>
        <w:rPr>
          <w:b/>
        </w:rPr>
        <w:t>‑</w:t>
      </w:r>
      <w:r>
        <w:rPr>
          <w:b/>
        </w:rPr>
        <w:t>year platform buildout</w:t>
      </w:r>
      <w:r>
        <w:rPr>
          <w:rFonts w:eastAsia="Georgia" w:hAnsi="Georgia" w:cs="Georgia"/>
        </w:rPr>
        <w:t xml:space="preserve">, not a 9‑month tactical deployment. Yet the business must onboard 500+ connections </w:t>
      </w:r>
      <w:r>
        <w:rPr>
          <w:b/>
        </w:rPr>
        <w:t>now</w:t>
      </w:r>
      <w:r>
        <w:rPr>
          <w:rFonts w:eastAsia="Georgia" w:hAnsi="Georgia" w:cs="Georgia"/>
        </w:rPr>
        <w:t>, with discovery and qualification processes that will take the full 9–22 months even under optimistic assumptions.</w:t>
      </w:r>
    </w:p>
    <w:p w14:paraId="7252797A" w14:textId="77777777" w:rsidR="005F6948" w:rsidRDefault="00000000">
      <w:pPr>
        <w:spacing w:after="210"/>
      </w:pPr>
      <w:r>
        <w:t xml:space="preserve">The enterprise cannot wait for the target architecture to be fully realized. It needs a </w:t>
      </w:r>
      <w:r>
        <w:rPr>
          <w:b/>
        </w:rPr>
        <w:t>transition platform</w:t>
      </w:r>
      <w:r>
        <w:t xml:space="preserve"> that can absorb scale immediately while establishing the structural foundations that will enable eventual migration to the governed model.</w:t>
      </w:r>
    </w:p>
    <w:p w14:paraId="610B2552" w14:textId="77777777" w:rsidR="005F6948" w:rsidRDefault="00132649">
      <w:r>
        <w:rPr>
          <w:noProof/>
        </w:rPr>
        <w:pict w14:anchorId="7F2D4933">
          <v:rect id="_x0000_i1031" alt="" style="width:434.5pt;height:.05pt;mso-width-percent:0;mso-height-percent:0;mso-width-percent:0;mso-height-percent:0" o:hralign="center" o:hrstd="t" o:hr="t"/>
        </w:pict>
      </w:r>
    </w:p>
    <w:p w14:paraId="03A39921" w14:textId="77777777" w:rsidR="005F6948" w:rsidRDefault="00000000">
      <w:pPr>
        <w:spacing w:before="240" w:line="271" w:lineRule="auto"/>
      </w:pPr>
      <w:bookmarkStart w:id="14" w:name="part_iii_the_transition_solution_775ab7"/>
      <w:r>
        <w:rPr>
          <w:rFonts w:eastAsia="Georgia" w:hAnsi="Georgia" w:cs="Georgia"/>
          <w:b/>
          <w:sz w:val="42"/>
        </w:rPr>
        <w:t>Part III: The Transition Solution — Multi‑VSYS IPsec Service Edge</w:t>
      </w:r>
      <w:bookmarkEnd w:id="14"/>
    </w:p>
    <w:p w14:paraId="36362E67" w14:textId="77777777" w:rsidR="005F6948" w:rsidRDefault="00000000">
      <w:pPr>
        <w:spacing w:after="210"/>
      </w:pPr>
      <w:r>
        <w:t xml:space="preserve">The transition solution is a </w:t>
      </w:r>
      <w:r>
        <w:rPr>
          <w:b/>
        </w:rPr>
        <w:t>Palo Alto PA</w:t>
      </w:r>
      <w:r>
        <w:rPr>
          <w:b/>
        </w:rPr>
        <w:t>‑</w:t>
      </w:r>
      <w:r>
        <w:rPr>
          <w:b/>
        </w:rPr>
        <w:t>5400 multi</w:t>
      </w:r>
      <w:r>
        <w:rPr>
          <w:b/>
        </w:rPr>
        <w:t>‑</w:t>
      </w:r>
      <w:r>
        <w:rPr>
          <w:b/>
        </w:rPr>
        <w:t>VSYS IPsec service edge</w:t>
      </w:r>
      <w:r>
        <w:t xml:space="preserve"> designed to:</w:t>
      </w:r>
    </w:p>
    <w:p w14:paraId="579EEDB9" w14:textId="77777777" w:rsidR="005F6948" w:rsidRDefault="00000000">
      <w:pPr>
        <w:numPr>
          <w:ilvl w:val="0"/>
          <w:numId w:val="4"/>
        </w:numPr>
      </w:pPr>
      <w:r>
        <w:t xml:space="preserve">Support </w:t>
      </w:r>
      <w:r>
        <w:rPr>
          <w:b/>
        </w:rPr>
        <w:t>500+ IPsec tunnels</w:t>
      </w:r>
      <w:r>
        <w:rPr>
          <w:rFonts w:eastAsia="Georgia" w:hAnsi="Georgia" w:cs="Georgia"/>
        </w:rPr>
        <w:t xml:space="preserve"> with per‑tunnel SNAT identity for observability</w:t>
      </w:r>
    </w:p>
    <w:p w14:paraId="0712B6EA" w14:textId="77777777" w:rsidR="005F6948" w:rsidRDefault="00000000">
      <w:pPr>
        <w:numPr>
          <w:ilvl w:val="0"/>
          <w:numId w:val="4"/>
        </w:numPr>
      </w:pPr>
      <w:r>
        <w:lastRenderedPageBreak/>
        <w:t xml:space="preserve">Provide </w:t>
      </w:r>
      <w:r>
        <w:rPr>
          <w:b/>
        </w:rPr>
        <w:t>structural tenant isolation</w:t>
      </w:r>
      <w:r>
        <w:rPr>
          <w:rFonts w:eastAsia="Georgia" w:hAnsi="Georgia" w:cs="Georgia"/>
        </w:rPr>
        <w:t xml:space="preserve"> through multi‑VSYS sharding and per‑VR routing domains</w:t>
      </w:r>
    </w:p>
    <w:p w14:paraId="73FFE747" w14:textId="77777777" w:rsidR="005F6948" w:rsidRDefault="00000000">
      <w:pPr>
        <w:numPr>
          <w:ilvl w:val="0"/>
          <w:numId w:val="4"/>
        </w:numPr>
      </w:pPr>
      <w:r>
        <w:t xml:space="preserve">Enable </w:t>
      </w:r>
      <w:r>
        <w:rPr>
          <w:b/>
        </w:rPr>
        <w:t>rapid onboarding velocity</w:t>
      </w:r>
      <w:r>
        <w:t xml:space="preserve"> through standardized Panorama templates and automation</w:t>
      </w:r>
    </w:p>
    <w:p w14:paraId="3B587871" w14:textId="77777777" w:rsidR="005F6948" w:rsidRDefault="00000000">
      <w:pPr>
        <w:numPr>
          <w:ilvl w:val="0"/>
          <w:numId w:val="4"/>
        </w:numPr>
      </w:pPr>
      <w:r>
        <w:t xml:space="preserve">Deliver </w:t>
      </w:r>
      <w:r>
        <w:rPr>
          <w:b/>
        </w:rPr>
        <w:t>deterministic visibility</w:t>
      </w:r>
      <w:r>
        <w:t xml:space="preserve"> for traffic inspection and discovery validation</w:t>
      </w:r>
    </w:p>
    <w:p w14:paraId="4C116563" w14:textId="77777777" w:rsidR="005F6948" w:rsidRDefault="00000000">
      <w:pPr>
        <w:numPr>
          <w:ilvl w:val="0"/>
          <w:numId w:val="4"/>
        </w:numPr>
      </w:pPr>
      <w:r>
        <w:t xml:space="preserve">Establish a </w:t>
      </w:r>
      <w:r>
        <w:rPr>
          <w:b/>
        </w:rPr>
        <w:t>migration path</w:t>
      </w:r>
      <w:r>
        <w:rPr>
          <w:rFonts w:eastAsia="Georgia" w:hAnsi="Georgia" w:cs="Georgia"/>
        </w:rPr>
        <w:t xml:space="preserve"> to the target architecture through catalog‑aligned service patterns</w:t>
      </w:r>
    </w:p>
    <w:p w14:paraId="526B54BD" w14:textId="77777777" w:rsidR="005F6948" w:rsidRDefault="00000000">
      <w:pPr>
        <w:spacing w:after="210"/>
      </w:pPr>
      <w:r>
        <w:t xml:space="preserve">This is not the final platform. It is a </w:t>
      </w:r>
      <w:r>
        <w:rPr>
          <w:b/>
        </w:rPr>
        <w:t>network</w:t>
      </w:r>
      <w:r>
        <w:rPr>
          <w:b/>
        </w:rPr>
        <w:t>‑</w:t>
      </w:r>
      <w:r>
        <w:rPr>
          <w:b/>
        </w:rPr>
        <w:t>level bridge</w:t>
      </w:r>
      <w:r>
        <w:t xml:space="preserve"> that solves the immediate scale crisis while positioning for incremental transition to the governed exposure model.</w:t>
      </w:r>
    </w:p>
    <w:p w14:paraId="7A9EC553" w14:textId="77777777" w:rsidR="005F6948" w:rsidRDefault="00000000">
      <w:pPr>
        <w:spacing w:before="240" w:line="271" w:lineRule="auto"/>
      </w:pPr>
      <w:bookmarkStart w:id="15" w:name="high_level_architecture"/>
      <w:r>
        <w:rPr>
          <w:rFonts w:eastAsia="Georgia" w:hAnsi="Georgia" w:cs="Georgia"/>
          <w:b/>
          <w:sz w:val="33"/>
        </w:rPr>
        <w:t>High‑Level Architecture</w:t>
      </w:r>
      <w:bookmarkEnd w:id="15"/>
    </w:p>
    <w:p w14:paraId="38050C38" w14:textId="77777777" w:rsidR="005F6948" w:rsidRDefault="00000000">
      <w:pPr>
        <w:spacing w:after="210"/>
      </w:pPr>
      <w:r>
        <w:t>The design uses:</w:t>
      </w:r>
    </w:p>
    <w:p w14:paraId="34B29EFB" w14:textId="77777777" w:rsidR="005F6948" w:rsidRDefault="00000000">
      <w:pPr>
        <w:spacing w:after="210"/>
      </w:pPr>
      <w:r>
        <w:rPr>
          <w:b/>
        </w:rPr>
        <w:t>Multi</w:t>
      </w:r>
      <w:r>
        <w:rPr>
          <w:b/>
        </w:rPr>
        <w:t>‑</w:t>
      </w:r>
      <w:r>
        <w:rPr>
          <w:b/>
        </w:rPr>
        <w:t>VSYS sharding</w:t>
      </w:r>
      <w:r>
        <w:rPr>
          <w:rFonts w:eastAsia="Georgia" w:hAnsi="Georgia" w:cs="Georgia"/>
        </w:rPr>
        <w:t xml:space="preserve"> — Distribute tunnels across multiple virtual systems (VSYS) to balance CPU load, isolate blast radius, and prevent cross‑tenant adjacency. Start with ~90–120 tunnels per VSYS initially, expanding VSYS count as scale grows.</w:t>
      </w:r>
    </w:p>
    <w:p w14:paraId="4389C678" w14:textId="77777777" w:rsidR="005F6948" w:rsidRDefault="00000000">
      <w:pPr>
        <w:spacing w:after="210"/>
      </w:pPr>
      <w:r>
        <w:rPr>
          <w:b/>
        </w:rPr>
        <w:t>Per</w:t>
      </w:r>
      <w:r>
        <w:rPr>
          <w:b/>
        </w:rPr>
        <w:t>‑</w:t>
      </w:r>
      <w:r>
        <w:rPr>
          <w:b/>
        </w:rPr>
        <w:t>Tunnel Identity via SNAT</w:t>
      </w:r>
      <w:r>
        <w:rPr>
          <w:rFonts w:eastAsia="Georgia" w:hAnsi="Georgia" w:cs="Georgia"/>
        </w:rPr>
        <w:t xml:space="preserve"> — Each tunnel uses a dedicated SNAT /32 address for egress traffic, providing deterministic identity for logging, audit trails, and traffic inspection. This supports the manual discovery process by making traffic flows traceable to specific third parties.</w:t>
      </w:r>
    </w:p>
    <w:p w14:paraId="178FC7C8" w14:textId="77777777" w:rsidR="005F6948" w:rsidRDefault="00000000">
      <w:pPr>
        <w:spacing w:after="210"/>
      </w:pPr>
      <w:r>
        <w:rPr>
          <w:b/>
        </w:rPr>
        <w:t>Loopback IKE Anchors</w:t>
      </w:r>
      <w:r>
        <w:rPr>
          <w:rFonts w:eastAsia="Georgia" w:hAnsi="Georgia" w:cs="Georgia"/>
        </w:rPr>
        <w:t xml:space="preserve"> — Each tunnel terminates on a unique loopback /32 address (IKE anchor), enabling clean separation of control plane (IKE/IPsec) from data plane (tunnel traffic). Loopbacks are advertised internally via OSPF for reachability.</w:t>
      </w:r>
    </w:p>
    <w:p w14:paraId="01F00380" w14:textId="77777777" w:rsidR="005F6948" w:rsidRDefault="00000000">
      <w:pPr>
        <w:spacing w:after="210"/>
      </w:pPr>
      <w:r>
        <w:rPr>
          <w:b/>
        </w:rPr>
        <w:t>Per</w:t>
      </w:r>
      <w:r>
        <w:rPr>
          <w:b/>
        </w:rPr>
        <w:t>‑</w:t>
      </w:r>
      <w:r>
        <w:rPr>
          <w:b/>
        </w:rPr>
        <w:t>VSYS Virtual Routers (VRs)</w:t>
      </w:r>
      <w:r>
        <w:rPr>
          <w:rFonts w:eastAsia="Georgia" w:hAnsi="Georgia" w:cs="Georgia"/>
        </w:rPr>
        <w:t xml:space="preserve"> — Each VSYS contains isolated VRs per tenant/zone, preventing route leakage between third parties. Static routes direct traffic to remote networks via tunnel interfaces.</w:t>
      </w:r>
    </w:p>
    <w:p w14:paraId="6FC2EFAF" w14:textId="77777777" w:rsidR="005F6948" w:rsidRDefault="00000000">
      <w:pPr>
        <w:spacing w:after="210"/>
      </w:pPr>
      <w:r>
        <w:rPr>
          <w:b/>
        </w:rPr>
        <w:t>Summarized Routing (OSPF/BGP)</w:t>
      </w:r>
      <w:r>
        <w:rPr>
          <w:rFonts w:eastAsia="Georgia" w:hAnsi="Georgia" w:cs="Georgia"/>
        </w:rPr>
        <w:t xml:space="preserve"> — Loopback blocks and SNAT blocks are advertised to the core as summarized /24 prefixes (not per‑/32), reducing control‑plane churn and keeping the broader network stable during tunnel adds/changes.</w:t>
      </w:r>
    </w:p>
    <w:p w14:paraId="2471F088" w14:textId="77777777" w:rsidR="005F6948" w:rsidRDefault="00000000">
      <w:pPr>
        <w:spacing w:after="210"/>
      </w:pPr>
      <w:r>
        <w:rPr>
          <w:b/>
        </w:rPr>
        <w:t>Optional Bidirectional NAT</w:t>
      </w:r>
      <w:r>
        <w:rPr>
          <w:rFonts w:eastAsia="Georgia" w:hAnsi="Georgia" w:cs="Georgia"/>
        </w:rPr>
        <w:t xml:space="preserve"> — For third parties requiring compatibility with legacy internal addressing or needing inbound DNAT, the platform supports per‑tunnel bi‑NAT using reserved /24 pools.</w:t>
      </w:r>
    </w:p>
    <w:p w14:paraId="422567CC" w14:textId="77777777" w:rsidR="005F6948" w:rsidRDefault="00000000">
      <w:pPr>
        <w:spacing w:after="210"/>
      </w:pPr>
      <w:r>
        <w:rPr>
          <w:b/>
        </w:rPr>
        <w:t>Zone</w:t>
      </w:r>
      <w:r>
        <w:rPr>
          <w:b/>
        </w:rPr>
        <w:t>‑</w:t>
      </w:r>
      <w:r>
        <w:rPr>
          <w:b/>
        </w:rPr>
        <w:t>Based Segmentation</w:t>
      </w:r>
      <w:r>
        <w:rPr>
          <w:rFonts w:eastAsia="Georgia" w:hAnsi="Georgia" w:cs="Georgia"/>
        </w:rPr>
        <w:t xml:space="preserve"> — Each tunnel terminates in a dedicated zone (e.g., </w:t>
      </w:r>
      <w:r>
        <w:rPr>
          <w:rStyle w:val="VerbatimChar"/>
          <w:rFonts w:ascii="Menlo" w:eastAsia="Menlo" w:hAnsi="Menlo" w:cs="Menlo"/>
          <w:shd w:val="clear" w:color="auto" w:fill="F8F8FA"/>
        </w:rPr>
        <w:t>&lt;tenant&gt;-&lt;zone&gt;-ipsec</w:t>
      </w:r>
      <w:r>
        <w:rPr>
          <w:rFonts w:eastAsia="Georgia" w:hAnsi="Georgia" w:cs="Georgia"/>
        </w:rPr>
        <w:t>), treated as UNTRUST. Security policies explicitly control flows between internal zones and tunnel zones with threat profiles (Anti‑Spyware, Vulnerability Protection, URL Filtering).</w:t>
      </w:r>
    </w:p>
    <w:p w14:paraId="300BE782" w14:textId="77777777" w:rsidR="005F6948" w:rsidRDefault="00000000">
      <w:pPr>
        <w:spacing w:before="240" w:line="271" w:lineRule="auto"/>
      </w:pPr>
      <w:bookmarkStart w:id="16" w:name="addressing_plan"/>
      <w:r>
        <w:rPr>
          <w:b/>
          <w:sz w:val="33"/>
        </w:rPr>
        <w:t>Addressing Plan</w:t>
      </w:r>
      <w:bookmarkEnd w:id="16"/>
    </w:p>
    <w:p w14:paraId="53BD3D5E" w14:textId="77777777" w:rsidR="005F6948" w:rsidRDefault="00000000">
      <w:pPr>
        <w:spacing w:after="210"/>
      </w:pPr>
      <w:r>
        <w:rPr>
          <w:rFonts w:eastAsia="Georgia" w:hAnsi="Georgia" w:cs="Georgia"/>
        </w:rPr>
        <w:t>The platform uses pre‑allocated IP pools sized for &gt;1,000 tunnels to avoid future renumbering: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67"/>
        <w:gridCol w:w="1269"/>
        <w:gridCol w:w="1391"/>
        <w:gridCol w:w="3557"/>
      </w:tblGrid>
      <w:tr w:rsidR="005F6948" w14:paraId="0CC95830" w14:textId="77777777">
        <w:trPr>
          <w:cantSplit/>
          <w:tblCellSpacing w:w="0" w:type="dxa"/>
          <w:jc w:val="center"/>
        </w:trPr>
        <w:tc>
          <w:tcPr>
            <w:tcW w:w="0" w:type="auto"/>
            <w:tcBorders>
              <w:top w:val="single" w:sz="1" w:space="0" w:color="000000"/>
              <w:bottom w:val="single" w:sz="1" w:space="0" w:color="000000"/>
            </w:tcBorders>
          </w:tcPr>
          <w:p w14:paraId="1DE82281" w14:textId="77777777" w:rsidR="005F6948" w:rsidRDefault="00000000">
            <w:r>
              <w:t>Pool Type</w:t>
            </w:r>
          </w:p>
        </w:tc>
        <w:tc>
          <w:tcPr>
            <w:tcW w:w="0" w:type="auto"/>
            <w:tcBorders>
              <w:top w:val="single" w:sz="1" w:space="0" w:color="000000"/>
              <w:left w:val="single" w:sz="1" w:space="0" w:color="000000"/>
              <w:bottom w:val="single" w:sz="1" w:space="0" w:color="000000"/>
            </w:tcBorders>
          </w:tcPr>
          <w:p w14:paraId="6D808328" w14:textId="77777777" w:rsidR="005F6948" w:rsidRDefault="00000000">
            <w:r>
              <w:t>Allocation</w:t>
            </w:r>
          </w:p>
        </w:tc>
        <w:tc>
          <w:tcPr>
            <w:tcW w:w="0" w:type="auto"/>
            <w:tcBorders>
              <w:top w:val="single" w:sz="1" w:space="0" w:color="000000"/>
              <w:left w:val="single" w:sz="1" w:space="0" w:color="000000"/>
              <w:bottom w:val="single" w:sz="1" w:space="0" w:color="000000"/>
            </w:tcBorders>
          </w:tcPr>
          <w:p w14:paraId="76347CA1" w14:textId="77777777" w:rsidR="005F6948" w:rsidRDefault="00000000">
            <w:r>
              <w:t>Capacity</w:t>
            </w:r>
          </w:p>
        </w:tc>
        <w:tc>
          <w:tcPr>
            <w:tcW w:w="0" w:type="auto"/>
            <w:tcBorders>
              <w:top w:val="single" w:sz="1" w:space="0" w:color="000000"/>
              <w:left w:val="single" w:sz="1" w:space="0" w:color="000000"/>
              <w:bottom w:val="single" w:sz="1" w:space="0" w:color="000000"/>
            </w:tcBorders>
          </w:tcPr>
          <w:p w14:paraId="569E2A4B" w14:textId="77777777" w:rsidR="005F6948" w:rsidRDefault="00000000">
            <w:r>
              <w:t>Purpose</w:t>
            </w:r>
          </w:p>
        </w:tc>
      </w:tr>
      <w:tr w:rsidR="005F6948" w14:paraId="4F58737E" w14:textId="77777777">
        <w:trPr>
          <w:cantSplit/>
          <w:tblCellSpacing w:w="0" w:type="dxa"/>
          <w:jc w:val="center"/>
        </w:trPr>
        <w:tc>
          <w:tcPr>
            <w:tcW w:w="0" w:type="auto"/>
            <w:tcBorders>
              <w:top w:val="single" w:sz="1" w:space="0" w:color="000000"/>
              <w:bottom w:val="single" w:sz="1" w:space="0" w:color="000000"/>
            </w:tcBorders>
          </w:tcPr>
          <w:p w14:paraId="2348F438" w14:textId="77777777" w:rsidR="005F6948" w:rsidRDefault="00000000">
            <w:r>
              <w:lastRenderedPageBreak/>
              <w:t>Loopbacks (IKE anchors)</w:t>
            </w:r>
          </w:p>
        </w:tc>
        <w:tc>
          <w:tcPr>
            <w:tcW w:w="0" w:type="auto"/>
            <w:tcBorders>
              <w:top w:val="single" w:sz="1" w:space="0" w:color="000000"/>
              <w:left w:val="single" w:sz="1" w:space="0" w:color="000000"/>
              <w:bottom w:val="single" w:sz="1" w:space="0" w:color="000000"/>
            </w:tcBorders>
          </w:tcPr>
          <w:p w14:paraId="40CDC676" w14:textId="77777777" w:rsidR="005F6948" w:rsidRDefault="00000000">
            <w:r>
              <w:rPr>
                <w:rFonts w:eastAsia="Georgia" w:hAnsi="Georgia" w:cs="Georgia"/>
              </w:rPr>
              <w:t>4× /24</w:t>
            </w:r>
          </w:p>
        </w:tc>
        <w:tc>
          <w:tcPr>
            <w:tcW w:w="0" w:type="auto"/>
            <w:tcBorders>
              <w:top w:val="single" w:sz="1" w:space="0" w:color="000000"/>
              <w:left w:val="single" w:sz="1" w:space="0" w:color="000000"/>
              <w:bottom w:val="single" w:sz="1" w:space="0" w:color="000000"/>
            </w:tcBorders>
          </w:tcPr>
          <w:p w14:paraId="31436699" w14:textId="77777777" w:rsidR="005F6948" w:rsidRDefault="00000000">
            <w:r>
              <w:rPr>
                <w:rFonts w:eastAsia="Georgia" w:hAnsi="Georgia" w:cs="Georgia"/>
              </w:rPr>
              <w:t>~1,024 /32s</w:t>
            </w:r>
          </w:p>
        </w:tc>
        <w:tc>
          <w:tcPr>
            <w:tcW w:w="0" w:type="auto"/>
            <w:tcBorders>
              <w:top w:val="single" w:sz="1" w:space="0" w:color="000000"/>
              <w:left w:val="single" w:sz="1" w:space="0" w:color="000000"/>
              <w:bottom w:val="single" w:sz="1" w:space="0" w:color="000000"/>
            </w:tcBorders>
          </w:tcPr>
          <w:p w14:paraId="01C3CB3C" w14:textId="77777777" w:rsidR="005F6948" w:rsidRDefault="00000000">
            <w:r>
              <w:t>Tunnel termination points for IKE</w:t>
            </w:r>
          </w:p>
        </w:tc>
      </w:tr>
      <w:tr w:rsidR="005F6948" w14:paraId="77F4B908" w14:textId="77777777">
        <w:trPr>
          <w:cantSplit/>
          <w:tblCellSpacing w:w="0" w:type="dxa"/>
          <w:jc w:val="center"/>
        </w:trPr>
        <w:tc>
          <w:tcPr>
            <w:tcW w:w="0" w:type="auto"/>
            <w:tcBorders>
              <w:top w:val="single" w:sz="1" w:space="0" w:color="000000"/>
              <w:bottom w:val="single" w:sz="1" w:space="0" w:color="000000"/>
            </w:tcBorders>
          </w:tcPr>
          <w:p w14:paraId="0F53998C" w14:textId="77777777" w:rsidR="005F6948" w:rsidRDefault="00000000">
            <w:r>
              <w:t>SNAT identities</w:t>
            </w:r>
          </w:p>
        </w:tc>
        <w:tc>
          <w:tcPr>
            <w:tcW w:w="0" w:type="auto"/>
            <w:tcBorders>
              <w:top w:val="single" w:sz="1" w:space="0" w:color="000000"/>
              <w:left w:val="single" w:sz="1" w:space="0" w:color="000000"/>
              <w:bottom w:val="single" w:sz="1" w:space="0" w:color="000000"/>
            </w:tcBorders>
          </w:tcPr>
          <w:p w14:paraId="15364224" w14:textId="77777777" w:rsidR="005F6948" w:rsidRDefault="00000000">
            <w:r>
              <w:rPr>
                <w:rFonts w:eastAsia="Georgia" w:hAnsi="Georgia" w:cs="Georgia"/>
              </w:rPr>
              <w:t>4× /24</w:t>
            </w:r>
          </w:p>
        </w:tc>
        <w:tc>
          <w:tcPr>
            <w:tcW w:w="0" w:type="auto"/>
            <w:tcBorders>
              <w:top w:val="single" w:sz="1" w:space="0" w:color="000000"/>
              <w:left w:val="single" w:sz="1" w:space="0" w:color="000000"/>
              <w:bottom w:val="single" w:sz="1" w:space="0" w:color="000000"/>
            </w:tcBorders>
          </w:tcPr>
          <w:p w14:paraId="5D940DFB" w14:textId="77777777" w:rsidR="005F6948" w:rsidRDefault="00000000">
            <w:r>
              <w:rPr>
                <w:rFonts w:eastAsia="Georgia" w:hAnsi="Georgia" w:cs="Georgia"/>
              </w:rPr>
              <w:t>~1,024 /32s</w:t>
            </w:r>
          </w:p>
        </w:tc>
        <w:tc>
          <w:tcPr>
            <w:tcW w:w="0" w:type="auto"/>
            <w:tcBorders>
              <w:top w:val="single" w:sz="1" w:space="0" w:color="000000"/>
              <w:left w:val="single" w:sz="1" w:space="0" w:color="000000"/>
              <w:bottom w:val="single" w:sz="1" w:space="0" w:color="000000"/>
            </w:tcBorders>
          </w:tcPr>
          <w:p w14:paraId="13E94B26" w14:textId="77777777" w:rsidR="005F6948" w:rsidRDefault="00000000">
            <w:r>
              <w:rPr>
                <w:rFonts w:eastAsia="Georgia" w:hAnsi="Georgia" w:cs="Georgia"/>
              </w:rPr>
              <w:t>Per‑tunnel egress identity</w:t>
            </w:r>
          </w:p>
        </w:tc>
      </w:tr>
      <w:tr w:rsidR="005F6948" w14:paraId="61D4F91D" w14:textId="77777777">
        <w:trPr>
          <w:cantSplit/>
          <w:tblCellSpacing w:w="0" w:type="dxa"/>
          <w:jc w:val="center"/>
        </w:trPr>
        <w:tc>
          <w:tcPr>
            <w:tcW w:w="0" w:type="auto"/>
            <w:tcBorders>
              <w:top w:val="single" w:sz="1" w:space="0" w:color="000000"/>
              <w:bottom w:val="single" w:sz="1" w:space="0" w:color="000000"/>
            </w:tcBorders>
          </w:tcPr>
          <w:p w14:paraId="026B6C02" w14:textId="77777777" w:rsidR="005F6948" w:rsidRDefault="00000000">
            <w:r>
              <w:t>Tunnel P2P</w:t>
            </w:r>
          </w:p>
        </w:tc>
        <w:tc>
          <w:tcPr>
            <w:tcW w:w="0" w:type="auto"/>
            <w:tcBorders>
              <w:top w:val="single" w:sz="1" w:space="0" w:color="000000"/>
              <w:left w:val="single" w:sz="1" w:space="0" w:color="000000"/>
              <w:bottom w:val="single" w:sz="1" w:space="0" w:color="000000"/>
            </w:tcBorders>
          </w:tcPr>
          <w:p w14:paraId="6E1B4531" w14:textId="77777777" w:rsidR="005F6948" w:rsidRDefault="00000000">
            <w:r>
              <w:rPr>
                <w:rFonts w:eastAsia="Georgia" w:hAnsi="Georgia" w:cs="Georgia"/>
              </w:rPr>
              <w:t>8× /24</w:t>
            </w:r>
          </w:p>
        </w:tc>
        <w:tc>
          <w:tcPr>
            <w:tcW w:w="0" w:type="auto"/>
            <w:tcBorders>
              <w:top w:val="single" w:sz="1" w:space="0" w:color="000000"/>
              <w:left w:val="single" w:sz="1" w:space="0" w:color="000000"/>
              <w:bottom w:val="single" w:sz="1" w:space="0" w:color="000000"/>
            </w:tcBorders>
          </w:tcPr>
          <w:p w14:paraId="273A590C" w14:textId="77777777" w:rsidR="005F6948" w:rsidRDefault="00000000">
            <w:r>
              <w:rPr>
                <w:rFonts w:eastAsia="Georgia" w:hAnsi="Georgia" w:cs="Georgia"/>
              </w:rPr>
              <w:t>~512 /30s</w:t>
            </w:r>
          </w:p>
        </w:tc>
        <w:tc>
          <w:tcPr>
            <w:tcW w:w="0" w:type="auto"/>
            <w:tcBorders>
              <w:top w:val="single" w:sz="1" w:space="0" w:color="000000"/>
              <w:left w:val="single" w:sz="1" w:space="0" w:color="000000"/>
              <w:bottom w:val="single" w:sz="1" w:space="0" w:color="000000"/>
            </w:tcBorders>
          </w:tcPr>
          <w:p w14:paraId="0476EFAA" w14:textId="77777777" w:rsidR="005F6948" w:rsidRDefault="00000000">
            <w:r>
              <w:rPr>
                <w:rFonts w:eastAsia="Georgia" w:hAnsi="Georgia" w:cs="Georgia"/>
              </w:rPr>
              <w:t>Point‑to‑point tunnel addressing</w:t>
            </w:r>
          </w:p>
        </w:tc>
      </w:tr>
      <w:tr w:rsidR="005F6948" w14:paraId="628E6870" w14:textId="77777777">
        <w:trPr>
          <w:cantSplit/>
          <w:tblCellSpacing w:w="0" w:type="dxa"/>
          <w:jc w:val="center"/>
        </w:trPr>
        <w:tc>
          <w:tcPr>
            <w:tcW w:w="0" w:type="auto"/>
            <w:tcBorders>
              <w:top w:val="single" w:sz="1" w:space="0" w:color="000000"/>
              <w:bottom w:val="single" w:sz="1" w:space="0" w:color="000000"/>
            </w:tcBorders>
          </w:tcPr>
          <w:p w14:paraId="4265BBC1" w14:textId="77777777" w:rsidR="005F6948" w:rsidRDefault="00000000">
            <w:r>
              <w:rPr>
                <w:rFonts w:eastAsia="Georgia" w:hAnsi="Georgia" w:cs="Georgia"/>
              </w:rPr>
              <w:t>Bi‑NAT ranges (optional)</w:t>
            </w:r>
          </w:p>
        </w:tc>
        <w:tc>
          <w:tcPr>
            <w:tcW w:w="0" w:type="auto"/>
            <w:tcBorders>
              <w:top w:val="single" w:sz="1" w:space="0" w:color="000000"/>
              <w:left w:val="single" w:sz="1" w:space="0" w:color="000000"/>
              <w:bottom w:val="single" w:sz="1" w:space="0" w:color="000000"/>
            </w:tcBorders>
          </w:tcPr>
          <w:p w14:paraId="53E0BC5F" w14:textId="77777777" w:rsidR="005F6948" w:rsidRDefault="00000000">
            <w:r>
              <w:rPr>
                <w:rFonts w:eastAsia="Georgia" w:hAnsi="Georgia" w:cs="Georgia"/>
              </w:rPr>
              <w:t>8× /24</w:t>
            </w:r>
          </w:p>
        </w:tc>
        <w:tc>
          <w:tcPr>
            <w:tcW w:w="0" w:type="auto"/>
            <w:tcBorders>
              <w:top w:val="single" w:sz="1" w:space="0" w:color="000000"/>
              <w:left w:val="single" w:sz="1" w:space="0" w:color="000000"/>
              <w:bottom w:val="single" w:sz="1" w:space="0" w:color="000000"/>
            </w:tcBorders>
          </w:tcPr>
          <w:p w14:paraId="6FA75982" w14:textId="77777777" w:rsidR="005F6948"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0221B7A2" w14:textId="77777777" w:rsidR="005F6948" w:rsidRDefault="00000000">
            <w:r>
              <w:t>Inbound DNAT pools for compatibility</w:t>
            </w:r>
          </w:p>
        </w:tc>
      </w:tr>
    </w:tbl>
    <w:p w14:paraId="0C497F70" w14:textId="77777777" w:rsidR="005F6948" w:rsidRDefault="005F6948"/>
    <w:p w14:paraId="7AAAA1A2" w14:textId="77777777" w:rsidR="005F6948" w:rsidRDefault="00000000">
      <w:pPr>
        <w:spacing w:before="240" w:line="271" w:lineRule="auto"/>
      </w:pPr>
      <w:bookmarkStart w:id="17" w:name="control_plane_ospf_bgp_and_static_2be839"/>
      <w:r>
        <w:rPr>
          <w:b/>
          <w:sz w:val="33"/>
        </w:rPr>
        <w:t>Control Plane: OSPF, BGP, and Static Routing</w:t>
      </w:r>
      <w:bookmarkEnd w:id="17"/>
    </w:p>
    <w:p w14:paraId="7F07BBA9" w14:textId="77777777" w:rsidR="005F6948" w:rsidRDefault="00000000">
      <w:pPr>
        <w:spacing w:after="210"/>
      </w:pPr>
      <w:r>
        <w:rPr>
          <w:b/>
        </w:rPr>
        <w:t>OSPF (Internal Loopback Reachability)</w:t>
      </w:r>
      <w:r>
        <w:rPr>
          <w:rFonts w:eastAsia="Georgia" w:hAnsi="Georgia" w:cs="Georgia"/>
        </w:rPr>
        <w:t xml:space="preserve"> — Loopback /32s are advertised within the internal routing domain (area 0 or designated area) so that the core knows how to reach IKE anchors. Loopbacks are passive OSPF interfaces. No tunnel or remote routes are advertised.</w:t>
      </w:r>
    </w:p>
    <w:p w14:paraId="66B72D51" w14:textId="77777777" w:rsidR="005F6948" w:rsidRDefault="00000000">
      <w:pPr>
        <w:spacing w:after="210"/>
      </w:pPr>
      <w:r>
        <w:rPr>
          <w:b/>
        </w:rPr>
        <w:t>BGP (Upstream SNAT Ownership)</w:t>
      </w:r>
      <w:r>
        <w:rPr>
          <w:rFonts w:eastAsia="Georgia" w:hAnsi="Georgia" w:cs="Georgia"/>
        </w:rPr>
        <w:t xml:space="preserve"> — Summarized SNAT /24 blocks are advertised toward aggregation/edge routers via BGP, establishing ownership of egress identities. This keeps the upstream routing table stable regardless of individual tunnel count.</w:t>
      </w:r>
    </w:p>
    <w:p w14:paraId="1C525E0F" w14:textId="77777777" w:rsidR="005F6948" w:rsidRDefault="00000000">
      <w:pPr>
        <w:spacing w:after="210"/>
      </w:pPr>
      <w:r>
        <w:rPr>
          <w:b/>
        </w:rPr>
        <w:t>Static Routes (Per</w:t>
      </w:r>
      <w:r>
        <w:rPr>
          <w:b/>
        </w:rPr>
        <w:t>‑</w:t>
      </w:r>
      <w:r>
        <w:rPr>
          <w:b/>
        </w:rPr>
        <w:t>VR)</w:t>
      </w:r>
      <w:r>
        <w:rPr>
          <w:rFonts w:eastAsia="Georgia" w:hAnsi="Georgia" w:cs="Georgia"/>
        </w:rPr>
        <w:t xml:space="preserve"> — Within each tenant VR, static routes direct traffic to remote third‑party networks via tunnel interfaces (next‑hop = tunnel peer VTI IP). Tunnel peer IPs themselves are also statically routed to prevent asymmetry.</w:t>
      </w:r>
    </w:p>
    <w:p w14:paraId="1EEF32ED" w14:textId="77777777" w:rsidR="005F6948" w:rsidRDefault="00000000">
      <w:pPr>
        <w:spacing w:after="210"/>
      </w:pPr>
      <w:r>
        <w:rPr>
          <w:b/>
        </w:rPr>
        <w:t>No Dynamic Routing to Third Parties</w:t>
      </w:r>
      <w:r>
        <w:rPr>
          <w:rFonts w:eastAsia="Georgia" w:hAnsi="Georgia" w:cs="Georgia"/>
        </w:rPr>
        <w:t xml:space="preserve"> — While the design supports dynamic routing protocols (BGP) to remote peers in future iterations, initial deployment uses static routes for simplicity and control. This aligns with the transition posture: establish containment first, add sophistication later.</w:t>
      </w:r>
    </w:p>
    <w:p w14:paraId="598180E4" w14:textId="77777777" w:rsidR="005F6948" w:rsidRDefault="00000000">
      <w:pPr>
        <w:spacing w:before="240" w:line="271" w:lineRule="auto"/>
      </w:pPr>
      <w:bookmarkStart w:id="18" w:name="data_plane_nat_and_security_policy"/>
      <w:r>
        <w:rPr>
          <w:b/>
          <w:sz w:val="33"/>
        </w:rPr>
        <w:t>Data Plane: NAT and Security Policy</w:t>
      </w:r>
      <w:bookmarkEnd w:id="18"/>
    </w:p>
    <w:p w14:paraId="583AA004" w14:textId="77777777" w:rsidR="005F6948" w:rsidRDefault="00000000">
      <w:pPr>
        <w:spacing w:after="210"/>
      </w:pPr>
      <w:r>
        <w:rPr>
          <w:b/>
        </w:rPr>
        <w:t>Per</w:t>
      </w:r>
      <w:r>
        <w:rPr>
          <w:b/>
        </w:rPr>
        <w:t>‑</w:t>
      </w:r>
      <w:r>
        <w:rPr>
          <w:b/>
        </w:rPr>
        <w:t>Tunnel SNAT (Egress Identity)</w:t>
      </w:r>
      <w:r>
        <w:rPr>
          <w:rFonts w:eastAsia="Georgia" w:hAnsi="Georgia" w:cs="Georgia"/>
        </w:rPr>
        <w:t xml:space="preserve"> — Traffic sourced from internal zones and destined for a specific tunnel is SNAT'd to the tunnel's dedicated SNAT /32. This creates a deterministic mapping: tunnel X always uses SNAT address Y. Logging and SIEM correlation can trace flows back to specific third parties by SNAT address.</w:t>
      </w:r>
    </w:p>
    <w:p w14:paraId="5C199696" w14:textId="77777777" w:rsidR="005F6948" w:rsidRDefault="00000000">
      <w:pPr>
        <w:spacing w:after="210"/>
      </w:pPr>
      <w:r>
        <w:rPr>
          <w:b/>
        </w:rPr>
        <w:t>Bidirectional NAT (Optional)</w:t>
      </w:r>
      <w:r>
        <w:rPr>
          <w:rFonts w:eastAsia="Georgia" w:hAnsi="Georgia" w:cs="Georgia"/>
        </w:rPr>
        <w:t xml:space="preserve"> — For third parties that cannot reach internal addresses directly (legacy apps, overlapping IP space), inbound traffic is DNAT'd from a reserved /24 pool to internal destinations, and outbound traffic is SNAT'd symmetrically. This preserves compatibility without exposing raw internal addresses.</w:t>
      </w:r>
    </w:p>
    <w:p w14:paraId="5CB2F03A" w14:textId="77777777" w:rsidR="005F6948" w:rsidRDefault="00000000">
      <w:pPr>
        <w:spacing w:after="210"/>
      </w:pPr>
      <w:r>
        <w:rPr>
          <w:b/>
        </w:rPr>
        <w:t>Zone Trust Model</w:t>
      </w:r>
      <w:r>
        <w:rPr>
          <w:rFonts w:eastAsia="Georgia" w:hAnsi="Georgia" w:cs="Georgia"/>
        </w:rPr>
        <w:t xml:space="preserve"> — Every IPsec tunnel zone is treated as </w:t>
      </w:r>
      <w:r>
        <w:rPr>
          <w:b/>
        </w:rPr>
        <w:t>UNTRUST</w:t>
      </w:r>
      <w:r>
        <w:rPr>
          <w:rFonts w:eastAsia="Georgia" w:hAnsi="Georgia" w:cs="Georgia"/>
        </w:rPr>
        <w:t>. Policies explicitly allow only required flows, with security profiles (Threat Prevention, Anti‑Spyware, URL Filtering) applied inline. No implicit trust based on tunnel presence.</w:t>
      </w:r>
    </w:p>
    <w:p w14:paraId="57B6C4F3" w14:textId="77777777" w:rsidR="005F6948" w:rsidRDefault="00000000">
      <w:pPr>
        <w:spacing w:after="210"/>
      </w:pPr>
      <w:r>
        <w:rPr>
          <w:b/>
        </w:rPr>
        <w:t>Least</w:t>
      </w:r>
      <w:r>
        <w:rPr>
          <w:b/>
        </w:rPr>
        <w:t>‑</w:t>
      </w:r>
      <w:r>
        <w:rPr>
          <w:b/>
        </w:rPr>
        <w:t>Privilege Policies</w:t>
      </w:r>
      <w:r>
        <w:rPr>
          <w:rFonts w:eastAsia="Georgia" w:hAnsi="Georgia" w:cs="Georgia"/>
        </w:rPr>
        <w:t xml:space="preserve"> — Security rules allow only declared applications and ports. Policies are tagged per tenant/tunnel for SIEM correlation. Logging at session start and end provides audit trails.</w:t>
      </w:r>
    </w:p>
    <w:p w14:paraId="19AE7CFD" w14:textId="77777777" w:rsidR="005F6948" w:rsidRDefault="00000000">
      <w:pPr>
        <w:spacing w:before="240" w:line="271" w:lineRule="auto"/>
      </w:pPr>
      <w:bookmarkStart w:id="19" w:name="high_availability_and_scaling"/>
      <w:r>
        <w:rPr>
          <w:b/>
          <w:sz w:val="33"/>
        </w:rPr>
        <w:t>High Availability and Scaling</w:t>
      </w:r>
      <w:bookmarkEnd w:id="19"/>
    </w:p>
    <w:p w14:paraId="55FDC02A" w14:textId="77777777" w:rsidR="005F6948" w:rsidRDefault="00000000">
      <w:pPr>
        <w:spacing w:after="210"/>
      </w:pPr>
      <w:r>
        <w:rPr>
          <w:b/>
        </w:rPr>
        <w:lastRenderedPageBreak/>
        <w:t>HA Active/Passive Cluster</w:t>
      </w:r>
      <w:r>
        <w:rPr>
          <w:rFonts w:eastAsia="Georgia" w:hAnsi="Georgia" w:cs="Georgia"/>
        </w:rPr>
        <w:t xml:space="preserve"> — Two PA‑5400s in A/P configuration ensure continuity during hardware failures or maintenance. Sessions/state are maintained on the active unit; IPsec SAs re‑establish post‑failover with minimal disruption (typically &lt;30s for tunnel reconvergence).</w:t>
      </w:r>
    </w:p>
    <w:p w14:paraId="02C1E553" w14:textId="77777777" w:rsidR="005F6948" w:rsidRDefault="00000000">
      <w:pPr>
        <w:spacing w:after="210"/>
      </w:pPr>
      <w:r>
        <w:rPr>
          <w:b/>
        </w:rPr>
        <w:t>Rekey Jitter</w:t>
      </w:r>
      <w:r>
        <w:rPr>
          <w:rFonts w:eastAsia="Georgia" w:hAnsi="Georgia" w:cs="Georgia"/>
        </w:rPr>
        <w:t xml:space="preserve"> — IKE and Child SA lifetime timers are jittered across tunnels to prevent rekey storms. This avoids CPU spikes when hundreds of tunnels attempt simultaneous renegotiation.</w:t>
      </w:r>
    </w:p>
    <w:p w14:paraId="6387615D" w14:textId="77777777" w:rsidR="005F6948" w:rsidRDefault="00000000">
      <w:pPr>
        <w:spacing w:after="210"/>
      </w:pPr>
      <w:r>
        <w:rPr>
          <w:b/>
        </w:rPr>
        <w:t>VSYS Capacity Governance</w:t>
      </w:r>
      <w:r>
        <w:rPr>
          <w:rFonts w:eastAsia="Georgia" w:hAnsi="Georgia" w:cs="Georgia"/>
        </w:rPr>
        <w:t xml:space="preserve"> — Start with ~90–120 tunnels per VSYS. Monitor CPU, session setup rate, and IKE/Child SA counts. Expand VSYS count proactively before exceeding 70% utilization to maintain headroom.</w:t>
      </w:r>
    </w:p>
    <w:p w14:paraId="5BAF202D" w14:textId="77777777" w:rsidR="005F6948" w:rsidRDefault="00000000">
      <w:pPr>
        <w:spacing w:after="210"/>
      </w:pPr>
      <w:r>
        <w:rPr>
          <w:b/>
        </w:rPr>
        <w:t>Summarized Control Plane</w:t>
      </w:r>
      <w:r>
        <w:rPr>
          <w:rFonts w:eastAsia="Georgia" w:hAnsi="Georgia" w:cs="Georgia"/>
        </w:rPr>
        <w:t xml:space="preserve"> — By advertising only /24 summaries upstream (not per‑/32 or per‑/30), the broader network remains stable even as tunnel count fluctuates. This prevents control‑plane churn in core routers.</w:t>
      </w:r>
    </w:p>
    <w:p w14:paraId="687244B3" w14:textId="77777777" w:rsidR="005F6948" w:rsidRDefault="00000000">
      <w:pPr>
        <w:spacing w:before="240" w:line="271" w:lineRule="auto"/>
      </w:pPr>
      <w:bookmarkStart w:id="20" w:name="operational_delivery_model"/>
      <w:r>
        <w:rPr>
          <w:b/>
          <w:sz w:val="33"/>
        </w:rPr>
        <w:t>Operational Delivery Model</w:t>
      </w:r>
      <w:bookmarkEnd w:id="20"/>
    </w:p>
    <w:p w14:paraId="02C26584" w14:textId="77777777" w:rsidR="005F6948" w:rsidRDefault="00000000">
      <w:pPr>
        <w:spacing w:after="210"/>
      </w:pPr>
      <w:r>
        <w:rPr>
          <w:b/>
        </w:rPr>
        <w:t>Panorama Templating and Variables</w:t>
      </w:r>
      <w:r>
        <w:rPr>
          <w:rFonts w:eastAsia="Georgia" w:hAnsi="Georgia" w:cs="Georgia"/>
        </w:rPr>
        <w:t xml:space="preserve"> — All VSYS configurations are generated from Panorama templates with variable dictionaries. Variables define per‑tunnel parameters: loopback IP, SNAT IP, tunnel peer, remote networks, PSK. New tunnels are onboarded by populating a variable set and pushing config, not by hand‑editing firewalls.</w:t>
      </w:r>
    </w:p>
    <w:p w14:paraId="76BD2E4D" w14:textId="77777777" w:rsidR="005F6948" w:rsidRDefault="00000000">
      <w:pPr>
        <w:spacing w:after="210"/>
      </w:pPr>
      <w:r>
        <w:rPr>
          <w:b/>
        </w:rPr>
        <w:t>IPAM Governance</w:t>
      </w:r>
      <w:r>
        <w:rPr>
          <w:rFonts w:eastAsia="Georgia" w:hAnsi="Georgia" w:cs="Georgia"/>
        </w:rPr>
        <w:t xml:space="preserve"> — A central IPAM system tracks loopback, SNAT, and tunnel /30 allocations per VSYS. Allocations are reserved before provisioning to prevent conflicts. When a tunnel is decommissioned, addresses are returned to the pool.</w:t>
      </w:r>
    </w:p>
    <w:p w14:paraId="52A62667" w14:textId="77777777" w:rsidR="005F6948" w:rsidRDefault="00000000">
      <w:pPr>
        <w:spacing w:after="210"/>
      </w:pPr>
      <w:r>
        <w:rPr>
          <w:b/>
        </w:rPr>
        <w:t>PSK Management and Rotation</w:t>
      </w:r>
      <w:r>
        <w:rPr>
          <w:rFonts w:eastAsia="Georgia" w:hAnsi="Georgia" w:cs="Georgia"/>
        </w:rPr>
        <w:t xml:space="preserve"> — Pre‑shared keys are generated per tunnel, stored in a secrets management system (HashiCorp Vault, Azure Key Vault), and rotated on a defined cadence (e.g., annually or per compliance requirements). Rotation runbooks automate key updates without service disruption.</w:t>
      </w:r>
    </w:p>
    <w:p w14:paraId="4B1C1383" w14:textId="77777777" w:rsidR="005F6948" w:rsidRDefault="00000000">
      <w:pPr>
        <w:spacing w:after="210"/>
      </w:pPr>
      <w:r>
        <w:rPr>
          <w:b/>
        </w:rPr>
        <w:t>Runbooks and Documentation</w:t>
      </w:r>
      <w:r>
        <w:rPr>
          <w:rFonts w:eastAsia="Georgia" w:hAnsi="Georgia" w:cs="Georgia"/>
        </w:rPr>
        <w:t xml:space="preserve"> — Standardized runbooks cover: tunnel onboarding, tunnel modification, key rotation, incident response (tunnel down, asymmetric routing), and planned failover testing.</w:t>
      </w:r>
    </w:p>
    <w:p w14:paraId="0F25571E" w14:textId="77777777" w:rsidR="005F6948" w:rsidRDefault="00000000">
      <w:pPr>
        <w:spacing w:before="240" w:line="271" w:lineRule="auto"/>
      </w:pPr>
      <w:bookmarkStart w:id="21" w:name="why_this_solves_the_immediate_problem"/>
      <w:r>
        <w:rPr>
          <w:b/>
          <w:sz w:val="33"/>
        </w:rPr>
        <w:t>Why This Solves the Immediate Problem</w:t>
      </w:r>
      <w:bookmarkEnd w:id="21"/>
    </w:p>
    <w:p w14:paraId="268BDB2A" w14:textId="77777777" w:rsidR="005F6948" w:rsidRDefault="00000000">
      <w:pPr>
        <w:spacing w:after="210"/>
      </w:pPr>
      <w:r>
        <w:t>This platform delivers:</w:t>
      </w:r>
    </w:p>
    <w:p w14:paraId="5E6395C0" w14:textId="77777777" w:rsidR="005F6948" w:rsidRDefault="00000000">
      <w:pPr>
        <w:numPr>
          <w:ilvl w:val="0"/>
          <w:numId w:val="5"/>
        </w:numPr>
      </w:pPr>
      <w:r>
        <w:rPr>
          <w:b/>
        </w:rPr>
        <w:t>Capacity for 500+ tunnels</w:t>
      </w:r>
      <w:r>
        <w:t xml:space="preserve"> with architectural headroom for 1,000+</w:t>
      </w:r>
    </w:p>
    <w:p w14:paraId="2D74C922" w14:textId="77777777" w:rsidR="005F6948" w:rsidRDefault="00000000">
      <w:pPr>
        <w:numPr>
          <w:ilvl w:val="0"/>
          <w:numId w:val="5"/>
        </w:numPr>
      </w:pPr>
      <w:r>
        <w:rPr>
          <w:b/>
        </w:rPr>
        <w:t>Rapid onboarding velocity</w:t>
      </w:r>
      <w:r>
        <w:rPr>
          <w:rFonts w:eastAsia="Georgia" w:hAnsi="Georgia" w:cs="Georgia"/>
        </w:rPr>
        <w:t xml:space="preserve"> through Panorama templates and variable‑driven provisioning</w:t>
      </w:r>
    </w:p>
    <w:p w14:paraId="7454E3C8" w14:textId="77777777" w:rsidR="005F6948" w:rsidRDefault="00000000">
      <w:pPr>
        <w:numPr>
          <w:ilvl w:val="0"/>
          <w:numId w:val="5"/>
        </w:numPr>
      </w:pPr>
      <w:r>
        <w:rPr>
          <w:b/>
        </w:rPr>
        <w:t>Per</w:t>
      </w:r>
      <w:r>
        <w:rPr>
          <w:b/>
        </w:rPr>
        <w:t>‑</w:t>
      </w:r>
      <w:r>
        <w:rPr>
          <w:b/>
        </w:rPr>
        <w:t>tunnel observability</w:t>
      </w:r>
      <w:r>
        <w:t xml:space="preserve"> via deterministic SNAT addressing, supporting manual discovery and traffic inspection</w:t>
      </w:r>
    </w:p>
    <w:p w14:paraId="77B365F7" w14:textId="77777777" w:rsidR="005F6948" w:rsidRDefault="00000000">
      <w:pPr>
        <w:numPr>
          <w:ilvl w:val="0"/>
          <w:numId w:val="5"/>
        </w:numPr>
      </w:pPr>
      <w:r>
        <w:rPr>
          <w:b/>
        </w:rPr>
        <w:t>Structural containment</w:t>
      </w:r>
      <w:r>
        <w:rPr>
          <w:rFonts w:eastAsia="Georgia" w:hAnsi="Georgia" w:cs="Georgia"/>
        </w:rPr>
        <w:t xml:space="preserve"> via multi‑VSYS isolation and per‑VR routing, preventing lateral movement</w:t>
      </w:r>
    </w:p>
    <w:p w14:paraId="385BADBE" w14:textId="77777777" w:rsidR="005F6948" w:rsidRDefault="00000000">
      <w:pPr>
        <w:numPr>
          <w:ilvl w:val="0"/>
          <w:numId w:val="5"/>
        </w:numPr>
      </w:pPr>
      <w:r>
        <w:rPr>
          <w:b/>
        </w:rPr>
        <w:t>Operational consistency</w:t>
      </w:r>
      <w:r>
        <w:t xml:space="preserve"> through templating, IPAM governance, and runbooks</w:t>
      </w:r>
    </w:p>
    <w:p w14:paraId="302512FD" w14:textId="77777777" w:rsidR="005F6948" w:rsidRDefault="00000000">
      <w:pPr>
        <w:numPr>
          <w:ilvl w:val="0"/>
          <w:numId w:val="5"/>
        </w:numPr>
      </w:pPr>
      <w:r>
        <w:rPr>
          <w:b/>
        </w:rPr>
        <w:t>Clear forensic trails</w:t>
      </w:r>
      <w:r>
        <w:rPr>
          <w:rFonts w:eastAsia="Georgia" w:hAnsi="Georgia" w:cs="Georgia"/>
        </w:rPr>
        <w:t xml:space="preserve"> for compliance and audit via SNAT‑tagged logging</w:t>
      </w:r>
    </w:p>
    <w:p w14:paraId="195639E5" w14:textId="77777777" w:rsidR="005F6948" w:rsidRDefault="00000000">
      <w:pPr>
        <w:spacing w:after="210"/>
      </w:pPr>
      <w:r>
        <w:rPr>
          <w:rFonts w:eastAsia="Georgia" w:hAnsi="Georgia" w:cs="Georgia"/>
        </w:rPr>
        <w:lastRenderedPageBreak/>
        <w:t xml:space="preserve">It does not deliver the full governed exposure model (portal, catalog, identity‑bound authorization, dual‑proxy mediation), but it establishes the </w:t>
      </w:r>
      <w:r>
        <w:rPr>
          <w:b/>
        </w:rPr>
        <w:t>structural foundations</w:t>
      </w:r>
      <w:r>
        <w:t xml:space="preserve"> required to migrate toward that model incrementally.</w:t>
      </w:r>
    </w:p>
    <w:p w14:paraId="1BF7D2B2" w14:textId="77777777" w:rsidR="005F6948" w:rsidRDefault="00132649">
      <w:r>
        <w:rPr>
          <w:noProof/>
        </w:rPr>
        <w:pict w14:anchorId="6D05E268">
          <v:rect id="_x0000_i1030" alt="" style="width:434.5pt;height:.05pt;mso-width-percent:0;mso-height-percent:0;mso-width-percent:0;mso-height-percent:0" o:hralign="center" o:hrstd="t" o:hr="t"/>
        </w:pict>
      </w:r>
    </w:p>
    <w:p w14:paraId="0D5ABB9A" w14:textId="77777777" w:rsidR="005F6948" w:rsidRDefault="00000000">
      <w:pPr>
        <w:spacing w:before="240" w:line="271" w:lineRule="auto"/>
      </w:pPr>
      <w:bookmarkStart w:id="22" w:name="part_iv_the_discovery_and_qualifi_aba3b8"/>
      <w:r>
        <w:rPr>
          <w:rFonts w:eastAsia="Georgia" w:hAnsi="Georgia" w:cs="Georgia"/>
          <w:b/>
          <w:sz w:val="42"/>
        </w:rPr>
        <w:t>Part IV: The Discovery and Qualification Process — Why the Portal Cannot Substitute</w:t>
      </w:r>
      <w:bookmarkEnd w:id="22"/>
    </w:p>
    <w:p w14:paraId="6CDBBA9D" w14:textId="77777777" w:rsidR="005F6948" w:rsidRDefault="00000000">
      <w:pPr>
        <w:spacing w:after="210"/>
      </w:pPr>
      <w:r>
        <w:rPr>
          <w:rFonts w:eastAsia="Georgia" w:hAnsi="Georgia" w:cs="Georgia"/>
        </w:rPr>
        <w:t xml:space="preserve">The vendor‑agnostic portal is a critical component of the target architecture, but it </w:t>
      </w:r>
      <w:r>
        <w:rPr>
          <w:b/>
        </w:rPr>
        <w:t>cannot eliminate the manual discovery and qualification burden</w:t>
      </w:r>
      <w:r>
        <w:t>. Understanding why is essential to scoping the transition strategy correctly.</w:t>
      </w:r>
    </w:p>
    <w:p w14:paraId="449317AA" w14:textId="77777777" w:rsidR="005F6948" w:rsidRDefault="00000000">
      <w:pPr>
        <w:spacing w:before="240" w:line="271" w:lineRule="auto"/>
      </w:pPr>
      <w:bookmarkStart w:id="23" w:name="what_discovery_entails"/>
      <w:r>
        <w:rPr>
          <w:b/>
          <w:sz w:val="33"/>
        </w:rPr>
        <w:t>What Discovery Entails</w:t>
      </w:r>
      <w:bookmarkEnd w:id="23"/>
    </w:p>
    <w:p w14:paraId="59FFADB2" w14:textId="77777777" w:rsidR="005F6948" w:rsidRDefault="00000000">
      <w:pPr>
        <w:spacing w:after="210"/>
      </w:pPr>
      <w:r>
        <w:rPr>
          <w:rFonts w:eastAsia="Georgia" w:hAnsi="Georgia" w:cs="Georgia"/>
        </w:rPr>
        <w:t>For each of the 500+ third‑party connections, the business must:</w:t>
      </w:r>
    </w:p>
    <w:p w14:paraId="40B776CE" w14:textId="77777777" w:rsidR="005F6948" w:rsidRDefault="00000000">
      <w:pPr>
        <w:spacing w:after="210"/>
      </w:pPr>
      <w:r>
        <w:rPr>
          <w:b/>
        </w:rPr>
        <w:t>Identify the third party</w:t>
      </w:r>
      <w:r>
        <w:rPr>
          <w:rFonts w:eastAsia="Georgia" w:hAnsi="Georgia" w:cs="Georgia"/>
        </w:rPr>
        <w:t xml:space="preserve"> — Determine which external organizations require connectivity. This often involves reviewing contracts, interviewing business owners, and auditing existing (undocumented) connections.</w:t>
      </w:r>
    </w:p>
    <w:p w14:paraId="5955A150" w14:textId="77777777" w:rsidR="005F6948" w:rsidRDefault="00000000">
      <w:pPr>
        <w:spacing w:after="210"/>
      </w:pPr>
      <w:r>
        <w:rPr>
          <w:b/>
        </w:rPr>
        <w:t>Determine ownership</w:t>
      </w:r>
      <w:r>
        <w:rPr>
          <w:rFonts w:eastAsia="Georgia" w:hAnsi="Georgia" w:cs="Georgia"/>
        </w:rPr>
        <w:t xml:space="preserve"> — Establish which internal business function or application team is accountable for the relationship. Ownership must be specific (not "IT" or "Operations"), with contact information and escalation paths.</w:t>
      </w:r>
    </w:p>
    <w:p w14:paraId="451A6A28" w14:textId="77777777" w:rsidR="005F6948" w:rsidRDefault="00000000">
      <w:pPr>
        <w:spacing w:after="210"/>
      </w:pPr>
      <w:r>
        <w:rPr>
          <w:b/>
        </w:rPr>
        <w:t>Scope the connectivity requirement</w:t>
      </w:r>
      <w:r>
        <w:rPr>
          <w:rFonts w:eastAsia="Georgia" w:hAnsi="Georgia" w:cs="Georgia"/>
        </w:rPr>
        <w:t xml:space="preserve"> — Understand which internal applications the third party needs to access, what protocols are required, what data will flow, and whether connectivity is inbound‑only, outbound‑only, or bidirectional.</w:t>
      </w:r>
    </w:p>
    <w:p w14:paraId="2167502F" w14:textId="77777777" w:rsidR="005F6948" w:rsidRDefault="00000000">
      <w:pPr>
        <w:spacing w:after="210"/>
      </w:pPr>
      <w:r>
        <w:rPr>
          <w:b/>
        </w:rPr>
        <w:t>Inspect traffic patterns</w:t>
      </w:r>
      <w:r>
        <w:rPr>
          <w:rFonts w:eastAsia="Georgia" w:hAnsi="Georgia" w:cs="Georgia"/>
        </w:rPr>
        <w:t xml:space="preserve"> — Capture and analyze existing traffic (where connections already exist) or simulate expected traffic (for greenfield integrations) to validate protocol requirements, destination scope, and bandwidth needs.</w:t>
      </w:r>
    </w:p>
    <w:p w14:paraId="137BD1C6" w14:textId="77777777" w:rsidR="005F6948" w:rsidRDefault="00000000">
      <w:pPr>
        <w:spacing w:after="210"/>
      </w:pPr>
      <w:r>
        <w:rPr>
          <w:b/>
        </w:rPr>
        <w:t>Document business justification</w:t>
      </w:r>
      <w:r>
        <w:rPr>
          <w:rFonts w:eastAsia="Georgia" w:hAnsi="Georgia" w:cs="Georgia"/>
        </w:rPr>
        <w:t xml:space="preserve"> — Record why the connectivity is necessary, what business capability it enables, and what risk it introduces. This justification becomes the basis for governance approval and lifecycle attestation.</w:t>
      </w:r>
    </w:p>
    <w:p w14:paraId="102B6356" w14:textId="77777777" w:rsidR="005F6948" w:rsidRDefault="00000000">
      <w:pPr>
        <w:spacing w:after="210"/>
      </w:pPr>
      <w:r>
        <w:rPr>
          <w:b/>
        </w:rPr>
        <w:t>Qualify lifecycle attributes</w:t>
      </w:r>
      <w:r>
        <w:rPr>
          <w:rFonts w:eastAsia="Georgia" w:hAnsi="Georgia" w:cs="Georgia"/>
        </w:rPr>
        <w:t xml:space="preserve"> — Determine whether the connection is temporary (project‑based) or persistent (ongoing operational need), what review cadence is appropriate, and what conditions would trigger removal.</w:t>
      </w:r>
    </w:p>
    <w:p w14:paraId="6B8E9BE1" w14:textId="77777777" w:rsidR="005F6948" w:rsidRDefault="00000000">
      <w:pPr>
        <w:spacing w:before="240" w:line="271" w:lineRule="auto"/>
      </w:pPr>
      <w:bookmarkStart w:id="24" w:name="what_the_portal_provides"/>
      <w:r>
        <w:rPr>
          <w:b/>
          <w:sz w:val="33"/>
        </w:rPr>
        <w:t>What the Portal Provides</w:t>
      </w:r>
      <w:bookmarkEnd w:id="24"/>
    </w:p>
    <w:p w14:paraId="58FEE512" w14:textId="77777777" w:rsidR="005F6948" w:rsidRDefault="00000000">
      <w:pPr>
        <w:spacing w:after="210"/>
      </w:pPr>
      <w:r>
        <w:t xml:space="preserve">The portal </w:t>
      </w:r>
      <w:r>
        <w:rPr>
          <w:b/>
        </w:rPr>
        <w:t>streamlines provisioning once requirements are known</w:t>
      </w:r>
      <w:r>
        <w:t>. It allows business owners to:</w:t>
      </w:r>
    </w:p>
    <w:p w14:paraId="45A6D7C1" w14:textId="77777777" w:rsidR="005F6948" w:rsidRDefault="00000000">
      <w:pPr>
        <w:numPr>
          <w:ilvl w:val="0"/>
          <w:numId w:val="6"/>
        </w:numPr>
      </w:pPr>
      <w:r>
        <w:t>Define the Tenant and associate it with inventory records</w:t>
      </w:r>
    </w:p>
    <w:p w14:paraId="2CAFD664" w14:textId="77777777" w:rsidR="005F6948" w:rsidRDefault="00000000">
      <w:pPr>
        <w:numPr>
          <w:ilvl w:val="0"/>
          <w:numId w:val="6"/>
        </w:numPr>
      </w:pPr>
      <w:r>
        <w:t>Select service patterns from a catalog (SaaS integration, file transfer, API access, etc.)</w:t>
      </w:r>
    </w:p>
    <w:p w14:paraId="70C0748B" w14:textId="77777777" w:rsidR="005F6948" w:rsidRDefault="00000000">
      <w:pPr>
        <w:numPr>
          <w:ilvl w:val="0"/>
          <w:numId w:val="6"/>
        </w:numPr>
      </w:pPr>
      <w:r>
        <w:t>Declare lifecycle attributes (expiration dates, review schedules)</w:t>
      </w:r>
    </w:p>
    <w:p w14:paraId="2243FDDF" w14:textId="77777777" w:rsidR="005F6948" w:rsidRDefault="00000000">
      <w:pPr>
        <w:numPr>
          <w:ilvl w:val="0"/>
          <w:numId w:val="6"/>
        </w:numPr>
      </w:pPr>
      <w:r>
        <w:lastRenderedPageBreak/>
        <w:t>Submit for governance approval</w:t>
      </w:r>
    </w:p>
    <w:p w14:paraId="256F13C7" w14:textId="77777777" w:rsidR="005F6948" w:rsidRDefault="00000000">
      <w:pPr>
        <w:spacing w:after="210"/>
      </w:pPr>
      <w:r>
        <w:t>Once approved, automation provisions the required connectivity using standardized templates, translating business intent into technical realization.</w:t>
      </w:r>
    </w:p>
    <w:p w14:paraId="315682E0" w14:textId="77777777" w:rsidR="005F6948" w:rsidRDefault="00000000">
      <w:pPr>
        <w:spacing w:before="240" w:line="271" w:lineRule="auto"/>
      </w:pPr>
      <w:bookmarkStart w:id="25" w:name="what_the_portal_cannot_do"/>
      <w:r>
        <w:rPr>
          <w:b/>
          <w:sz w:val="33"/>
        </w:rPr>
        <w:t>What the Portal Cannot Do</w:t>
      </w:r>
      <w:bookmarkEnd w:id="25"/>
    </w:p>
    <w:p w14:paraId="5EE78D16" w14:textId="77777777" w:rsidR="005F6948" w:rsidRDefault="00000000">
      <w:pPr>
        <w:spacing w:after="210"/>
      </w:pPr>
      <w:r>
        <w:t xml:space="preserve">The portal </w:t>
      </w:r>
      <w:r>
        <w:rPr>
          <w:b/>
        </w:rPr>
        <w:t>cannot automate discovery itself</w:t>
      </w:r>
      <w:r>
        <w:t>. It cannot:</w:t>
      </w:r>
    </w:p>
    <w:p w14:paraId="741C6A4B" w14:textId="77777777" w:rsidR="005F6948" w:rsidRDefault="00000000">
      <w:pPr>
        <w:numPr>
          <w:ilvl w:val="0"/>
          <w:numId w:val="7"/>
        </w:numPr>
      </w:pPr>
      <w:r>
        <w:t>Interview business stakeholders to determine which third parties require connectivity</w:t>
      </w:r>
    </w:p>
    <w:p w14:paraId="0126AF45" w14:textId="77777777" w:rsidR="005F6948" w:rsidRDefault="00000000">
      <w:pPr>
        <w:numPr>
          <w:ilvl w:val="0"/>
          <w:numId w:val="7"/>
        </w:numPr>
      </w:pPr>
      <w:r>
        <w:t>Inspect traffic to validate protocol requirements and destination scope</w:t>
      </w:r>
    </w:p>
    <w:p w14:paraId="441E8C75" w14:textId="77777777" w:rsidR="005F6948" w:rsidRDefault="00000000">
      <w:pPr>
        <w:numPr>
          <w:ilvl w:val="0"/>
          <w:numId w:val="7"/>
        </w:numPr>
      </w:pPr>
      <w:r>
        <w:t>Determine ownership and accountability for ambiguous legacy connections</w:t>
      </w:r>
    </w:p>
    <w:p w14:paraId="62FF4CA7" w14:textId="77777777" w:rsidR="005F6948" w:rsidRDefault="00000000">
      <w:pPr>
        <w:numPr>
          <w:ilvl w:val="0"/>
          <w:numId w:val="7"/>
        </w:numPr>
      </w:pPr>
      <w:r>
        <w:t>Document business justification or assess risk</w:t>
      </w:r>
    </w:p>
    <w:p w14:paraId="772C9A66" w14:textId="77777777" w:rsidR="005F6948" w:rsidRDefault="00000000">
      <w:pPr>
        <w:numPr>
          <w:ilvl w:val="0"/>
          <w:numId w:val="7"/>
        </w:numPr>
      </w:pPr>
      <w:r>
        <w:t>Qualify lifecycle attributes for connections whose purpose is unclear</w:t>
      </w:r>
    </w:p>
    <w:p w14:paraId="052C454D" w14:textId="77777777" w:rsidR="005F6948" w:rsidRDefault="00000000">
      <w:pPr>
        <w:spacing w:after="210"/>
      </w:pPr>
      <w:r>
        <w:rPr>
          <w:b/>
        </w:rPr>
        <w:t>These remain human</w:t>
      </w:r>
      <w:r>
        <w:rPr>
          <w:b/>
        </w:rPr>
        <w:t>‑</w:t>
      </w:r>
      <w:r>
        <w:rPr>
          <w:b/>
        </w:rPr>
        <w:t>intensive activities</w:t>
      </w:r>
      <w:r>
        <w:t xml:space="preserve"> regardless of the technical delivery mechanism. The portal makes it easier to </w:t>
      </w:r>
      <w:r>
        <w:rPr>
          <w:b/>
        </w:rPr>
        <w:t>provision connections once they are discovered and qualified</w:t>
      </w:r>
      <w:r>
        <w:t>, but it does not replace the discovery process.</w:t>
      </w:r>
    </w:p>
    <w:p w14:paraId="0E6B5366" w14:textId="77777777" w:rsidR="005F6948" w:rsidRDefault="00000000">
      <w:pPr>
        <w:spacing w:before="240" w:line="271" w:lineRule="auto"/>
      </w:pPr>
      <w:bookmarkStart w:id="26" w:name="the_critical_timeline_implication"/>
      <w:r>
        <w:rPr>
          <w:b/>
          <w:sz w:val="33"/>
        </w:rPr>
        <w:t>The Critical Timeline Implication</w:t>
      </w:r>
      <w:bookmarkEnd w:id="26"/>
    </w:p>
    <w:p w14:paraId="466B1AEA" w14:textId="77777777" w:rsidR="005F6948" w:rsidRDefault="00000000">
      <w:pPr>
        <w:spacing w:after="210"/>
      </w:pPr>
      <w:r>
        <w:t xml:space="preserve">If manual discovery and qualification are the bottleneck, then the </w:t>
      </w:r>
      <w:r>
        <w:rPr>
          <w:b/>
        </w:rPr>
        <w:t>network platform's job is to absorb discovered connections as quickly as they are qualified</w:t>
      </w:r>
      <w:r>
        <w:t>, not to wait for the portal to be fully built.</w:t>
      </w:r>
    </w:p>
    <w:p w14:paraId="15F458F4" w14:textId="77777777" w:rsidR="005F6948" w:rsidRDefault="00000000">
      <w:pPr>
        <w:spacing w:after="210"/>
      </w:pPr>
      <w:r>
        <w:rPr>
          <w:rFonts w:eastAsia="Georgia" w:hAnsi="Georgia" w:cs="Georgia"/>
        </w:rPr>
        <w:t>The multi‑VSYS IPsec service edge provides:</w:t>
      </w:r>
    </w:p>
    <w:p w14:paraId="5A05493A" w14:textId="77777777" w:rsidR="005F6948" w:rsidRDefault="00000000">
      <w:pPr>
        <w:numPr>
          <w:ilvl w:val="0"/>
          <w:numId w:val="8"/>
        </w:numPr>
      </w:pPr>
      <w:r>
        <w:rPr>
          <w:b/>
        </w:rPr>
        <w:t>Rapid provisioning capability</w:t>
      </w:r>
      <w:r>
        <w:rPr>
          <w:rFonts w:eastAsia="Georgia" w:hAnsi="Georgia" w:cs="Georgia"/>
        </w:rPr>
        <w:t xml:space="preserve"> — Panorama templates and variable‑driven automation allow new tunnels to be onboarded in hours, not days</w:t>
      </w:r>
    </w:p>
    <w:p w14:paraId="17D725F1" w14:textId="77777777" w:rsidR="005F6948" w:rsidRDefault="00000000">
      <w:pPr>
        <w:numPr>
          <w:ilvl w:val="0"/>
          <w:numId w:val="8"/>
        </w:numPr>
      </w:pPr>
      <w:r>
        <w:rPr>
          <w:b/>
        </w:rPr>
        <w:t>Deterministic observability</w:t>
      </w:r>
      <w:r>
        <w:rPr>
          <w:rFonts w:eastAsia="Georgia" w:hAnsi="Georgia" w:cs="Georgia"/>
        </w:rPr>
        <w:t xml:space="preserve"> — Per‑tunnel SNAT addressing enables traffic inspection and validation during discovery, feeding back into the qualification process</w:t>
      </w:r>
    </w:p>
    <w:p w14:paraId="33D7494C" w14:textId="77777777" w:rsidR="005F6948" w:rsidRDefault="00000000">
      <w:pPr>
        <w:numPr>
          <w:ilvl w:val="0"/>
          <w:numId w:val="8"/>
        </w:numPr>
      </w:pPr>
      <w:r>
        <w:rPr>
          <w:b/>
        </w:rPr>
        <w:t>Structural containment</w:t>
      </w:r>
      <w:r>
        <w:rPr>
          <w:rFonts w:eastAsia="Georgia" w:hAnsi="Georgia" w:cs="Georgia"/>
        </w:rPr>
        <w:t xml:space="preserve"> — Ensures that even during the high‑velocity onboarding period, third parties remain isolated and cannot exploit lateral movement paths</w:t>
      </w:r>
    </w:p>
    <w:p w14:paraId="6523ABAB" w14:textId="77777777" w:rsidR="005F6948" w:rsidRDefault="00000000">
      <w:pPr>
        <w:spacing w:after="210"/>
      </w:pPr>
      <w:r>
        <w:t xml:space="preserve">The portal will eventually </w:t>
      </w:r>
      <w:r>
        <w:rPr>
          <w:b/>
        </w:rPr>
        <w:t>replace manual provisioning workflows</w:t>
      </w:r>
      <w:r>
        <w:rPr>
          <w:rFonts w:eastAsia="Georgia" w:hAnsi="Georgia" w:cs="Georgia"/>
        </w:rPr>
        <w:t xml:space="preserve"> with self‑service requests, but it does not replace </w:t>
      </w:r>
      <w:r>
        <w:rPr>
          <w:b/>
        </w:rPr>
        <w:t>manual discovery workflows</w:t>
      </w:r>
      <w:r>
        <w:t xml:space="preserve">. The transition platform must therefore be optimized for </w:t>
      </w:r>
      <w:r>
        <w:rPr>
          <w:b/>
        </w:rPr>
        <w:t>rapid technical delivery</w:t>
      </w:r>
      <w:r>
        <w:t xml:space="preserve"> while the business completes its governance work at human pace.</w:t>
      </w:r>
    </w:p>
    <w:p w14:paraId="247DAEC4" w14:textId="77777777" w:rsidR="005F6948" w:rsidRDefault="00132649">
      <w:r>
        <w:rPr>
          <w:noProof/>
        </w:rPr>
        <w:pict w14:anchorId="0CB44B52">
          <v:rect id="_x0000_i1029" alt="" style="width:434.5pt;height:.05pt;mso-width-percent:0;mso-height-percent:0;mso-width-percent:0;mso-height-percent:0" o:hralign="center" o:hrstd="t" o:hr="t"/>
        </w:pict>
      </w:r>
    </w:p>
    <w:p w14:paraId="04A66169" w14:textId="77777777" w:rsidR="005F6948" w:rsidRDefault="00000000">
      <w:pPr>
        <w:spacing w:before="240" w:line="271" w:lineRule="auto"/>
      </w:pPr>
      <w:bookmarkStart w:id="27" w:name="part_v_transition_path_from_netwo_c06146"/>
      <w:r>
        <w:rPr>
          <w:rFonts w:eastAsia="Georgia" w:hAnsi="Georgia" w:cs="Georgia"/>
          <w:b/>
          <w:sz w:val="42"/>
        </w:rPr>
        <w:t>Part V: Transition Path — From Network Platform to Governed Exposure Infrastructure</w:t>
      </w:r>
      <w:bookmarkEnd w:id="27"/>
    </w:p>
    <w:p w14:paraId="7DF3A234" w14:textId="77777777" w:rsidR="005F6948" w:rsidRDefault="00000000">
      <w:pPr>
        <w:spacing w:after="210"/>
      </w:pPr>
      <w:r>
        <w:rPr>
          <w:rFonts w:eastAsia="Georgia" w:hAnsi="Georgia" w:cs="Georgia"/>
        </w:rPr>
        <w:t xml:space="preserve">The multi‑VSYS IPsec service edge is not a dead‑end solution. It is a </w:t>
      </w:r>
      <w:r>
        <w:rPr>
          <w:b/>
        </w:rPr>
        <w:t>deliberate first step</w:t>
      </w:r>
      <w:r>
        <w:t xml:space="preserve"> in a phased migration toward the target governed exposure architecture. The transition path consists of three overlapping phases:</w:t>
      </w:r>
    </w:p>
    <w:p w14:paraId="06A2936A" w14:textId="77777777" w:rsidR="005F6948" w:rsidRDefault="00000000">
      <w:pPr>
        <w:spacing w:before="240" w:line="271" w:lineRule="auto"/>
      </w:pPr>
      <w:bookmarkStart w:id="28" w:name="phase_1_foundation_and_onboarding_7f78cd"/>
      <w:r>
        <w:rPr>
          <w:rFonts w:eastAsia="Georgia" w:hAnsi="Georgia" w:cs="Georgia"/>
          <w:b/>
          <w:sz w:val="33"/>
        </w:rPr>
        <w:lastRenderedPageBreak/>
        <w:t>Phase 1: Foundation and Onboarding (Months 1–22)</w:t>
      </w:r>
      <w:bookmarkEnd w:id="28"/>
    </w:p>
    <w:p w14:paraId="25FDF9FD" w14:textId="77777777" w:rsidR="005F6948" w:rsidRDefault="00000000">
      <w:pPr>
        <w:spacing w:after="210"/>
      </w:pPr>
      <w:r>
        <w:rPr>
          <w:b/>
        </w:rPr>
        <w:t>Objective:</w:t>
      </w:r>
      <w:r>
        <w:rPr>
          <w:rFonts w:eastAsia="Georgia" w:hAnsi="Georgia" w:cs="Georgia"/>
        </w:rPr>
        <w:t xml:space="preserve"> Deploy the IPsec service edge, establish operational baselines, and onboard the first wave of 500+ third‑party connections.</w:t>
      </w:r>
    </w:p>
    <w:p w14:paraId="1B6C2665" w14:textId="77777777" w:rsidR="005F6948" w:rsidRDefault="00000000">
      <w:pPr>
        <w:spacing w:after="210"/>
      </w:pPr>
      <w:r>
        <w:rPr>
          <w:b/>
        </w:rPr>
        <w:t>Activities:</w:t>
      </w:r>
    </w:p>
    <w:p w14:paraId="1F09AF1C" w14:textId="77777777" w:rsidR="005F6948" w:rsidRDefault="00000000">
      <w:pPr>
        <w:numPr>
          <w:ilvl w:val="0"/>
          <w:numId w:val="9"/>
        </w:numPr>
      </w:pPr>
      <w:r>
        <w:rPr>
          <w:b/>
        </w:rPr>
        <w:t>Platform deployment</w:t>
      </w:r>
      <w:r>
        <w:rPr>
          <w:rFonts w:eastAsia="Georgia" w:hAnsi="Georgia" w:cs="Georgia"/>
        </w:rPr>
        <w:t xml:space="preserve"> — Deploy PA‑5400 HA cluster, configure multi‑VSYS sharding, allocate IPAM pools, establish OSPF/BGP peering with core</w:t>
      </w:r>
    </w:p>
    <w:p w14:paraId="518F8469" w14:textId="77777777" w:rsidR="005F6948" w:rsidRDefault="00000000">
      <w:pPr>
        <w:numPr>
          <w:ilvl w:val="0"/>
          <w:numId w:val="9"/>
        </w:numPr>
      </w:pPr>
      <w:r>
        <w:rPr>
          <w:b/>
        </w:rPr>
        <w:t>Panorama templating</w:t>
      </w:r>
      <w:r>
        <w:rPr>
          <w:rFonts w:eastAsia="Georgia" w:hAnsi="Georgia" w:cs="Georgia"/>
        </w:rPr>
        <w:t xml:space="preserve"> — Develop standardized templates and variable dictionaries for tunnel onboarding, test provisioning workflows</w:t>
      </w:r>
    </w:p>
    <w:p w14:paraId="09D795AD" w14:textId="77777777" w:rsidR="005F6948" w:rsidRDefault="00000000">
      <w:pPr>
        <w:numPr>
          <w:ilvl w:val="0"/>
          <w:numId w:val="9"/>
        </w:numPr>
      </w:pPr>
      <w:r>
        <w:rPr>
          <w:b/>
        </w:rPr>
        <w:t>Operational enablement</w:t>
      </w:r>
      <w:r>
        <w:rPr>
          <w:rFonts w:eastAsia="Georgia" w:hAnsi="Georgia" w:cs="Georgia"/>
        </w:rPr>
        <w:t xml:space="preserve"> — Train network operations on runbooks, establish IPAM governance processes, integrate with SIEM for per‑tunnel logging</w:t>
      </w:r>
    </w:p>
    <w:p w14:paraId="2E95C60C" w14:textId="77777777" w:rsidR="005F6948" w:rsidRDefault="00000000">
      <w:pPr>
        <w:numPr>
          <w:ilvl w:val="0"/>
          <w:numId w:val="9"/>
        </w:numPr>
      </w:pPr>
      <w:r>
        <w:rPr>
          <w:b/>
        </w:rPr>
        <w:t>Discovery and qualification</w:t>
      </w:r>
      <w:r>
        <w:rPr>
          <w:rFonts w:eastAsia="Georgia" w:hAnsi="Georgia" w:cs="Georgia"/>
        </w:rPr>
        <w:t xml:space="preserve"> — Business teams conduct stakeholder interviews, traffic inspection, and ownership determination for the first 500+ connections</w:t>
      </w:r>
    </w:p>
    <w:p w14:paraId="42DB76AD" w14:textId="77777777" w:rsidR="005F6948" w:rsidRDefault="00000000">
      <w:pPr>
        <w:numPr>
          <w:ilvl w:val="0"/>
          <w:numId w:val="9"/>
        </w:numPr>
      </w:pPr>
      <w:r>
        <w:rPr>
          <w:b/>
        </w:rPr>
        <w:t>Onboarding execution</w:t>
      </w:r>
      <w:r>
        <w:rPr>
          <w:rFonts w:eastAsia="Georgia" w:hAnsi="Georgia" w:cs="Georgia"/>
        </w:rPr>
        <w:t xml:space="preserve"> — Provision tunnels as discovery completes, using Panorama automation to maintain velocity</w:t>
      </w:r>
    </w:p>
    <w:p w14:paraId="7864AD27" w14:textId="77777777" w:rsidR="005F6948" w:rsidRDefault="00000000">
      <w:pPr>
        <w:numPr>
          <w:ilvl w:val="0"/>
          <w:numId w:val="9"/>
        </w:numPr>
      </w:pPr>
      <w:r>
        <w:rPr>
          <w:b/>
        </w:rPr>
        <w:t>KPI establishment</w:t>
      </w:r>
      <w:r>
        <w:rPr>
          <w:rFonts w:eastAsia="Georgia" w:hAnsi="Georgia" w:cs="Georgia"/>
        </w:rPr>
        <w:t xml:space="preserve"> — Monitor tunnel availability, VSYS CPU utilization, session setup rates, NAT rule hits, and rekey behavior</w:t>
      </w:r>
    </w:p>
    <w:p w14:paraId="495396FF" w14:textId="77777777" w:rsidR="005F6948" w:rsidRDefault="00000000">
      <w:pPr>
        <w:spacing w:after="210"/>
      </w:pPr>
      <w:r>
        <w:rPr>
          <w:b/>
        </w:rPr>
        <w:t>Deliverables:</w:t>
      </w:r>
    </w:p>
    <w:p w14:paraId="26D488C8" w14:textId="77777777" w:rsidR="005F6948" w:rsidRDefault="00000000">
      <w:pPr>
        <w:numPr>
          <w:ilvl w:val="0"/>
          <w:numId w:val="10"/>
        </w:numPr>
      </w:pPr>
      <w:r>
        <w:rPr>
          <w:rFonts w:eastAsia="Georgia" w:hAnsi="Georgia" w:cs="Georgia"/>
        </w:rPr>
        <w:t>Operational multi‑VSYS IPsec service edge supporting 500+ tunnels</w:t>
      </w:r>
    </w:p>
    <w:p w14:paraId="429039D2" w14:textId="77777777" w:rsidR="005F6948" w:rsidRDefault="00000000">
      <w:pPr>
        <w:numPr>
          <w:ilvl w:val="0"/>
          <w:numId w:val="10"/>
        </w:numPr>
      </w:pPr>
      <w:r>
        <w:t>Documented ownership and business justification for all onboarded connections</w:t>
      </w:r>
    </w:p>
    <w:p w14:paraId="32070CF9" w14:textId="77777777" w:rsidR="005F6948" w:rsidRDefault="00000000">
      <w:pPr>
        <w:numPr>
          <w:ilvl w:val="0"/>
          <w:numId w:val="10"/>
        </w:numPr>
      </w:pPr>
      <w:r>
        <w:t>Standardized runbooks and operational workflows</w:t>
      </w:r>
    </w:p>
    <w:p w14:paraId="53898492" w14:textId="77777777" w:rsidR="005F6948" w:rsidRDefault="00000000">
      <w:pPr>
        <w:numPr>
          <w:ilvl w:val="0"/>
          <w:numId w:val="10"/>
        </w:numPr>
      </w:pPr>
      <w:r>
        <w:t>Baseline performance and capacity metrics</w:t>
      </w:r>
    </w:p>
    <w:p w14:paraId="5DAFC641" w14:textId="77777777" w:rsidR="005F6948" w:rsidRDefault="00000000">
      <w:pPr>
        <w:spacing w:after="210"/>
      </w:pPr>
      <w:r>
        <w:rPr>
          <w:b/>
        </w:rPr>
        <w:t>Success Criteria:</w:t>
      </w:r>
    </w:p>
    <w:p w14:paraId="3B559710" w14:textId="77777777" w:rsidR="005F6948" w:rsidRDefault="00000000">
      <w:pPr>
        <w:numPr>
          <w:ilvl w:val="0"/>
          <w:numId w:val="11"/>
        </w:numPr>
      </w:pPr>
      <w:r>
        <w:rPr>
          <w:rFonts w:eastAsia="Georgia" w:hAnsi="Georgia" w:cs="Georgia"/>
        </w:rPr>
        <w:t>All discovered third parties onboarded within 9–22 month window</w:t>
      </w:r>
    </w:p>
    <w:p w14:paraId="5D91066B" w14:textId="77777777" w:rsidR="005F6948" w:rsidRDefault="00000000">
      <w:pPr>
        <w:numPr>
          <w:ilvl w:val="0"/>
          <w:numId w:val="11"/>
        </w:numPr>
      </w:pPr>
      <w:r>
        <w:t>&lt;1% tunnel failure rate; MTTR &lt;2 hours for tunnel incidents</w:t>
      </w:r>
    </w:p>
    <w:p w14:paraId="1FB02D43" w14:textId="77777777" w:rsidR="005F6948" w:rsidRDefault="00000000">
      <w:pPr>
        <w:numPr>
          <w:ilvl w:val="0"/>
          <w:numId w:val="11"/>
        </w:numPr>
      </w:pPr>
      <w:r>
        <w:t>VSYS CPU utilization &lt;70%; proactive capacity planning triggers before saturation</w:t>
      </w:r>
    </w:p>
    <w:p w14:paraId="44C51684" w14:textId="77777777" w:rsidR="005F6948" w:rsidRDefault="00000000">
      <w:pPr>
        <w:numPr>
          <w:ilvl w:val="0"/>
          <w:numId w:val="11"/>
        </w:numPr>
      </w:pPr>
      <w:r>
        <w:t>100% of connections have documented owners and business justification</w:t>
      </w:r>
    </w:p>
    <w:p w14:paraId="57FDA21D" w14:textId="77777777" w:rsidR="005F6948" w:rsidRDefault="00000000">
      <w:pPr>
        <w:spacing w:before="240" w:line="271" w:lineRule="auto"/>
      </w:pPr>
      <w:bookmarkStart w:id="29" w:name="phase_2_governance_formalization_497374"/>
      <w:r>
        <w:rPr>
          <w:rFonts w:eastAsia="Georgia" w:hAnsi="Georgia" w:cs="Georgia"/>
          <w:b/>
          <w:sz w:val="33"/>
        </w:rPr>
        <w:t>Phase 2: Governance Formalization and Catalog Definition (Months 12–30, Overlapping with Phase 1)</w:t>
      </w:r>
      <w:bookmarkEnd w:id="29"/>
    </w:p>
    <w:p w14:paraId="38411C69" w14:textId="77777777" w:rsidR="005F6948" w:rsidRDefault="00000000">
      <w:pPr>
        <w:spacing w:after="210"/>
      </w:pPr>
      <w:r>
        <w:rPr>
          <w:b/>
        </w:rPr>
        <w:t>Objective:</w:t>
      </w:r>
      <w:r>
        <w:t xml:space="preserve"> While onboarding continues, formalize governance constructs and define service catalog patterns that will underpin the target architecture.</w:t>
      </w:r>
    </w:p>
    <w:p w14:paraId="34EBB4DF" w14:textId="77777777" w:rsidR="005F6948" w:rsidRDefault="00000000">
      <w:pPr>
        <w:spacing w:after="210"/>
      </w:pPr>
      <w:r>
        <w:rPr>
          <w:b/>
        </w:rPr>
        <w:t>Activities:</w:t>
      </w:r>
    </w:p>
    <w:p w14:paraId="5186A8DA" w14:textId="77777777" w:rsidR="005F6948" w:rsidRDefault="00000000">
      <w:pPr>
        <w:numPr>
          <w:ilvl w:val="0"/>
          <w:numId w:val="12"/>
        </w:numPr>
      </w:pPr>
      <w:r>
        <w:rPr>
          <w:b/>
        </w:rPr>
        <w:lastRenderedPageBreak/>
        <w:t>Tenant definition and mapping</w:t>
      </w:r>
      <w:r>
        <w:rPr>
          <w:rFonts w:eastAsia="Georgia" w:hAnsi="Georgia" w:cs="Georgia"/>
        </w:rPr>
        <w:t xml:space="preserve"> — Retrospectively map onboarded tunnels to Tenant constructs, linking each connection to CMDB records (applications, vendors, business capabilities)</w:t>
      </w:r>
    </w:p>
    <w:p w14:paraId="360884DE" w14:textId="77777777" w:rsidR="005F6948" w:rsidRDefault="00000000">
      <w:pPr>
        <w:numPr>
          <w:ilvl w:val="0"/>
          <w:numId w:val="12"/>
        </w:numPr>
      </w:pPr>
      <w:r>
        <w:rPr>
          <w:b/>
        </w:rPr>
        <w:t>Service pattern classification</w:t>
      </w:r>
      <w:r>
        <w:rPr>
          <w:rFonts w:eastAsia="Georgia" w:hAnsi="Georgia" w:cs="Georgia"/>
        </w:rPr>
        <w:t xml:space="preserve"> — Analyze onboarded connections to identify recurring patterns (SaaS integration, file transfer, API access, web app access, VDI), grouping them into catalog‑aligned service types</w:t>
      </w:r>
    </w:p>
    <w:p w14:paraId="7FDE1209" w14:textId="77777777" w:rsidR="005F6948" w:rsidRDefault="00000000">
      <w:pPr>
        <w:numPr>
          <w:ilvl w:val="0"/>
          <w:numId w:val="12"/>
        </w:numPr>
      </w:pPr>
      <w:r>
        <w:rPr>
          <w:b/>
        </w:rPr>
        <w:t>Governance workflow design</w:t>
      </w:r>
      <w:r>
        <w:rPr>
          <w:rFonts w:eastAsia="Georgia" w:hAnsi="Georgia" w:cs="Georgia"/>
        </w:rPr>
        <w:t xml:space="preserve"> — Define approval workflows, lifecycle attestation processes, and renewal cadences; integrate with ITSM (ServiceNow, Jira Service Desk)</w:t>
      </w:r>
    </w:p>
    <w:p w14:paraId="0566D7DD" w14:textId="77777777" w:rsidR="005F6948" w:rsidRDefault="00000000">
      <w:pPr>
        <w:numPr>
          <w:ilvl w:val="0"/>
          <w:numId w:val="12"/>
        </w:numPr>
      </w:pPr>
      <w:r>
        <w:rPr>
          <w:b/>
        </w:rPr>
        <w:t>Lifecycle discipline enforcement</w:t>
      </w:r>
      <w:r>
        <w:rPr>
          <w:rFonts w:eastAsia="Georgia" w:hAnsi="Georgia" w:cs="Georgia"/>
        </w:rPr>
        <w:t xml:space="preserve"> — Retrospectively assign expiration dates or review schedules to onboarded connections; pilot renewal/attestation workflows with early adopter business teams</w:t>
      </w:r>
    </w:p>
    <w:p w14:paraId="5573DEAC" w14:textId="77777777" w:rsidR="005F6948" w:rsidRDefault="00000000">
      <w:pPr>
        <w:numPr>
          <w:ilvl w:val="0"/>
          <w:numId w:val="12"/>
        </w:numPr>
      </w:pPr>
      <w:r>
        <w:rPr>
          <w:b/>
        </w:rPr>
        <w:t>Portal requirements definition</w:t>
      </w:r>
      <w:r>
        <w:rPr>
          <w:rFonts w:eastAsia="Georgia" w:hAnsi="Georgia" w:cs="Georgia"/>
        </w:rPr>
        <w:t xml:space="preserve"> — Based on formalized governance constructs and catalog patterns, define functional requirements for the vendor‑agnostic portal</w:t>
      </w:r>
    </w:p>
    <w:p w14:paraId="59325ED3" w14:textId="77777777" w:rsidR="005F6948" w:rsidRDefault="00000000">
      <w:pPr>
        <w:spacing w:after="210"/>
      </w:pPr>
      <w:r>
        <w:rPr>
          <w:b/>
        </w:rPr>
        <w:t>Deliverables:</w:t>
      </w:r>
    </w:p>
    <w:p w14:paraId="7C6CA588" w14:textId="77777777" w:rsidR="005F6948" w:rsidRDefault="00000000">
      <w:pPr>
        <w:numPr>
          <w:ilvl w:val="0"/>
          <w:numId w:val="13"/>
        </w:numPr>
      </w:pPr>
      <w:r>
        <w:t>Tenant registry linking all connections to CMDB records and business owners</w:t>
      </w:r>
    </w:p>
    <w:p w14:paraId="6F174D49" w14:textId="77777777" w:rsidR="005F6948" w:rsidRDefault="00000000">
      <w:pPr>
        <w:numPr>
          <w:ilvl w:val="0"/>
          <w:numId w:val="13"/>
        </w:numPr>
      </w:pPr>
      <w:r>
        <w:rPr>
          <w:rFonts w:eastAsia="Georgia" w:hAnsi="Georgia" w:cs="Georgia"/>
        </w:rPr>
        <w:t>Defined service catalog with 5–8 standardized patterns</w:t>
      </w:r>
    </w:p>
    <w:p w14:paraId="6BFCE586" w14:textId="77777777" w:rsidR="005F6948" w:rsidRDefault="00000000">
      <w:pPr>
        <w:numPr>
          <w:ilvl w:val="0"/>
          <w:numId w:val="13"/>
        </w:numPr>
      </w:pPr>
      <w:r>
        <w:t>Documented governance workflows (approval, attestation, renewal)</w:t>
      </w:r>
    </w:p>
    <w:p w14:paraId="5FFE3732" w14:textId="77777777" w:rsidR="005F6948" w:rsidRDefault="00000000">
      <w:pPr>
        <w:numPr>
          <w:ilvl w:val="0"/>
          <w:numId w:val="13"/>
        </w:numPr>
      </w:pPr>
      <w:r>
        <w:t>Portal functional requirements and design specifications</w:t>
      </w:r>
    </w:p>
    <w:p w14:paraId="36985A32" w14:textId="77777777" w:rsidR="005F6948" w:rsidRDefault="00000000">
      <w:pPr>
        <w:spacing w:after="210"/>
      </w:pPr>
      <w:r>
        <w:rPr>
          <w:b/>
        </w:rPr>
        <w:t>Success Criteria:</w:t>
      </w:r>
    </w:p>
    <w:p w14:paraId="0DC912A0" w14:textId="77777777" w:rsidR="005F6948" w:rsidRDefault="00000000">
      <w:pPr>
        <w:numPr>
          <w:ilvl w:val="0"/>
          <w:numId w:val="14"/>
        </w:numPr>
      </w:pPr>
      <w:r>
        <w:t>100% of onboarded connections mapped to Tenant constructs</w:t>
      </w:r>
    </w:p>
    <w:p w14:paraId="75DC2B29" w14:textId="77777777" w:rsidR="005F6948" w:rsidRDefault="00000000">
      <w:pPr>
        <w:numPr>
          <w:ilvl w:val="0"/>
          <w:numId w:val="14"/>
        </w:numPr>
      </w:pPr>
      <w:r>
        <w:t>Service catalog patterns cover &gt;90% of onboarded use cases</w:t>
      </w:r>
    </w:p>
    <w:p w14:paraId="1A70B616" w14:textId="77777777" w:rsidR="005F6948" w:rsidRDefault="00000000">
      <w:pPr>
        <w:numPr>
          <w:ilvl w:val="0"/>
          <w:numId w:val="14"/>
        </w:numPr>
      </w:pPr>
      <w:r>
        <w:t>Governance workflows piloted with at least 3 business teams</w:t>
      </w:r>
    </w:p>
    <w:p w14:paraId="71063CEF" w14:textId="77777777" w:rsidR="005F6948" w:rsidRDefault="00000000">
      <w:pPr>
        <w:numPr>
          <w:ilvl w:val="0"/>
          <w:numId w:val="14"/>
        </w:numPr>
      </w:pPr>
      <w:r>
        <w:t>Portal requirements approved by business and platform stakeholders</w:t>
      </w:r>
    </w:p>
    <w:p w14:paraId="175C9FF4" w14:textId="77777777" w:rsidR="005F6948" w:rsidRDefault="00000000">
      <w:pPr>
        <w:spacing w:before="240" w:line="271" w:lineRule="auto"/>
      </w:pPr>
      <w:bookmarkStart w:id="30" w:name="phase_3_portal_deployment_and_inc_faa290"/>
      <w:r>
        <w:rPr>
          <w:rFonts w:eastAsia="Georgia" w:hAnsi="Georgia" w:cs="Georgia"/>
          <w:b/>
          <w:sz w:val="33"/>
        </w:rPr>
        <w:t>Phase 3: Portal Deployment and Incremental Migration (Months 24–60+)</w:t>
      </w:r>
      <w:bookmarkEnd w:id="30"/>
    </w:p>
    <w:p w14:paraId="57710252" w14:textId="77777777" w:rsidR="005F6948" w:rsidRDefault="00000000">
      <w:pPr>
        <w:spacing w:after="210"/>
      </w:pPr>
      <w:r>
        <w:rPr>
          <w:b/>
        </w:rPr>
        <w:t>Objective:</w:t>
      </w:r>
      <w:r>
        <w:rPr>
          <w:rFonts w:eastAsia="Georgia" w:hAnsi="Georgia" w:cs="Georgia"/>
        </w:rPr>
        <w:t xml:space="preserve"> Deploy the vendor‑agnostic portal, migrate existing connections to portal‑driven provisioning, and onboard subsequent waves using the governed model.</w:t>
      </w:r>
    </w:p>
    <w:p w14:paraId="2572E3D9" w14:textId="77777777" w:rsidR="005F6948" w:rsidRDefault="00000000">
      <w:pPr>
        <w:spacing w:after="210"/>
      </w:pPr>
      <w:r>
        <w:rPr>
          <w:b/>
        </w:rPr>
        <w:t>Activities:</w:t>
      </w:r>
    </w:p>
    <w:p w14:paraId="439BD06D" w14:textId="77777777" w:rsidR="005F6948" w:rsidRDefault="00000000">
      <w:pPr>
        <w:numPr>
          <w:ilvl w:val="0"/>
          <w:numId w:val="15"/>
        </w:numPr>
      </w:pPr>
      <w:r>
        <w:rPr>
          <w:b/>
        </w:rPr>
        <w:t>Portal development and integration</w:t>
      </w:r>
      <w:r>
        <w:rPr>
          <w:rFonts w:eastAsia="Georgia" w:hAnsi="Georgia" w:cs="Georgia"/>
        </w:rPr>
        <w:t xml:space="preserve"> — Build product‑agnostic portal with CMDB/ITSM integration, service catalog selection, and lifecycle management capabilities</w:t>
      </w:r>
    </w:p>
    <w:p w14:paraId="4B97C235" w14:textId="77777777" w:rsidR="005F6948" w:rsidRDefault="00000000">
      <w:pPr>
        <w:numPr>
          <w:ilvl w:val="0"/>
          <w:numId w:val="15"/>
        </w:numPr>
      </w:pPr>
      <w:r>
        <w:rPr>
          <w:b/>
        </w:rPr>
        <w:t>Platform enhancement</w:t>
      </w:r>
      <w:r>
        <w:rPr>
          <w:rFonts w:eastAsia="Georgia" w:hAnsi="Georgia" w:cs="Georgia"/>
        </w:rPr>
        <w:t xml:space="preserve"> — Extend the IPsec service edge with mediation capabilities (forward/reverse proxies, DNS mediation, namespace preservation) and identity enforcement (mTLS, certificate‑based authentication) to align with catalog service patterns</w:t>
      </w:r>
    </w:p>
    <w:p w14:paraId="18025894" w14:textId="77777777" w:rsidR="005F6948" w:rsidRDefault="00000000">
      <w:pPr>
        <w:numPr>
          <w:ilvl w:val="0"/>
          <w:numId w:val="15"/>
        </w:numPr>
      </w:pPr>
      <w:r>
        <w:rPr>
          <w:b/>
        </w:rPr>
        <w:t>Incremental migration</w:t>
      </w:r>
      <w:r>
        <w:rPr>
          <w:rFonts w:eastAsia="Georgia" w:hAnsi="Georgia" w:cs="Georgia"/>
        </w:rPr>
        <w:t xml:space="preserve"> — Migrate existing connections from manual provisioning to portal‑driven workflows in cohorts (e.g., 50–100 connections per quarter), prioritizing high‑value or high‑risk Tenants</w:t>
      </w:r>
    </w:p>
    <w:p w14:paraId="2D0CD9C4" w14:textId="77777777" w:rsidR="005F6948" w:rsidRDefault="00000000">
      <w:pPr>
        <w:numPr>
          <w:ilvl w:val="0"/>
          <w:numId w:val="15"/>
        </w:numPr>
      </w:pPr>
      <w:r>
        <w:rPr>
          <w:b/>
        </w:rPr>
        <w:lastRenderedPageBreak/>
        <w:t>New onboarding via portal</w:t>
      </w:r>
      <w:r>
        <w:rPr>
          <w:rFonts w:eastAsia="Georgia" w:hAnsi="Georgia" w:cs="Georgia"/>
        </w:rPr>
        <w:t xml:space="preserve"> — For the next wave of 500+ connections (years 2–3), use the portal as the primary onboarding mechanism, with manual provisioning as fallback for edge cases</w:t>
      </w:r>
    </w:p>
    <w:p w14:paraId="610B104A" w14:textId="77777777" w:rsidR="005F6948" w:rsidRDefault="00000000">
      <w:pPr>
        <w:numPr>
          <w:ilvl w:val="0"/>
          <w:numId w:val="15"/>
        </w:numPr>
      </w:pPr>
      <w:r>
        <w:rPr>
          <w:b/>
        </w:rPr>
        <w:t>Continuous improvement</w:t>
      </w:r>
      <w:r>
        <w:rPr>
          <w:rFonts w:eastAsia="Georgia" w:hAnsi="Georgia" w:cs="Georgia"/>
        </w:rPr>
        <w:t xml:space="preserve"> — Refine service catalog patterns based on operational experience, introduce new mediation capabilities (DLP, advanced threat inspection), and expand identity‑bound authorization coverage</w:t>
      </w:r>
    </w:p>
    <w:p w14:paraId="007CC9CB" w14:textId="77777777" w:rsidR="005F6948" w:rsidRDefault="00000000">
      <w:pPr>
        <w:spacing w:after="210"/>
      </w:pPr>
      <w:r>
        <w:rPr>
          <w:b/>
        </w:rPr>
        <w:t>Deliverables:</w:t>
      </w:r>
    </w:p>
    <w:p w14:paraId="4E561B3B" w14:textId="77777777" w:rsidR="005F6948" w:rsidRDefault="00000000">
      <w:pPr>
        <w:numPr>
          <w:ilvl w:val="0"/>
          <w:numId w:val="16"/>
        </w:numPr>
      </w:pPr>
      <w:r>
        <w:rPr>
          <w:rFonts w:eastAsia="Georgia" w:hAnsi="Georgia" w:cs="Georgia"/>
        </w:rPr>
        <w:t>Operational vendor‑agnostic portal with self‑service Tenant creation and catalog selection</w:t>
      </w:r>
    </w:p>
    <w:p w14:paraId="585F7FE6" w14:textId="77777777" w:rsidR="005F6948" w:rsidRDefault="00000000">
      <w:pPr>
        <w:numPr>
          <w:ilvl w:val="0"/>
          <w:numId w:val="16"/>
        </w:numPr>
      </w:pPr>
      <w:r>
        <w:t>Enhanced platform supporting mediation and identity enforcement</w:t>
      </w:r>
    </w:p>
    <w:p w14:paraId="62BA7B36" w14:textId="77777777" w:rsidR="005F6948" w:rsidRDefault="00000000">
      <w:pPr>
        <w:numPr>
          <w:ilvl w:val="0"/>
          <w:numId w:val="16"/>
        </w:numPr>
      </w:pPr>
      <w:r>
        <w:rPr>
          <w:rFonts w:eastAsia="Georgia" w:hAnsi="Georgia" w:cs="Georgia"/>
        </w:rPr>
        <w:t>Migrated connections using portal‑driven provisioning</w:t>
      </w:r>
    </w:p>
    <w:p w14:paraId="2715AC99" w14:textId="77777777" w:rsidR="005F6948" w:rsidRDefault="00000000">
      <w:pPr>
        <w:numPr>
          <w:ilvl w:val="0"/>
          <w:numId w:val="16"/>
        </w:numPr>
      </w:pPr>
      <w:r>
        <w:t>Operational metrics demonstrating improved onboarding velocity and governance compliance</w:t>
      </w:r>
    </w:p>
    <w:p w14:paraId="058B253B" w14:textId="77777777" w:rsidR="005F6948" w:rsidRDefault="00000000">
      <w:pPr>
        <w:spacing w:after="210"/>
      </w:pPr>
      <w:r>
        <w:rPr>
          <w:b/>
        </w:rPr>
        <w:t>Success Criteria:</w:t>
      </w:r>
    </w:p>
    <w:p w14:paraId="461FEC06" w14:textId="77777777" w:rsidR="005F6948" w:rsidRDefault="00000000">
      <w:pPr>
        <w:numPr>
          <w:ilvl w:val="0"/>
          <w:numId w:val="17"/>
        </w:numPr>
      </w:pPr>
      <w:r>
        <w:t>Portal operational and adopted by at least 50% of business teams by Month 36</w:t>
      </w:r>
    </w:p>
    <w:p w14:paraId="51AE86BC" w14:textId="77777777" w:rsidR="005F6948" w:rsidRDefault="00000000">
      <w:pPr>
        <w:numPr>
          <w:ilvl w:val="0"/>
          <w:numId w:val="17"/>
        </w:numPr>
      </w:pPr>
      <w:r>
        <w:t>80% of new connections onboarded via portal by Month 48</w:t>
      </w:r>
    </w:p>
    <w:p w14:paraId="2F73AAFF" w14:textId="77777777" w:rsidR="005F6948" w:rsidRDefault="00000000">
      <w:pPr>
        <w:numPr>
          <w:ilvl w:val="0"/>
          <w:numId w:val="17"/>
        </w:numPr>
      </w:pPr>
      <w:r>
        <w:t>Lifecycle attestation compliance &gt;95% (renewals completed on schedule)</w:t>
      </w:r>
    </w:p>
    <w:p w14:paraId="0373C42B" w14:textId="77777777" w:rsidR="005F6948" w:rsidRDefault="00000000">
      <w:pPr>
        <w:numPr>
          <w:ilvl w:val="0"/>
          <w:numId w:val="17"/>
        </w:numPr>
      </w:pPr>
      <w:r>
        <w:rPr>
          <w:rFonts w:eastAsia="Georgia" w:hAnsi="Georgia" w:cs="Georgia"/>
        </w:rPr>
        <w:t>Reduced MTTR for onboarding (from hours to &lt;1 hour via self‑service)</w:t>
      </w:r>
    </w:p>
    <w:p w14:paraId="0B395CB2" w14:textId="77777777" w:rsidR="005F6948" w:rsidRDefault="00000000">
      <w:pPr>
        <w:spacing w:before="240" w:line="271" w:lineRule="auto"/>
      </w:pPr>
      <w:bookmarkStart w:id="31" w:name="migration_mechanics_from_network_27bb09"/>
      <w:r>
        <w:rPr>
          <w:b/>
          <w:sz w:val="33"/>
        </w:rPr>
        <w:t>Migration Mechanics: From Network Tunnels to Governed Tenants</w:t>
      </w:r>
      <w:bookmarkEnd w:id="31"/>
    </w:p>
    <w:p w14:paraId="32A5DF8C" w14:textId="77777777" w:rsidR="005F6948" w:rsidRDefault="00000000">
      <w:pPr>
        <w:spacing w:after="210"/>
      </w:pPr>
      <w:r>
        <w:rPr>
          <w:rFonts w:eastAsia="Georgia" w:hAnsi="Georgia" w:cs="Georgia"/>
        </w:rPr>
        <w:t xml:space="preserve">The migration from manual IPsec provisioning to portal‑driven Tenants is </w:t>
      </w:r>
      <w:r>
        <w:rPr>
          <w:b/>
        </w:rPr>
        <w:t>incremental and non</w:t>
      </w:r>
      <w:r>
        <w:rPr>
          <w:b/>
        </w:rPr>
        <w:t>‑</w:t>
      </w:r>
      <w:r>
        <w:rPr>
          <w:b/>
        </w:rPr>
        <w:t>disruptive</w:t>
      </w:r>
      <w:r>
        <w:t>:</w:t>
      </w:r>
    </w:p>
    <w:p w14:paraId="207DD142" w14:textId="77777777" w:rsidR="005F6948" w:rsidRDefault="00000000">
      <w:pPr>
        <w:numPr>
          <w:ilvl w:val="0"/>
          <w:numId w:val="18"/>
        </w:numPr>
      </w:pPr>
      <w:r>
        <w:rPr>
          <w:b/>
        </w:rPr>
        <w:t>Tenant definition</w:t>
      </w:r>
      <w:r>
        <w:rPr>
          <w:rFonts w:eastAsia="Georgia" w:hAnsi="Georgia" w:cs="Georgia"/>
        </w:rPr>
        <w:t xml:space="preserve"> — Existing tunnel mapped to Tenant construct in portal, linked to CMDB records and business owner</w:t>
      </w:r>
    </w:p>
    <w:p w14:paraId="15D18AD3" w14:textId="77777777" w:rsidR="005F6948" w:rsidRDefault="00000000">
      <w:pPr>
        <w:numPr>
          <w:ilvl w:val="0"/>
          <w:numId w:val="18"/>
        </w:numPr>
      </w:pPr>
      <w:r>
        <w:rPr>
          <w:b/>
        </w:rPr>
        <w:t>Service pattern assignment</w:t>
      </w:r>
      <w:r>
        <w:rPr>
          <w:rFonts w:eastAsia="Georgia" w:hAnsi="Georgia" w:cs="Georgia"/>
        </w:rPr>
        <w:t xml:space="preserve"> — Tunnel classified into catalog service pattern (e.g., "SaaS Integration," "File Transfer")</w:t>
      </w:r>
    </w:p>
    <w:p w14:paraId="22C77CD2" w14:textId="77777777" w:rsidR="005F6948" w:rsidRDefault="00000000">
      <w:pPr>
        <w:numPr>
          <w:ilvl w:val="0"/>
          <w:numId w:val="18"/>
        </w:numPr>
      </w:pPr>
      <w:r>
        <w:rPr>
          <w:b/>
        </w:rPr>
        <w:t>Lifecycle declaration</w:t>
      </w:r>
      <w:r>
        <w:rPr>
          <w:rFonts w:eastAsia="Georgia" w:hAnsi="Georgia" w:cs="Georgia"/>
        </w:rPr>
        <w:t xml:space="preserve"> — Expiration date or review schedule assigned; owner notified of attestation requirement</w:t>
      </w:r>
    </w:p>
    <w:p w14:paraId="5A0C58A8" w14:textId="77777777" w:rsidR="005F6948" w:rsidRDefault="00000000">
      <w:pPr>
        <w:numPr>
          <w:ilvl w:val="0"/>
          <w:numId w:val="18"/>
        </w:numPr>
      </w:pPr>
      <w:r>
        <w:rPr>
          <w:b/>
        </w:rPr>
        <w:t>Technical no</w:t>
      </w:r>
      <w:r>
        <w:rPr>
          <w:b/>
        </w:rPr>
        <w:t>‑</w:t>
      </w:r>
      <w:r>
        <w:rPr>
          <w:b/>
        </w:rPr>
        <w:t>op</w:t>
      </w:r>
      <w:r>
        <w:rPr>
          <w:rFonts w:eastAsia="Georgia" w:hAnsi="Georgia" w:cs="Georgia"/>
        </w:rPr>
        <w:t xml:space="preserve"> — Initially, no change to underlying tunnel configuration; Tenant simply represents governance metadata layered over existing infrastructure</w:t>
      </w:r>
    </w:p>
    <w:p w14:paraId="26B2131A" w14:textId="77777777" w:rsidR="005F6948" w:rsidRDefault="00000000">
      <w:pPr>
        <w:numPr>
          <w:ilvl w:val="0"/>
          <w:numId w:val="18"/>
        </w:numPr>
      </w:pPr>
      <w:r>
        <w:rPr>
          <w:b/>
        </w:rPr>
        <w:t>Incremental enhancement</w:t>
      </w:r>
      <w:r>
        <w:rPr>
          <w:rFonts w:eastAsia="Georgia" w:hAnsi="Georgia" w:cs="Georgia"/>
        </w:rPr>
        <w:t xml:space="preserve"> — Over time, as mediation capabilities are deployed (proxies, DNS rewrite, identity enforcement), Tenant's technical realization evolves from simple tunnel to fully governed exposure domain</w:t>
      </w:r>
    </w:p>
    <w:p w14:paraId="18939FC5" w14:textId="77777777" w:rsidR="005F6948" w:rsidRDefault="00000000">
      <w:pPr>
        <w:numPr>
          <w:ilvl w:val="0"/>
          <w:numId w:val="18"/>
        </w:numPr>
      </w:pPr>
      <w:r>
        <w:rPr>
          <w:b/>
        </w:rPr>
        <w:t>Eventual replacement</w:t>
      </w:r>
      <w:r>
        <w:rPr>
          <w:rFonts w:eastAsia="Georgia" w:hAnsi="Georgia" w:cs="Georgia"/>
        </w:rPr>
        <w:t xml:space="preserve"> — In final state, Tenant's connectivity is realized through mediated service patterns (dual‑proxy, identity‑bound), not raw IPsec tunnel; old tunnel deprecated and removed</w:t>
      </w:r>
    </w:p>
    <w:p w14:paraId="7264FB71" w14:textId="77777777" w:rsidR="005F6948" w:rsidRDefault="00000000">
      <w:pPr>
        <w:spacing w:after="210"/>
      </w:pPr>
      <w:r>
        <w:rPr>
          <w:b/>
        </w:rPr>
        <w:t>Key insight:</w:t>
      </w:r>
      <w:r>
        <w:t xml:space="preserve"> The portal and platform evolve </w:t>
      </w:r>
      <w:r>
        <w:rPr>
          <w:b/>
        </w:rPr>
        <w:t>independently but in parallel</w:t>
      </w:r>
      <w:r>
        <w:t>. Portal provides stable governance interface; platform adds technical capabilities underneath without breaking business workflows.</w:t>
      </w:r>
    </w:p>
    <w:p w14:paraId="270F04B4" w14:textId="77777777" w:rsidR="005F6948" w:rsidRDefault="00132649">
      <w:r>
        <w:rPr>
          <w:noProof/>
        </w:rPr>
        <w:lastRenderedPageBreak/>
        <w:pict w14:anchorId="7F1B6C5E">
          <v:rect id="_x0000_i1028" alt="" style="width:434.5pt;height:.05pt;mso-width-percent:0;mso-height-percent:0;mso-width-percent:0;mso-height-percent:0" o:hralign="center" o:hrstd="t" o:hr="t"/>
        </w:pict>
      </w:r>
    </w:p>
    <w:p w14:paraId="0634418A" w14:textId="77777777" w:rsidR="005F6948" w:rsidRDefault="00000000">
      <w:pPr>
        <w:spacing w:before="240" w:line="271" w:lineRule="auto"/>
      </w:pPr>
      <w:bookmarkStart w:id="32" w:name="part_vi_architectural_alignment_h_2e3f95"/>
      <w:r>
        <w:rPr>
          <w:rFonts w:eastAsia="Georgia" w:hAnsi="Georgia" w:cs="Georgia"/>
          <w:b/>
          <w:sz w:val="42"/>
        </w:rPr>
        <w:t>Part VI: Architectural Alignment — How the IPsec Platform Maps to Governed Exposure Principles</w:t>
      </w:r>
      <w:bookmarkEnd w:id="32"/>
    </w:p>
    <w:p w14:paraId="1DC2FDF0" w14:textId="77777777" w:rsidR="005F6948" w:rsidRDefault="00000000">
      <w:pPr>
        <w:spacing w:after="210"/>
      </w:pPr>
      <w:r>
        <w:rPr>
          <w:rFonts w:eastAsia="Georgia" w:hAnsi="Georgia" w:cs="Georgia"/>
        </w:rPr>
        <w:t xml:space="preserve">The multi‑VSYS IPsec service edge is not a perfect implementation of the target architecture, but it </w:t>
      </w:r>
      <w:r>
        <w:rPr>
          <w:b/>
        </w:rPr>
        <w:t>establishes the structural foundations</w:t>
      </w:r>
      <w:r>
        <w:t xml:space="preserve"> required for eventual migration. Here's how it maps to the four paradigms:</w:t>
      </w:r>
    </w:p>
    <w:p w14:paraId="5C949982" w14:textId="77777777" w:rsidR="005F6948" w:rsidRDefault="00000000">
      <w:pPr>
        <w:spacing w:before="240" w:line="271" w:lineRule="auto"/>
      </w:pPr>
      <w:bookmarkStart w:id="33" w:name="bm_1_structural_containment"/>
      <w:r>
        <w:rPr>
          <w:b/>
          <w:sz w:val="33"/>
        </w:rPr>
        <w:t>1. Structural Containment</w:t>
      </w:r>
      <w:bookmarkEnd w:id="33"/>
    </w:p>
    <w:p w14:paraId="4BD1E858" w14:textId="77777777" w:rsidR="005F6948" w:rsidRDefault="00000000">
      <w:pPr>
        <w:spacing w:after="210"/>
      </w:pPr>
      <w:r>
        <w:rPr>
          <w:b/>
        </w:rPr>
        <w:t>Target Paradigm:</w:t>
      </w:r>
      <w:r>
        <w:t xml:space="preserve"> Isolation embedded in topology, not policy layering. Third parties operate in isolated routing and forwarding contexts. No shared adjacency domains.</w:t>
      </w:r>
    </w:p>
    <w:p w14:paraId="4ECB42D2" w14:textId="77777777" w:rsidR="005F6948" w:rsidRDefault="00000000">
      <w:pPr>
        <w:spacing w:after="210"/>
      </w:pPr>
      <w:r>
        <w:rPr>
          <w:b/>
        </w:rPr>
        <w:t>IPsec Platform Implementation:</w:t>
      </w:r>
    </w:p>
    <w:p w14:paraId="66CF5DBC" w14:textId="77777777" w:rsidR="005F6948" w:rsidRDefault="00000000">
      <w:pPr>
        <w:numPr>
          <w:ilvl w:val="0"/>
          <w:numId w:val="19"/>
        </w:numPr>
      </w:pPr>
      <w:r>
        <w:rPr>
          <w:b/>
        </w:rPr>
        <w:t>Multi</w:t>
      </w:r>
      <w:r>
        <w:rPr>
          <w:b/>
        </w:rPr>
        <w:t>‑</w:t>
      </w:r>
      <w:r>
        <w:rPr>
          <w:b/>
        </w:rPr>
        <w:t>VSYS sharding</w:t>
      </w:r>
      <w:r>
        <w:rPr>
          <w:rFonts w:eastAsia="Georgia" w:hAnsi="Georgia" w:cs="Georgia"/>
        </w:rPr>
        <w:t xml:space="preserve"> — Each VSYS provides a dedicated virtual firewall instance with isolated routing, forwarding, and security policy contexts</w:t>
      </w:r>
    </w:p>
    <w:p w14:paraId="3C4BE145" w14:textId="77777777" w:rsidR="005F6948" w:rsidRDefault="00000000">
      <w:pPr>
        <w:numPr>
          <w:ilvl w:val="0"/>
          <w:numId w:val="19"/>
        </w:numPr>
      </w:pPr>
      <w:r>
        <w:rPr>
          <w:b/>
        </w:rPr>
        <w:t>Per</w:t>
      </w:r>
      <w:r>
        <w:rPr>
          <w:b/>
        </w:rPr>
        <w:t>‑</w:t>
      </w:r>
      <w:r>
        <w:rPr>
          <w:b/>
        </w:rPr>
        <w:t>VSYS Virtual Routers (VRs)</w:t>
      </w:r>
      <w:r>
        <w:rPr>
          <w:rFonts w:eastAsia="Georgia" w:hAnsi="Georgia" w:cs="Georgia"/>
        </w:rPr>
        <w:t xml:space="preserve"> — Each tenant/zone operates within a dedicated VR, preventing route leakage between third parties</w:t>
      </w:r>
    </w:p>
    <w:p w14:paraId="460DE417" w14:textId="77777777" w:rsidR="005F6948" w:rsidRDefault="00000000">
      <w:pPr>
        <w:numPr>
          <w:ilvl w:val="0"/>
          <w:numId w:val="19"/>
        </w:numPr>
      </w:pPr>
      <w:r>
        <w:rPr>
          <w:b/>
        </w:rPr>
        <w:t>Zone</w:t>
      </w:r>
      <w:r>
        <w:rPr>
          <w:b/>
        </w:rPr>
        <w:t>‑</w:t>
      </w:r>
      <w:r>
        <w:rPr>
          <w:b/>
        </w:rPr>
        <w:t>based segmentation</w:t>
      </w:r>
      <w:r>
        <w:rPr>
          <w:rFonts w:eastAsia="Georgia" w:hAnsi="Georgia" w:cs="Georgia"/>
        </w:rPr>
        <w:t xml:space="preserve"> — Each tunnel terminates in a dedicated zone (e.g., </w:t>
      </w:r>
      <w:r>
        <w:rPr>
          <w:rStyle w:val="VerbatimChar"/>
          <w:rFonts w:ascii="Menlo" w:eastAsia="Menlo" w:hAnsi="Menlo" w:cs="Menlo"/>
          <w:shd w:val="clear" w:color="auto" w:fill="F8F8FA"/>
        </w:rPr>
        <w:t>&lt;tenant&gt;-ipsec</w:t>
      </w:r>
      <w:r>
        <w:t>), treated as UNTRUST, with no default adjacency to other tunnels or internal zones</w:t>
      </w:r>
    </w:p>
    <w:p w14:paraId="1DF41FE6" w14:textId="77777777" w:rsidR="005F6948" w:rsidRDefault="00000000">
      <w:pPr>
        <w:numPr>
          <w:ilvl w:val="0"/>
          <w:numId w:val="19"/>
        </w:numPr>
      </w:pPr>
      <w:r>
        <w:rPr>
          <w:b/>
        </w:rPr>
        <w:t>No cross</w:t>
      </w:r>
      <w:r>
        <w:rPr>
          <w:b/>
        </w:rPr>
        <w:t>‑</w:t>
      </w:r>
      <w:r>
        <w:rPr>
          <w:b/>
        </w:rPr>
        <w:t>tenant routing</w:t>
      </w:r>
      <w:r>
        <w:rPr>
          <w:rFonts w:eastAsia="Georgia" w:hAnsi="Georgia" w:cs="Georgia"/>
        </w:rPr>
        <w:t xml:space="preserve"> — Static routes are per‑VR; no dynamic route exchange between VRs; summarized routing to core prevents adjacency leakage</w:t>
      </w:r>
    </w:p>
    <w:p w14:paraId="3978705B" w14:textId="77777777" w:rsidR="005F6948" w:rsidRDefault="00000000">
      <w:pPr>
        <w:spacing w:after="210"/>
      </w:pPr>
      <w:r>
        <w:rPr>
          <w:b/>
        </w:rPr>
        <w:t>Alignment:</w:t>
      </w:r>
      <w:r>
        <w:t xml:space="preserve"> </w:t>
      </w:r>
      <w:r>
        <w:rPr>
          <w:b/>
        </w:rPr>
        <w:t>Strong</w:t>
      </w:r>
      <w:r>
        <w:t>. The platform delivers structural isolation through VSYS, VR, and zone constructs. Removing a mediation construct (security policy, VR route) eliminates reachability deterministically.</w:t>
      </w:r>
    </w:p>
    <w:p w14:paraId="5C7B1691" w14:textId="77777777" w:rsidR="005F6948" w:rsidRDefault="00000000">
      <w:pPr>
        <w:spacing w:after="210"/>
      </w:pPr>
      <w:r>
        <w:rPr>
          <w:b/>
        </w:rPr>
        <w:t>Gap:</w:t>
      </w:r>
      <w:r>
        <w:rPr>
          <w:rFonts w:eastAsia="Georgia" w:hAnsi="Georgia" w:cs="Georgia"/>
        </w:rPr>
        <w:t xml:space="preserve"> No enforcement of service‑level mediation (proxies). Tunnels provide routed adjacency to internal subnets once security policies are in place. Migration to dual‑proxy mediation (Phase 3) will close this gap.</w:t>
      </w:r>
    </w:p>
    <w:p w14:paraId="791DABC3" w14:textId="77777777" w:rsidR="005F6948" w:rsidRDefault="00000000">
      <w:pPr>
        <w:spacing w:before="240" w:line="271" w:lineRule="auto"/>
      </w:pPr>
      <w:bookmarkStart w:id="34" w:name="bm_2_mediated_capability_exposure"/>
      <w:r>
        <w:rPr>
          <w:b/>
          <w:sz w:val="33"/>
        </w:rPr>
        <w:t>2. Mediated Capability Exposure</w:t>
      </w:r>
      <w:bookmarkEnd w:id="34"/>
    </w:p>
    <w:p w14:paraId="0253580C" w14:textId="77777777" w:rsidR="005F6948" w:rsidRDefault="00000000">
      <w:pPr>
        <w:spacing w:after="210"/>
      </w:pPr>
      <w:r>
        <w:rPr>
          <w:b/>
        </w:rPr>
        <w:t>Target Paradigm:</w:t>
      </w:r>
      <w:r>
        <w:rPr>
          <w:rFonts w:eastAsia="Georgia" w:hAnsi="Georgia" w:cs="Georgia"/>
        </w:rPr>
        <w:t xml:space="preserve"> Service‑level access, not network adjacency. External actors access declared capabilities, not network segments. All flows traverse enforcement constructs.</w:t>
      </w:r>
    </w:p>
    <w:p w14:paraId="52656FBE" w14:textId="77777777" w:rsidR="005F6948" w:rsidRDefault="00000000">
      <w:pPr>
        <w:spacing w:after="210"/>
      </w:pPr>
      <w:r>
        <w:rPr>
          <w:b/>
        </w:rPr>
        <w:t>IPsec Platform Implementation:</w:t>
      </w:r>
    </w:p>
    <w:p w14:paraId="187CAC63" w14:textId="77777777" w:rsidR="005F6948" w:rsidRDefault="00000000">
      <w:pPr>
        <w:numPr>
          <w:ilvl w:val="0"/>
          <w:numId w:val="20"/>
        </w:numPr>
      </w:pPr>
      <w:r>
        <w:rPr>
          <w:b/>
        </w:rPr>
        <w:t>Security policies as mediation</w:t>
      </w:r>
      <w:r>
        <w:rPr>
          <w:rFonts w:eastAsia="Georgia" w:hAnsi="Georgia" w:cs="Georgia"/>
        </w:rPr>
        <w:t xml:space="preserve"> — All flows traverse security policies with threat profiles (Anti‑Spyware, Vulnerability Protection, URL Filtering)</w:t>
      </w:r>
    </w:p>
    <w:p w14:paraId="01EE0CB6" w14:textId="77777777" w:rsidR="005F6948" w:rsidRDefault="00000000">
      <w:pPr>
        <w:numPr>
          <w:ilvl w:val="0"/>
          <w:numId w:val="20"/>
        </w:numPr>
      </w:pPr>
      <w:r>
        <w:rPr>
          <w:b/>
        </w:rPr>
        <w:t>Least</w:t>
      </w:r>
      <w:r>
        <w:rPr>
          <w:b/>
        </w:rPr>
        <w:t>‑</w:t>
      </w:r>
      <w:r>
        <w:rPr>
          <w:b/>
        </w:rPr>
        <w:t>privilege rules</w:t>
      </w:r>
      <w:r>
        <w:rPr>
          <w:rFonts w:eastAsia="Georgia" w:hAnsi="Georgia" w:cs="Georgia"/>
        </w:rPr>
        <w:t xml:space="preserve"> — Policies allow only declared applications and ports, not broad subnet ranges</w:t>
      </w:r>
    </w:p>
    <w:p w14:paraId="246A652E" w14:textId="77777777" w:rsidR="005F6948" w:rsidRDefault="00000000">
      <w:pPr>
        <w:numPr>
          <w:ilvl w:val="0"/>
          <w:numId w:val="20"/>
        </w:numPr>
      </w:pPr>
      <w:r>
        <w:rPr>
          <w:b/>
        </w:rPr>
        <w:t>Zone</w:t>
      </w:r>
      <w:r>
        <w:rPr>
          <w:b/>
        </w:rPr>
        <w:t>‑</w:t>
      </w:r>
      <w:r>
        <w:rPr>
          <w:b/>
        </w:rPr>
        <w:t>based enforcement</w:t>
      </w:r>
      <w:r>
        <w:rPr>
          <w:rFonts w:eastAsia="Georgia" w:hAnsi="Georgia" w:cs="Georgia"/>
        </w:rPr>
        <w:t xml:space="preserve"> — Tunnel zones are UNTRUST; policies explicitly control flows to internal zones</w:t>
      </w:r>
    </w:p>
    <w:p w14:paraId="20B85EFF" w14:textId="77777777" w:rsidR="005F6948" w:rsidRDefault="00000000">
      <w:pPr>
        <w:spacing w:after="210"/>
      </w:pPr>
      <w:r>
        <w:rPr>
          <w:b/>
        </w:rPr>
        <w:lastRenderedPageBreak/>
        <w:t>Alignment:</w:t>
      </w:r>
      <w:r>
        <w:t xml:space="preserve"> </w:t>
      </w:r>
      <w:r>
        <w:rPr>
          <w:b/>
        </w:rPr>
        <w:t>Partial</w:t>
      </w:r>
      <w:r>
        <w:t xml:space="preserve">. The platform enforces mediation through security policies, but this is still </w:t>
      </w:r>
      <w:r>
        <w:rPr>
          <w:b/>
        </w:rPr>
        <w:t>Layer 4 filtering</w:t>
      </w:r>
      <w:r>
        <w:t xml:space="preserve"> (IP, port, protocol), not </w:t>
      </w:r>
      <w:r>
        <w:rPr>
          <w:b/>
        </w:rPr>
        <w:t>Layer 7 capability control</w:t>
      </w:r>
      <w:r>
        <w:t xml:space="preserve"> (application endpoints, API methods, authenticated sessions).</w:t>
      </w:r>
    </w:p>
    <w:p w14:paraId="5C21197A" w14:textId="77777777" w:rsidR="005F6948" w:rsidRDefault="00000000">
      <w:pPr>
        <w:spacing w:after="210"/>
      </w:pPr>
      <w:r>
        <w:rPr>
          <w:b/>
        </w:rPr>
        <w:t>Gap:</w:t>
      </w:r>
      <w:r>
        <w:rPr>
          <w:rFonts w:eastAsia="Georgia" w:hAnsi="Georgia" w:cs="Georgia"/>
        </w:rPr>
        <w:t xml:space="preserve"> No dual‑proxy architecture, no DNS mediation, no namespace preservation. Third parties route directly to internal subnets (subject to security policies). Migration to reverse/forward proxy mediation (Phase 3) will implement true capability‑level exposure.</w:t>
      </w:r>
    </w:p>
    <w:p w14:paraId="7CDB4A0A" w14:textId="77777777" w:rsidR="005F6948" w:rsidRDefault="00000000">
      <w:pPr>
        <w:spacing w:before="240" w:line="271" w:lineRule="auto"/>
      </w:pPr>
      <w:bookmarkStart w:id="35" w:name="bm_3_identity_bound_authorization"/>
      <w:r>
        <w:rPr>
          <w:rFonts w:eastAsia="Georgia" w:hAnsi="Georgia" w:cs="Georgia"/>
          <w:b/>
          <w:sz w:val="33"/>
        </w:rPr>
        <w:t>3. Identity‑Bound Authorization</w:t>
      </w:r>
      <w:bookmarkEnd w:id="35"/>
    </w:p>
    <w:p w14:paraId="03B450FB" w14:textId="77777777" w:rsidR="005F6948" w:rsidRDefault="00000000">
      <w:pPr>
        <w:spacing w:after="210"/>
      </w:pPr>
      <w:r>
        <w:rPr>
          <w:b/>
        </w:rPr>
        <w:t>Target Paradigm:</w:t>
      </w:r>
      <w:r>
        <w:rPr>
          <w:rFonts w:eastAsia="Georgia" w:hAnsi="Georgia" w:cs="Georgia"/>
        </w:rPr>
        <w:t xml:space="preserve"> Cryptographic identity, not location‑based trust. Access decisions depend on authenticated subjects. Revocation independent of routing topology.</w:t>
      </w:r>
    </w:p>
    <w:p w14:paraId="37935DAA" w14:textId="77777777" w:rsidR="005F6948" w:rsidRDefault="00000000">
      <w:pPr>
        <w:spacing w:after="210"/>
      </w:pPr>
      <w:r>
        <w:rPr>
          <w:b/>
        </w:rPr>
        <w:t>IPsec Platform Implementation:</w:t>
      </w:r>
    </w:p>
    <w:p w14:paraId="2B7D0A3E" w14:textId="77777777" w:rsidR="005F6948" w:rsidRDefault="00000000">
      <w:pPr>
        <w:numPr>
          <w:ilvl w:val="0"/>
          <w:numId w:val="21"/>
        </w:numPr>
      </w:pPr>
      <w:r>
        <w:rPr>
          <w:b/>
        </w:rPr>
        <w:t>IKEv2 certificate</w:t>
      </w:r>
      <w:r>
        <w:rPr>
          <w:b/>
        </w:rPr>
        <w:t>‑</w:t>
      </w:r>
      <w:r>
        <w:rPr>
          <w:b/>
        </w:rPr>
        <w:t>based authentication</w:t>
      </w:r>
      <w:r>
        <w:rPr>
          <w:rFonts w:eastAsia="Georgia" w:hAnsi="Georgia" w:cs="Georgia"/>
        </w:rPr>
        <w:t xml:space="preserve"> — Tunnels can use certificate‑based IKE authentication (vs. PSK), binding tunnel establishment to cryptographic identity</w:t>
      </w:r>
    </w:p>
    <w:p w14:paraId="76FEAAF0" w14:textId="77777777" w:rsidR="005F6948" w:rsidRDefault="00000000">
      <w:pPr>
        <w:numPr>
          <w:ilvl w:val="0"/>
          <w:numId w:val="21"/>
        </w:numPr>
      </w:pPr>
      <w:r>
        <w:rPr>
          <w:b/>
        </w:rPr>
        <w:t>Per</w:t>
      </w:r>
      <w:r>
        <w:rPr>
          <w:b/>
        </w:rPr>
        <w:t>‑</w:t>
      </w:r>
      <w:r>
        <w:rPr>
          <w:b/>
        </w:rPr>
        <w:t>tunnel SNAT identity</w:t>
      </w:r>
      <w:r>
        <w:rPr>
          <w:rFonts w:eastAsia="Georgia" w:hAnsi="Georgia" w:cs="Georgia"/>
        </w:rPr>
        <w:t xml:space="preserve"> — Each tunnel has a unique SNAT /32, providing deterministic identity for audit and logging</w:t>
      </w:r>
    </w:p>
    <w:p w14:paraId="22F09ECB" w14:textId="77777777" w:rsidR="005F6948" w:rsidRDefault="00000000">
      <w:pPr>
        <w:spacing w:after="210"/>
      </w:pPr>
      <w:r>
        <w:rPr>
          <w:b/>
        </w:rPr>
        <w:t>Alignment:</w:t>
      </w:r>
      <w:r>
        <w:t xml:space="preserve"> </w:t>
      </w:r>
      <w:r>
        <w:rPr>
          <w:b/>
        </w:rPr>
        <w:t>Weak</w:t>
      </w:r>
      <w:r>
        <w:rPr>
          <w:rFonts w:eastAsia="Georgia" w:hAnsi="Georgia" w:cs="Georgia"/>
        </w:rPr>
        <w:t xml:space="preserve">. While IKEv2 supports certificate‑based authentication, initial deployment uses PSK for simplicity. SNAT provides </w:t>
      </w:r>
      <w:r>
        <w:rPr>
          <w:b/>
        </w:rPr>
        <w:t>network</w:t>
      </w:r>
      <w:r>
        <w:rPr>
          <w:b/>
        </w:rPr>
        <w:t>‑</w:t>
      </w:r>
      <w:r>
        <w:rPr>
          <w:b/>
        </w:rPr>
        <w:t>layer identity</w:t>
      </w:r>
      <w:r>
        <w:t xml:space="preserve">, not </w:t>
      </w:r>
      <w:r>
        <w:rPr>
          <w:b/>
        </w:rPr>
        <w:t>subject</w:t>
      </w:r>
      <w:r>
        <w:rPr>
          <w:b/>
        </w:rPr>
        <w:t>‑</w:t>
      </w:r>
      <w:r>
        <w:rPr>
          <w:b/>
        </w:rPr>
        <w:t>level identity</w:t>
      </w:r>
      <w:r>
        <w:t>. Security policies still rely on source zone and IP, not authenticated user.</w:t>
      </w:r>
    </w:p>
    <w:p w14:paraId="040890EA" w14:textId="77777777" w:rsidR="005F6948" w:rsidRDefault="00000000">
      <w:pPr>
        <w:spacing w:after="210"/>
      </w:pPr>
      <w:r>
        <w:rPr>
          <w:b/>
        </w:rPr>
        <w:t>Gap:</w:t>
      </w:r>
      <w:r>
        <w:rPr>
          <w:rFonts w:eastAsia="Georgia" w:hAnsi="Georgia" w:cs="Georgia"/>
        </w:rPr>
        <w:t xml:space="preserve"> No mTLS enforcement at application layer, no per‑user identity binding, no revocation mechanism independent of tunnel state. Migration to identity‑bound mediation (Phase 3, requires certificate authority integration and mTLS proxies) will close this gap.</w:t>
      </w:r>
    </w:p>
    <w:p w14:paraId="57AC1934" w14:textId="77777777" w:rsidR="005F6948" w:rsidRDefault="00000000">
      <w:pPr>
        <w:spacing w:before="240" w:line="271" w:lineRule="auto"/>
      </w:pPr>
      <w:bookmarkStart w:id="36" w:name="bm_4_deterministic_lifecycle_governance"/>
      <w:r>
        <w:rPr>
          <w:b/>
          <w:sz w:val="33"/>
        </w:rPr>
        <w:t>4. Deterministic Lifecycle Governance</w:t>
      </w:r>
      <w:bookmarkEnd w:id="36"/>
    </w:p>
    <w:p w14:paraId="004FC293" w14:textId="77777777" w:rsidR="005F6948" w:rsidRDefault="00000000">
      <w:pPr>
        <w:spacing w:after="210"/>
      </w:pPr>
      <w:r>
        <w:rPr>
          <w:b/>
        </w:rPr>
        <w:t>Target Paradigm:</w:t>
      </w:r>
      <w:r>
        <w:t xml:space="preserve"> Reversible provisioning with no residual artifacts. Exposure persists only while declared. Removal is automated and deterministic.</w:t>
      </w:r>
    </w:p>
    <w:p w14:paraId="0EE83D59" w14:textId="77777777" w:rsidR="005F6948" w:rsidRDefault="00000000">
      <w:pPr>
        <w:spacing w:after="210"/>
      </w:pPr>
      <w:r>
        <w:rPr>
          <w:b/>
        </w:rPr>
        <w:t>IPsec Platform Implementation:</w:t>
      </w:r>
    </w:p>
    <w:p w14:paraId="7E863ECB" w14:textId="77777777" w:rsidR="005F6948" w:rsidRDefault="00000000">
      <w:pPr>
        <w:numPr>
          <w:ilvl w:val="0"/>
          <w:numId w:val="22"/>
        </w:numPr>
      </w:pPr>
      <w:r>
        <w:rPr>
          <w:b/>
        </w:rPr>
        <w:t>Panorama templating and variables</w:t>
      </w:r>
      <w:r>
        <w:rPr>
          <w:rFonts w:eastAsia="Georgia" w:hAnsi="Georgia" w:cs="Georgia"/>
        </w:rPr>
        <w:t xml:space="preserve"> — Tunnel provisioning is declarative (variable sets define configuration), not imperative (manual CLI commands)</w:t>
      </w:r>
    </w:p>
    <w:p w14:paraId="7F23FA8B" w14:textId="77777777" w:rsidR="005F6948" w:rsidRDefault="00000000">
      <w:pPr>
        <w:numPr>
          <w:ilvl w:val="0"/>
          <w:numId w:val="22"/>
        </w:numPr>
      </w:pPr>
      <w:r>
        <w:rPr>
          <w:b/>
        </w:rPr>
        <w:t>Idempotent provisioning</w:t>
      </w:r>
      <w:r>
        <w:rPr>
          <w:rFonts w:eastAsia="Georgia" w:hAnsi="Georgia" w:cs="Georgia"/>
        </w:rPr>
        <w:t xml:space="preserve"> — Applying the same variable set produces identical configuration</w:t>
      </w:r>
    </w:p>
    <w:p w14:paraId="224FA234" w14:textId="77777777" w:rsidR="005F6948" w:rsidRDefault="00000000">
      <w:pPr>
        <w:numPr>
          <w:ilvl w:val="0"/>
          <w:numId w:val="22"/>
        </w:numPr>
      </w:pPr>
      <w:r>
        <w:rPr>
          <w:b/>
        </w:rPr>
        <w:t>Deterministic teardown</w:t>
      </w:r>
      <w:r>
        <w:rPr>
          <w:rFonts w:eastAsia="Georgia" w:hAnsi="Georgia" w:cs="Georgia"/>
        </w:rPr>
        <w:t xml:space="preserve"> — Removing a variable set and pushing config eliminates tunnel interface, VR routes, security policies, and IPAM allocations</w:t>
      </w:r>
    </w:p>
    <w:p w14:paraId="640E7A88" w14:textId="77777777" w:rsidR="005F6948" w:rsidRDefault="00000000">
      <w:pPr>
        <w:spacing w:after="210"/>
      </w:pPr>
      <w:r>
        <w:rPr>
          <w:b/>
        </w:rPr>
        <w:t>Alignment:</w:t>
      </w:r>
      <w:r>
        <w:t xml:space="preserve"> </w:t>
      </w:r>
      <w:r>
        <w:rPr>
          <w:b/>
        </w:rPr>
        <w:t>Strong</w:t>
      </w:r>
      <w:r>
        <w:t>. The platform supports declarative configuration and deterministic teardown. Tunnels do not persist beyond their declared configuration state.</w:t>
      </w:r>
    </w:p>
    <w:p w14:paraId="1A7FA4DA" w14:textId="77777777" w:rsidR="005F6948" w:rsidRDefault="00000000">
      <w:pPr>
        <w:spacing w:after="210"/>
      </w:pPr>
      <w:r>
        <w:rPr>
          <w:b/>
        </w:rPr>
        <w:t>Gap:</w:t>
      </w:r>
      <w:r>
        <w:rPr>
          <w:rFonts w:eastAsia="Georgia" w:hAnsi="Georgia" w:cs="Georgia"/>
        </w:rPr>
        <w:t xml:space="preserve"> No automated expiration enforcement (tunnels do not self‑suspend on expiration date). No integrated lifecycle attestation workflows. Migration to portal‑driven lifecycle management (Phase 2–3) will add expiration enforcement and renewal workflows.</w:t>
      </w:r>
    </w:p>
    <w:p w14:paraId="2DE3F2D3" w14:textId="77777777" w:rsidR="005F6948" w:rsidRDefault="00000000">
      <w:pPr>
        <w:spacing w:before="240" w:line="271" w:lineRule="auto"/>
      </w:pPr>
      <w:bookmarkStart w:id="37" w:name="summary_transition_platform_as_fo_2b9d1d"/>
      <w:r>
        <w:rPr>
          <w:b/>
          <w:sz w:val="33"/>
        </w:rPr>
        <w:t>Summary: Transition Platform as Foundation</w:t>
      </w:r>
      <w:bookmarkEnd w:id="3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81"/>
        <w:gridCol w:w="2557"/>
        <w:gridCol w:w="2163"/>
        <w:gridCol w:w="1983"/>
      </w:tblGrid>
      <w:tr w:rsidR="005F6948" w14:paraId="6D5433DE" w14:textId="77777777">
        <w:trPr>
          <w:cantSplit/>
          <w:tblCellSpacing w:w="0" w:type="dxa"/>
          <w:jc w:val="center"/>
        </w:trPr>
        <w:tc>
          <w:tcPr>
            <w:tcW w:w="0" w:type="auto"/>
            <w:tcBorders>
              <w:top w:val="single" w:sz="1" w:space="0" w:color="000000"/>
              <w:bottom w:val="single" w:sz="1" w:space="0" w:color="000000"/>
            </w:tcBorders>
          </w:tcPr>
          <w:p w14:paraId="1CE741E6" w14:textId="77777777" w:rsidR="005F6948" w:rsidRDefault="00000000">
            <w:r>
              <w:lastRenderedPageBreak/>
              <w:t>Paradigm</w:t>
            </w:r>
          </w:p>
        </w:tc>
        <w:tc>
          <w:tcPr>
            <w:tcW w:w="0" w:type="auto"/>
            <w:tcBorders>
              <w:top w:val="single" w:sz="1" w:space="0" w:color="000000"/>
              <w:left w:val="single" w:sz="1" w:space="0" w:color="000000"/>
              <w:bottom w:val="single" w:sz="1" w:space="0" w:color="000000"/>
            </w:tcBorders>
          </w:tcPr>
          <w:p w14:paraId="6ED7E5B3" w14:textId="77777777" w:rsidR="005F6948" w:rsidRDefault="00000000">
            <w:r>
              <w:t>Target Architecture</w:t>
            </w:r>
          </w:p>
        </w:tc>
        <w:tc>
          <w:tcPr>
            <w:tcW w:w="0" w:type="auto"/>
            <w:tcBorders>
              <w:top w:val="single" w:sz="1" w:space="0" w:color="000000"/>
              <w:left w:val="single" w:sz="1" w:space="0" w:color="000000"/>
              <w:bottom w:val="single" w:sz="1" w:space="0" w:color="000000"/>
            </w:tcBorders>
          </w:tcPr>
          <w:p w14:paraId="6B93F95D" w14:textId="77777777" w:rsidR="005F6948" w:rsidRDefault="00000000">
            <w:r>
              <w:t>IPsec Platform (Phase 1)</w:t>
            </w:r>
          </w:p>
        </w:tc>
        <w:tc>
          <w:tcPr>
            <w:tcW w:w="0" w:type="auto"/>
            <w:tcBorders>
              <w:top w:val="single" w:sz="1" w:space="0" w:color="000000"/>
              <w:left w:val="single" w:sz="1" w:space="0" w:color="000000"/>
              <w:bottom w:val="single" w:sz="1" w:space="0" w:color="000000"/>
            </w:tcBorders>
          </w:tcPr>
          <w:p w14:paraId="26D25002" w14:textId="77777777" w:rsidR="005F6948" w:rsidRDefault="00000000">
            <w:r>
              <w:t>Gap to Close</w:t>
            </w:r>
          </w:p>
        </w:tc>
      </w:tr>
      <w:tr w:rsidR="005F6948" w14:paraId="2C2A2D05" w14:textId="77777777">
        <w:trPr>
          <w:cantSplit/>
          <w:tblCellSpacing w:w="0" w:type="dxa"/>
          <w:jc w:val="center"/>
        </w:trPr>
        <w:tc>
          <w:tcPr>
            <w:tcW w:w="0" w:type="auto"/>
            <w:tcBorders>
              <w:top w:val="single" w:sz="1" w:space="0" w:color="000000"/>
              <w:bottom w:val="single" w:sz="1" w:space="0" w:color="000000"/>
            </w:tcBorders>
          </w:tcPr>
          <w:p w14:paraId="5256AF01" w14:textId="77777777" w:rsidR="005F6948" w:rsidRDefault="00000000">
            <w:r>
              <w:t>Structural Containment</w:t>
            </w:r>
          </w:p>
        </w:tc>
        <w:tc>
          <w:tcPr>
            <w:tcW w:w="0" w:type="auto"/>
            <w:tcBorders>
              <w:top w:val="single" w:sz="1" w:space="0" w:color="000000"/>
              <w:left w:val="single" w:sz="1" w:space="0" w:color="000000"/>
              <w:bottom w:val="single" w:sz="1" w:space="0" w:color="000000"/>
            </w:tcBorders>
          </w:tcPr>
          <w:p w14:paraId="62848DCE" w14:textId="77777777" w:rsidR="005F6948" w:rsidRDefault="00000000">
            <w:r>
              <w:rPr>
                <w:rFonts w:eastAsia="Georgia" w:hAnsi="Georgia" w:cs="Georgia"/>
              </w:rPr>
              <w:t>Per‑Tenant routing domains, no shared adjacency</w:t>
            </w:r>
          </w:p>
        </w:tc>
        <w:tc>
          <w:tcPr>
            <w:tcW w:w="0" w:type="auto"/>
            <w:tcBorders>
              <w:top w:val="single" w:sz="1" w:space="0" w:color="000000"/>
              <w:left w:val="single" w:sz="1" w:space="0" w:color="000000"/>
              <w:bottom w:val="single" w:sz="1" w:space="0" w:color="000000"/>
            </w:tcBorders>
          </w:tcPr>
          <w:p w14:paraId="12410CE1" w14:textId="77777777" w:rsidR="005F6948" w:rsidRDefault="00000000">
            <w:r>
              <w:rPr>
                <w:rFonts w:eastAsia="Georgia" w:hAnsi="Georgia" w:cs="Georgia"/>
              </w:rPr>
              <w:t>Multi‑VSYS, per‑VR isolation, zone segmentation</w:t>
            </w:r>
          </w:p>
        </w:tc>
        <w:tc>
          <w:tcPr>
            <w:tcW w:w="0" w:type="auto"/>
            <w:tcBorders>
              <w:top w:val="single" w:sz="1" w:space="0" w:color="000000"/>
              <w:left w:val="single" w:sz="1" w:space="0" w:color="000000"/>
              <w:bottom w:val="single" w:sz="1" w:space="0" w:color="000000"/>
            </w:tcBorders>
          </w:tcPr>
          <w:p w14:paraId="6497BC93" w14:textId="77777777" w:rsidR="005F6948" w:rsidRDefault="00000000">
            <w:r>
              <w:rPr>
                <w:b/>
              </w:rPr>
              <w:t>Strong alignment</w:t>
            </w:r>
            <w:r>
              <w:rPr>
                <w:rFonts w:eastAsia="Georgia" w:hAnsi="Georgia" w:cs="Georgia"/>
              </w:rPr>
              <w:t xml:space="preserve"> — minimal gap</w:t>
            </w:r>
          </w:p>
        </w:tc>
      </w:tr>
      <w:tr w:rsidR="005F6948" w14:paraId="5E9296AF" w14:textId="77777777">
        <w:trPr>
          <w:cantSplit/>
          <w:tblCellSpacing w:w="0" w:type="dxa"/>
          <w:jc w:val="center"/>
        </w:trPr>
        <w:tc>
          <w:tcPr>
            <w:tcW w:w="0" w:type="auto"/>
            <w:tcBorders>
              <w:top w:val="single" w:sz="1" w:space="0" w:color="000000"/>
              <w:bottom w:val="single" w:sz="1" w:space="0" w:color="000000"/>
            </w:tcBorders>
          </w:tcPr>
          <w:p w14:paraId="690DD595" w14:textId="77777777" w:rsidR="005F6948" w:rsidRDefault="00000000">
            <w:r>
              <w:t>Mediated Capability Exposure</w:t>
            </w:r>
          </w:p>
        </w:tc>
        <w:tc>
          <w:tcPr>
            <w:tcW w:w="0" w:type="auto"/>
            <w:tcBorders>
              <w:top w:val="single" w:sz="1" w:space="0" w:color="000000"/>
              <w:left w:val="single" w:sz="1" w:space="0" w:color="000000"/>
              <w:bottom w:val="single" w:sz="1" w:space="0" w:color="000000"/>
            </w:tcBorders>
          </w:tcPr>
          <w:p w14:paraId="52C79AE1" w14:textId="77777777" w:rsidR="005F6948" w:rsidRDefault="00000000">
            <w:r>
              <w:rPr>
                <w:rFonts w:eastAsia="Georgia" w:hAnsi="Georgia" w:cs="Georgia"/>
              </w:rPr>
              <w:t>Dual‑proxy, DNS mediation, namespace preservation, service‑level access</w:t>
            </w:r>
          </w:p>
        </w:tc>
        <w:tc>
          <w:tcPr>
            <w:tcW w:w="0" w:type="auto"/>
            <w:tcBorders>
              <w:top w:val="single" w:sz="1" w:space="0" w:color="000000"/>
              <w:left w:val="single" w:sz="1" w:space="0" w:color="000000"/>
              <w:bottom w:val="single" w:sz="1" w:space="0" w:color="000000"/>
            </w:tcBorders>
          </w:tcPr>
          <w:p w14:paraId="4E8D9D34" w14:textId="77777777" w:rsidR="005F6948" w:rsidRDefault="00000000">
            <w:r>
              <w:t>Security policies, Layer 4 filtering, zone enforcement</w:t>
            </w:r>
          </w:p>
        </w:tc>
        <w:tc>
          <w:tcPr>
            <w:tcW w:w="0" w:type="auto"/>
            <w:tcBorders>
              <w:top w:val="single" w:sz="1" w:space="0" w:color="000000"/>
              <w:left w:val="single" w:sz="1" w:space="0" w:color="000000"/>
              <w:bottom w:val="single" w:sz="1" w:space="0" w:color="000000"/>
            </w:tcBorders>
          </w:tcPr>
          <w:p w14:paraId="29D4AA36" w14:textId="77777777" w:rsidR="005F6948" w:rsidRDefault="00000000">
            <w:r>
              <w:rPr>
                <w:b/>
              </w:rPr>
              <w:t>Partial</w:t>
            </w:r>
            <w:r>
              <w:rPr>
                <w:rFonts w:eastAsia="Georgia" w:hAnsi="Georgia" w:cs="Georgia"/>
              </w:rPr>
              <w:t xml:space="preserve"> — add proxies (Phase 3)</w:t>
            </w:r>
          </w:p>
        </w:tc>
      </w:tr>
      <w:tr w:rsidR="005F6948" w14:paraId="3C17A840" w14:textId="77777777">
        <w:trPr>
          <w:cantSplit/>
          <w:tblCellSpacing w:w="0" w:type="dxa"/>
          <w:jc w:val="center"/>
        </w:trPr>
        <w:tc>
          <w:tcPr>
            <w:tcW w:w="0" w:type="auto"/>
            <w:tcBorders>
              <w:top w:val="single" w:sz="1" w:space="0" w:color="000000"/>
              <w:bottom w:val="single" w:sz="1" w:space="0" w:color="000000"/>
            </w:tcBorders>
          </w:tcPr>
          <w:p w14:paraId="38AB92D6" w14:textId="77777777" w:rsidR="005F6948" w:rsidRDefault="00000000">
            <w:r>
              <w:rPr>
                <w:rFonts w:eastAsia="Georgia" w:hAnsi="Georgia" w:cs="Georgia"/>
              </w:rPr>
              <w:t>Identity‑Bound Authorization</w:t>
            </w:r>
          </w:p>
        </w:tc>
        <w:tc>
          <w:tcPr>
            <w:tcW w:w="0" w:type="auto"/>
            <w:tcBorders>
              <w:top w:val="single" w:sz="1" w:space="0" w:color="000000"/>
              <w:left w:val="single" w:sz="1" w:space="0" w:color="000000"/>
              <w:bottom w:val="single" w:sz="1" w:space="0" w:color="000000"/>
            </w:tcBorders>
          </w:tcPr>
          <w:p w14:paraId="292CFEB9" w14:textId="77777777" w:rsidR="005F6948" w:rsidRDefault="00000000">
            <w:r>
              <w:rPr>
                <w:rFonts w:eastAsia="Georgia" w:hAnsi="Georgia" w:cs="Georgia"/>
              </w:rPr>
              <w:t>mTLS, certificate‑based, per‑user identity binding</w:t>
            </w:r>
          </w:p>
        </w:tc>
        <w:tc>
          <w:tcPr>
            <w:tcW w:w="0" w:type="auto"/>
            <w:tcBorders>
              <w:top w:val="single" w:sz="1" w:space="0" w:color="000000"/>
              <w:left w:val="single" w:sz="1" w:space="0" w:color="000000"/>
              <w:bottom w:val="single" w:sz="1" w:space="0" w:color="000000"/>
            </w:tcBorders>
          </w:tcPr>
          <w:p w14:paraId="3E34D706" w14:textId="77777777" w:rsidR="005F6948" w:rsidRDefault="00000000">
            <w:r>
              <w:rPr>
                <w:rFonts w:eastAsia="Georgia" w:hAnsi="Georgia" w:cs="Georgia"/>
              </w:rPr>
              <w:t>IKEv2 certs (optional), per‑tunnel SNAT identity</w:t>
            </w:r>
          </w:p>
        </w:tc>
        <w:tc>
          <w:tcPr>
            <w:tcW w:w="0" w:type="auto"/>
            <w:tcBorders>
              <w:top w:val="single" w:sz="1" w:space="0" w:color="000000"/>
              <w:left w:val="single" w:sz="1" w:space="0" w:color="000000"/>
              <w:bottom w:val="single" w:sz="1" w:space="0" w:color="000000"/>
            </w:tcBorders>
          </w:tcPr>
          <w:p w14:paraId="0C29D687" w14:textId="77777777" w:rsidR="005F6948" w:rsidRDefault="00000000">
            <w:r>
              <w:rPr>
                <w:b/>
              </w:rPr>
              <w:t>Weak</w:t>
            </w:r>
            <w:r>
              <w:rPr>
                <w:rFonts w:eastAsia="Georgia" w:hAnsi="Georgia" w:cs="Georgia"/>
              </w:rPr>
              <w:t xml:space="preserve"> — add mTLS mediation (Phase 3)</w:t>
            </w:r>
          </w:p>
        </w:tc>
      </w:tr>
      <w:tr w:rsidR="005F6948" w14:paraId="4A997277" w14:textId="77777777">
        <w:trPr>
          <w:cantSplit/>
          <w:tblCellSpacing w:w="0" w:type="dxa"/>
          <w:jc w:val="center"/>
        </w:trPr>
        <w:tc>
          <w:tcPr>
            <w:tcW w:w="0" w:type="auto"/>
            <w:tcBorders>
              <w:top w:val="single" w:sz="1" w:space="0" w:color="000000"/>
              <w:bottom w:val="single" w:sz="1" w:space="0" w:color="000000"/>
            </w:tcBorders>
          </w:tcPr>
          <w:p w14:paraId="729E635B" w14:textId="77777777" w:rsidR="005F6948" w:rsidRDefault="00000000">
            <w:r>
              <w:t>Deterministic Lifecycle Governance</w:t>
            </w:r>
          </w:p>
        </w:tc>
        <w:tc>
          <w:tcPr>
            <w:tcW w:w="0" w:type="auto"/>
            <w:tcBorders>
              <w:top w:val="single" w:sz="1" w:space="0" w:color="000000"/>
              <w:left w:val="single" w:sz="1" w:space="0" w:color="000000"/>
              <w:bottom w:val="single" w:sz="1" w:space="0" w:color="000000"/>
            </w:tcBorders>
          </w:tcPr>
          <w:p w14:paraId="41569E88" w14:textId="77777777" w:rsidR="005F6948" w:rsidRDefault="00000000">
            <w:r>
              <w:rPr>
                <w:rFonts w:eastAsia="Georgia" w:hAnsi="Georgia" w:cs="Georgia"/>
              </w:rPr>
              <w:t>Portal‑driven, expiration enforcement, automated renewal workflows</w:t>
            </w:r>
          </w:p>
        </w:tc>
        <w:tc>
          <w:tcPr>
            <w:tcW w:w="0" w:type="auto"/>
            <w:tcBorders>
              <w:top w:val="single" w:sz="1" w:space="0" w:color="000000"/>
              <w:left w:val="single" w:sz="1" w:space="0" w:color="000000"/>
              <w:bottom w:val="single" w:sz="1" w:space="0" w:color="000000"/>
            </w:tcBorders>
          </w:tcPr>
          <w:p w14:paraId="330CA6A4" w14:textId="77777777" w:rsidR="005F6948" w:rsidRDefault="00000000">
            <w:r>
              <w:t>Panorama templates, declarative config, deterministic teardown</w:t>
            </w:r>
          </w:p>
        </w:tc>
        <w:tc>
          <w:tcPr>
            <w:tcW w:w="0" w:type="auto"/>
            <w:tcBorders>
              <w:top w:val="single" w:sz="1" w:space="0" w:color="000000"/>
              <w:left w:val="single" w:sz="1" w:space="0" w:color="000000"/>
              <w:bottom w:val="single" w:sz="1" w:space="0" w:color="000000"/>
            </w:tcBorders>
          </w:tcPr>
          <w:p w14:paraId="0761B640" w14:textId="77777777" w:rsidR="005F6948" w:rsidRDefault="00000000">
            <w:r>
              <w:rPr>
                <w:b/>
              </w:rPr>
              <w:t>Strong on teardown</w:t>
            </w:r>
            <w:r>
              <w:rPr>
                <w:rFonts w:eastAsia="Georgia" w:hAnsi="Georgia" w:cs="Georgia"/>
              </w:rPr>
              <w:t xml:space="preserve"> — add portal workflows (Phase 2–3)</w:t>
            </w:r>
          </w:p>
        </w:tc>
      </w:tr>
    </w:tbl>
    <w:p w14:paraId="7BC9286D" w14:textId="77777777" w:rsidR="005F6948" w:rsidRDefault="005F6948"/>
    <w:p w14:paraId="6F20DEB2" w14:textId="77777777" w:rsidR="005F6948" w:rsidRDefault="00000000">
      <w:pPr>
        <w:spacing w:after="210"/>
      </w:pPr>
      <w:r>
        <w:t xml:space="preserve">The IPsec platform is </w:t>
      </w:r>
      <w:r>
        <w:rPr>
          <w:b/>
        </w:rPr>
        <w:t>intentionally incomplete</w:t>
      </w:r>
      <w:r>
        <w:t xml:space="preserve"> as a governed exposure solution, but it provides the </w:t>
      </w:r>
      <w:r>
        <w:rPr>
          <w:b/>
        </w:rPr>
        <w:t>structural isolation and lifecycle discipline</w:t>
      </w:r>
      <w:r>
        <w:t xml:space="preserve"> required to support the discovery/onboarding surge while establishing a migration path to the full target architecture.</w:t>
      </w:r>
    </w:p>
    <w:p w14:paraId="5B0C51AB" w14:textId="77777777" w:rsidR="005F6948" w:rsidRDefault="00132649">
      <w:r>
        <w:rPr>
          <w:noProof/>
        </w:rPr>
        <w:pict w14:anchorId="4DA0648F">
          <v:rect id="_x0000_i1027" alt="" style="width:434.5pt;height:.05pt;mso-width-percent:0;mso-height-percent:0;mso-width-percent:0;mso-height-percent:0" o:hralign="center" o:hrstd="t" o:hr="t"/>
        </w:pict>
      </w:r>
    </w:p>
    <w:p w14:paraId="02A5E278" w14:textId="77777777" w:rsidR="005F6948" w:rsidRDefault="00000000">
      <w:pPr>
        <w:spacing w:before="240" w:line="271" w:lineRule="auto"/>
      </w:pPr>
      <w:bookmarkStart w:id="38" w:name="part_vii_operational_readiness_an_58a498"/>
      <w:r>
        <w:rPr>
          <w:b/>
          <w:sz w:val="42"/>
        </w:rPr>
        <w:t>Part VII: Operational Readiness and Success Metrics</w:t>
      </w:r>
      <w:bookmarkEnd w:id="38"/>
    </w:p>
    <w:p w14:paraId="30EDC4CD" w14:textId="77777777" w:rsidR="005F6948" w:rsidRDefault="00000000">
      <w:pPr>
        <w:spacing w:before="240" w:line="271" w:lineRule="auto"/>
      </w:pPr>
      <w:bookmarkStart w:id="39" w:name="operational_enablement_requirements"/>
      <w:r>
        <w:rPr>
          <w:b/>
          <w:sz w:val="33"/>
        </w:rPr>
        <w:t>Operational Enablement Requirements</w:t>
      </w:r>
      <w:bookmarkEnd w:id="39"/>
    </w:p>
    <w:p w14:paraId="2CA3B096" w14:textId="77777777" w:rsidR="005F6948" w:rsidRDefault="00000000">
      <w:pPr>
        <w:spacing w:after="210"/>
      </w:pPr>
      <w:r>
        <w:t>Deploying the IPsec service edge at scale requires:</w:t>
      </w:r>
    </w:p>
    <w:p w14:paraId="1EBA393F" w14:textId="77777777" w:rsidR="005F6948" w:rsidRDefault="00000000">
      <w:pPr>
        <w:spacing w:after="210"/>
      </w:pPr>
      <w:r>
        <w:rPr>
          <w:b/>
        </w:rPr>
        <w:t>Network Operations Training</w:t>
      </w:r>
      <w:r>
        <w:rPr>
          <w:rFonts w:eastAsia="Georgia" w:hAnsi="Georgia" w:cs="Georgia"/>
        </w:rPr>
        <w:t xml:space="preserve"> — Runbooks for tunnel onboarding, modification, troubleshooting (tunnel down, asymmetric routing, NAT issues), and key rotation. Hands‑on training with Panorama templates and variable dictionaries.</w:t>
      </w:r>
    </w:p>
    <w:p w14:paraId="6932D5B0" w14:textId="77777777" w:rsidR="005F6948" w:rsidRDefault="00000000">
      <w:pPr>
        <w:spacing w:after="210"/>
      </w:pPr>
      <w:r>
        <w:rPr>
          <w:b/>
        </w:rPr>
        <w:t>IPAM Governance Process</w:t>
      </w:r>
      <w:r>
        <w:rPr>
          <w:rFonts w:eastAsia="Georgia" w:hAnsi="Georgia" w:cs="Georgia"/>
        </w:rPr>
        <w:t xml:space="preserve"> — Central IPAM system integration (NetBox, Infoblox, or spreadsheet‑based initially) with allocation workflows, reservation procedures, and decommissioning cleanup.</w:t>
      </w:r>
    </w:p>
    <w:p w14:paraId="5E3CBCCB" w14:textId="77777777" w:rsidR="005F6948" w:rsidRDefault="00000000">
      <w:pPr>
        <w:spacing w:after="210"/>
      </w:pPr>
      <w:r>
        <w:rPr>
          <w:b/>
        </w:rPr>
        <w:t>SIEM Integration</w:t>
      </w:r>
      <w:r>
        <w:rPr>
          <w:rFonts w:eastAsia="Georgia" w:hAnsi="Georgia" w:cs="Georgia"/>
        </w:rPr>
        <w:t xml:space="preserve"> — Configure syslog export to SIEM (Splunk, Sentinel, QRadar) with per‑tunnel SNAT tagging. Develop correlation rules and dashboards for tunnel health, traffic patterns, and security events.</w:t>
      </w:r>
    </w:p>
    <w:p w14:paraId="5B239B40" w14:textId="77777777" w:rsidR="005F6948" w:rsidRDefault="00000000">
      <w:pPr>
        <w:spacing w:after="210"/>
      </w:pPr>
      <w:r>
        <w:rPr>
          <w:b/>
        </w:rPr>
        <w:t>Capacity Monitoring</w:t>
      </w:r>
      <w:r>
        <w:rPr>
          <w:rFonts w:eastAsia="Georgia" w:hAnsi="Georgia" w:cs="Georgia"/>
        </w:rPr>
        <w:t xml:space="preserve"> — Deploy telemetry collection (SNMP, syslog, Panorama APIs) to track VSYS CPU, session count, IKE/Child SA count, and interface utilization. Establish alerting thresholds and capacity planning triggers.</w:t>
      </w:r>
    </w:p>
    <w:p w14:paraId="0007C87C" w14:textId="77777777" w:rsidR="005F6948" w:rsidRDefault="00000000">
      <w:pPr>
        <w:spacing w:after="210"/>
      </w:pPr>
      <w:r>
        <w:rPr>
          <w:b/>
        </w:rPr>
        <w:lastRenderedPageBreak/>
        <w:t>Change Management Integration</w:t>
      </w:r>
      <w:r>
        <w:rPr>
          <w:rFonts w:eastAsia="Georgia" w:hAnsi="Georgia" w:cs="Georgia"/>
        </w:rPr>
        <w:t xml:space="preserve"> — Integrate tunnel provisioning workflows with ITSM (ServiceNow, Jira Service Desk) for change approval, documentation, and audit trails.</w:t>
      </w:r>
    </w:p>
    <w:p w14:paraId="45A2F58B" w14:textId="77777777" w:rsidR="005F6948" w:rsidRDefault="00000000">
      <w:pPr>
        <w:spacing w:before="240" w:line="271" w:lineRule="auto"/>
      </w:pPr>
      <w:bookmarkStart w:id="40" w:name="key_performance_indicators_kpis"/>
      <w:r>
        <w:rPr>
          <w:b/>
          <w:sz w:val="33"/>
        </w:rPr>
        <w:t>Key Performance Indicators (KPIs)</w:t>
      </w:r>
      <w:bookmarkEnd w:id="40"/>
    </w:p>
    <w:p w14:paraId="17B2ADB1" w14:textId="77777777" w:rsidR="005F6948" w:rsidRDefault="00000000">
      <w:pPr>
        <w:spacing w:after="210"/>
      </w:pPr>
      <w:r>
        <w:rPr>
          <w:b/>
        </w:rPr>
        <w:t>Onboarding Velocity</w:t>
      </w:r>
      <w:r>
        <w:rPr>
          <w:rFonts w:eastAsia="Georgia" w:hAnsi="Georgia" w:cs="Georgia"/>
        </w:rPr>
        <w:t xml:space="preserve"> — Target: Onboard 500+ tunnels within 9–22 months, maintaining pace with discovery/qualification. Measure: Tunnels provisioned per week; backlog of discovered-but-not-onboarded connections.</w:t>
      </w:r>
    </w:p>
    <w:p w14:paraId="3CBE1866" w14:textId="77777777" w:rsidR="005F6948" w:rsidRDefault="00000000">
      <w:pPr>
        <w:spacing w:after="210"/>
      </w:pPr>
      <w:r>
        <w:rPr>
          <w:b/>
        </w:rPr>
        <w:t>Tunnel Availability</w:t>
      </w:r>
      <w:r>
        <w:rPr>
          <w:rFonts w:eastAsia="Georgia" w:hAnsi="Georgia" w:cs="Georgia"/>
        </w:rPr>
        <w:t xml:space="preserve"> — Target: &gt;99% tunnel uptime (excluding planned maintenance). Measure: Tunnel failure rate, MTTR for tunnel incidents, HA failover success rate.</w:t>
      </w:r>
    </w:p>
    <w:p w14:paraId="63BAC443" w14:textId="77777777" w:rsidR="005F6948" w:rsidRDefault="00000000">
      <w:pPr>
        <w:spacing w:after="210"/>
      </w:pPr>
      <w:r>
        <w:rPr>
          <w:b/>
        </w:rPr>
        <w:t>VSYS Capacity Utilization</w:t>
      </w:r>
      <w:r>
        <w:rPr>
          <w:rFonts w:eastAsia="Georgia" w:hAnsi="Georgia" w:cs="Georgia"/>
        </w:rPr>
        <w:t xml:space="preserve"> — Target: &lt;70% CPU utilization per VSYS; &lt;80% session table utilization. Measure: VSYS CPU average and peak, session setup rate, IKE/Child SA count.</w:t>
      </w:r>
    </w:p>
    <w:p w14:paraId="0F083BEC" w14:textId="77777777" w:rsidR="005F6948" w:rsidRDefault="00000000">
      <w:pPr>
        <w:spacing w:after="210"/>
      </w:pPr>
      <w:r>
        <w:rPr>
          <w:b/>
        </w:rPr>
        <w:t>Governance Compliance</w:t>
      </w:r>
      <w:r>
        <w:rPr>
          <w:rFonts w:eastAsia="Georgia" w:hAnsi="Georgia" w:cs="Georgia"/>
        </w:rPr>
        <w:t xml:space="preserve"> — Target: 100% of onboarded connections have documented owners and business justification. Measure: Percentage of tunnels with complete Tenant records (ownership, purpose, lifecycle attributes).</w:t>
      </w:r>
    </w:p>
    <w:p w14:paraId="49EF90B2" w14:textId="77777777" w:rsidR="005F6948" w:rsidRDefault="00000000">
      <w:pPr>
        <w:spacing w:after="210"/>
      </w:pPr>
      <w:r>
        <w:rPr>
          <w:b/>
        </w:rPr>
        <w:t>Operational Efficiency</w:t>
      </w:r>
      <w:r>
        <w:rPr>
          <w:rFonts w:eastAsia="Georgia" w:hAnsi="Georgia" w:cs="Georgia"/>
        </w:rPr>
        <w:t xml:space="preserve"> — Target: Reduce tunnel provisioning time from days (manual) to hours (Panorama automation). Measure: Mean time to onboard new tunnel, from approval to operational.</w:t>
      </w:r>
    </w:p>
    <w:p w14:paraId="068ECCD7" w14:textId="77777777" w:rsidR="005F6948" w:rsidRDefault="00000000">
      <w:pPr>
        <w:spacing w:after="210"/>
      </w:pPr>
      <w:r>
        <w:rPr>
          <w:b/>
        </w:rPr>
        <w:t>Security Posture</w:t>
      </w:r>
      <w:r>
        <w:rPr>
          <w:rFonts w:eastAsia="Georgia" w:hAnsi="Georgia" w:cs="Georgia"/>
        </w:rPr>
        <w:t xml:space="preserve"> — Target: Zero cross‑tenant lateral movement incidents; &lt;5 security policy violations per quarter. Measure: Security incident count related to third‑party connectivity, policy violation alerts.</w:t>
      </w:r>
    </w:p>
    <w:p w14:paraId="2F551538" w14:textId="77777777" w:rsidR="005F6948" w:rsidRDefault="00000000">
      <w:pPr>
        <w:spacing w:before="240" w:line="271" w:lineRule="auto"/>
      </w:pPr>
      <w:bookmarkStart w:id="41" w:name="risk_management_and_mitigations"/>
      <w:r>
        <w:rPr>
          <w:b/>
          <w:sz w:val="33"/>
        </w:rPr>
        <w:t>Risk Management and Mitigations</w:t>
      </w:r>
      <w:bookmarkEnd w:id="4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53"/>
        <w:gridCol w:w="1881"/>
        <w:gridCol w:w="1316"/>
        <w:gridCol w:w="2734"/>
      </w:tblGrid>
      <w:tr w:rsidR="005F6948" w14:paraId="03E560D0" w14:textId="77777777">
        <w:trPr>
          <w:cantSplit/>
          <w:tblCellSpacing w:w="0" w:type="dxa"/>
          <w:jc w:val="center"/>
        </w:trPr>
        <w:tc>
          <w:tcPr>
            <w:tcW w:w="0" w:type="auto"/>
            <w:tcBorders>
              <w:top w:val="single" w:sz="1" w:space="0" w:color="000000"/>
              <w:bottom w:val="single" w:sz="1" w:space="0" w:color="000000"/>
            </w:tcBorders>
          </w:tcPr>
          <w:p w14:paraId="6E1BD943" w14:textId="77777777" w:rsidR="005F6948" w:rsidRDefault="00000000">
            <w:r>
              <w:t>Risk</w:t>
            </w:r>
          </w:p>
        </w:tc>
        <w:tc>
          <w:tcPr>
            <w:tcW w:w="0" w:type="auto"/>
            <w:tcBorders>
              <w:top w:val="single" w:sz="1" w:space="0" w:color="000000"/>
              <w:left w:val="single" w:sz="1" w:space="0" w:color="000000"/>
              <w:bottom w:val="single" w:sz="1" w:space="0" w:color="000000"/>
            </w:tcBorders>
          </w:tcPr>
          <w:p w14:paraId="3D6AC9F7" w14:textId="77777777" w:rsidR="005F6948" w:rsidRDefault="00000000">
            <w:r>
              <w:t>Impact</w:t>
            </w:r>
          </w:p>
        </w:tc>
        <w:tc>
          <w:tcPr>
            <w:tcW w:w="0" w:type="auto"/>
            <w:tcBorders>
              <w:top w:val="single" w:sz="1" w:space="0" w:color="000000"/>
              <w:left w:val="single" w:sz="1" w:space="0" w:color="000000"/>
              <w:bottom w:val="single" w:sz="1" w:space="0" w:color="000000"/>
            </w:tcBorders>
          </w:tcPr>
          <w:p w14:paraId="44D2CE7D" w14:textId="77777777" w:rsidR="005F6948" w:rsidRDefault="00000000">
            <w:r>
              <w:t>Likelihood</w:t>
            </w:r>
          </w:p>
        </w:tc>
        <w:tc>
          <w:tcPr>
            <w:tcW w:w="0" w:type="auto"/>
            <w:tcBorders>
              <w:top w:val="single" w:sz="1" w:space="0" w:color="000000"/>
              <w:left w:val="single" w:sz="1" w:space="0" w:color="000000"/>
              <w:bottom w:val="single" w:sz="1" w:space="0" w:color="000000"/>
            </w:tcBorders>
          </w:tcPr>
          <w:p w14:paraId="66486F5E" w14:textId="77777777" w:rsidR="005F6948" w:rsidRDefault="00000000">
            <w:r>
              <w:t>Mitigation</w:t>
            </w:r>
          </w:p>
        </w:tc>
      </w:tr>
      <w:tr w:rsidR="005F6948" w14:paraId="29BEC9FE" w14:textId="77777777">
        <w:trPr>
          <w:cantSplit/>
          <w:tblCellSpacing w:w="0" w:type="dxa"/>
          <w:jc w:val="center"/>
        </w:trPr>
        <w:tc>
          <w:tcPr>
            <w:tcW w:w="0" w:type="auto"/>
            <w:tcBorders>
              <w:top w:val="single" w:sz="1" w:space="0" w:color="000000"/>
              <w:bottom w:val="single" w:sz="1" w:space="0" w:color="000000"/>
            </w:tcBorders>
          </w:tcPr>
          <w:p w14:paraId="11BFC21D" w14:textId="77777777" w:rsidR="005F6948" w:rsidRDefault="00000000">
            <w:r>
              <w:rPr>
                <w:b/>
              </w:rPr>
              <w:t>Rekey storms</w:t>
            </w:r>
            <w:r>
              <w:rPr>
                <w:rFonts w:eastAsia="Georgia" w:hAnsi="Georgia" w:cs="Georgia"/>
              </w:rPr>
              <w:t xml:space="preserve"> — Hundreds of tunnels rekey simultaneously, causing CPU spikes</w:t>
            </w:r>
          </w:p>
        </w:tc>
        <w:tc>
          <w:tcPr>
            <w:tcW w:w="0" w:type="auto"/>
            <w:tcBorders>
              <w:top w:val="single" w:sz="1" w:space="0" w:color="000000"/>
              <w:left w:val="single" w:sz="1" w:space="0" w:color="000000"/>
              <w:bottom w:val="single" w:sz="1" w:space="0" w:color="000000"/>
            </w:tcBorders>
          </w:tcPr>
          <w:p w14:paraId="04868F02" w14:textId="77777777" w:rsidR="005F6948" w:rsidRDefault="00000000">
            <w:r>
              <w:rPr>
                <w:rFonts w:eastAsia="Georgia" w:hAnsi="Georgia" w:cs="Georgia"/>
              </w:rPr>
              <w:t>High (control‑plane instability)</w:t>
            </w:r>
          </w:p>
        </w:tc>
        <w:tc>
          <w:tcPr>
            <w:tcW w:w="0" w:type="auto"/>
            <w:tcBorders>
              <w:top w:val="single" w:sz="1" w:space="0" w:color="000000"/>
              <w:left w:val="single" w:sz="1" w:space="0" w:color="000000"/>
              <w:bottom w:val="single" w:sz="1" w:space="0" w:color="000000"/>
            </w:tcBorders>
          </w:tcPr>
          <w:p w14:paraId="3928E33E" w14:textId="77777777" w:rsidR="005F6948" w:rsidRDefault="00000000">
            <w:r>
              <w:t>Medium</w:t>
            </w:r>
          </w:p>
        </w:tc>
        <w:tc>
          <w:tcPr>
            <w:tcW w:w="0" w:type="auto"/>
            <w:tcBorders>
              <w:top w:val="single" w:sz="1" w:space="0" w:color="000000"/>
              <w:left w:val="single" w:sz="1" w:space="0" w:color="000000"/>
              <w:bottom w:val="single" w:sz="1" w:space="0" w:color="000000"/>
            </w:tcBorders>
          </w:tcPr>
          <w:p w14:paraId="70A29F1B" w14:textId="77777777" w:rsidR="005F6948" w:rsidRDefault="00000000">
            <w:r>
              <w:t>Implement jittered IKE/Child SA lifetimes; monitor rekey timing distribution</w:t>
            </w:r>
          </w:p>
        </w:tc>
      </w:tr>
      <w:tr w:rsidR="005F6948" w14:paraId="274E4C0D" w14:textId="77777777">
        <w:trPr>
          <w:cantSplit/>
          <w:tblCellSpacing w:w="0" w:type="dxa"/>
          <w:jc w:val="center"/>
        </w:trPr>
        <w:tc>
          <w:tcPr>
            <w:tcW w:w="0" w:type="auto"/>
            <w:tcBorders>
              <w:top w:val="single" w:sz="1" w:space="0" w:color="000000"/>
              <w:bottom w:val="single" w:sz="1" w:space="0" w:color="000000"/>
            </w:tcBorders>
          </w:tcPr>
          <w:p w14:paraId="1757E06E" w14:textId="77777777" w:rsidR="005F6948" w:rsidRDefault="00000000">
            <w:r>
              <w:rPr>
                <w:b/>
              </w:rPr>
              <w:t>VSYS oversubscription</w:t>
            </w:r>
            <w:r>
              <w:rPr>
                <w:rFonts w:eastAsia="Georgia" w:hAnsi="Georgia" w:cs="Georgia"/>
              </w:rPr>
              <w:t xml:space="preserve"> — Too many tunnels on a single VSYS, degrading performance</w:t>
            </w:r>
          </w:p>
        </w:tc>
        <w:tc>
          <w:tcPr>
            <w:tcW w:w="0" w:type="auto"/>
            <w:tcBorders>
              <w:top w:val="single" w:sz="1" w:space="0" w:color="000000"/>
              <w:left w:val="single" w:sz="1" w:space="0" w:color="000000"/>
              <w:bottom w:val="single" w:sz="1" w:space="0" w:color="000000"/>
            </w:tcBorders>
          </w:tcPr>
          <w:p w14:paraId="2149968F" w14:textId="77777777" w:rsidR="005F6948" w:rsidRDefault="00000000">
            <w:r>
              <w:t>High (service degradation)</w:t>
            </w:r>
          </w:p>
        </w:tc>
        <w:tc>
          <w:tcPr>
            <w:tcW w:w="0" w:type="auto"/>
            <w:tcBorders>
              <w:top w:val="single" w:sz="1" w:space="0" w:color="000000"/>
              <w:left w:val="single" w:sz="1" w:space="0" w:color="000000"/>
              <w:bottom w:val="single" w:sz="1" w:space="0" w:color="000000"/>
            </w:tcBorders>
          </w:tcPr>
          <w:p w14:paraId="1F21A113" w14:textId="77777777" w:rsidR="005F6948" w:rsidRDefault="00000000">
            <w:r>
              <w:t>Medium</w:t>
            </w:r>
          </w:p>
        </w:tc>
        <w:tc>
          <w:tcPr>
            <w:tcW w:w="0" w:type="auto"/>
            <w:tcBorders>
              <w:top w:val="single" w:sz="1" w:space="0" w:color="000000"/>
              <w:left w:val="single" w:sz="1" w:space="0" w:color="000000"/>
              <w:bottom w:val="single" w:sz="1" w:space="0" w:color="000000"/>
            </w:tcBorders>
          </w:tcPr>
          <w:p w14:paraId="682D276C" w14:textId="77777777" w:rsidR="005F6948" w:rsidRDefault="00000000">
            <w:r>
              <w:t>Capacity governance with &lt;70% utilization trigger; proactive VSYS expansion</w:t>
            </w:r>
          </w:p>
        </w:tc>
      </w:tr>
      <w:tr w:rsidR="005F6948" w14:paraId="6A3318D2" w14:textId="77777777">
        <w:trPr>
          <w:cantSplit/>
          <w:tblCellSpacing w:w="0" w:type="dxa"/>
          <w:jc w:val="center"/>
        </w:trPr>
        <w:tc>
          <w:tcPr>
            <w:tcW w:w="0" w:type="auto"/>
            <w:tcBorders>
              <w:top w:val="single" w:sz="1" w:space="0" w:color="000000"/>
              <w:bottom w:val="single" w:sz="1" w:space="0" w:color="000000"/>
            </w:tcBorders>
          </w:tcPr>
          <w:p w14:paraId="01C86532" w14:textId="77777777" w:rsidR="005F6948" w:rsidRDefault="00000000">
            <w:r>
              <w:rPr>
                <w:b/>
              </w:rPr>
              <w:t>Address exhaustion</w:t>
            </w:r>
            <w:r>
              <w:rPr>
                <w:rFonts w:eastAsia="Georgia" w:hAnsi="Georgia" w:cs="Georgia"/>
              </w:rPr>
              <w:t xml:space="preserve"> — IPAM pools depleted due to poor allocation hygiene</w:t>
            </w:r>
          </w:p>
        </w:tc>
        <w:tc>
          <w:tcPr>
            <w:tcW w:w="0" w:type="auto"/>
            <w:tcBorders>
              <w:top w:val="single" w:sz="1" w:space="0" w:color="000000"/>
              <w:left w:val="single" w:sz="1" w:space="0" w:color="000000"/>
              <w:bottom w:val="single" w:sz="1" w:space="0" w:color="000000"/>
            </w:tcBorders>
          </w:tcPr>
          <w:p w14:paraId="7FDED3CD" w14:textId="77777777" w:rsidR="005F6948" w:rsidRDefault="00000000">
            <w:r>
              <w:t>Medium (onboarding blockage)</w:t>
            </w:r>
          </w:p>
        </w:tc>
        <w:tc>
          <w:tcPr>
            <w:tcW w:w="0" w:type="auto"/>
            <w:tcBorders>
              <w:top w:val="single" w:sz="1" w:space="0" w:color="000000"/>
              <w:left w:val="single" w:sz="1" w:space="0" w:color="000000"/>
              <w:bottom w:val="single" w:sz="1" w:space="0" w:color="000000"/>
            </w:tcBorders>
          </w:tcPr>
          <w:p w14:paraId="227058DC" w14:textId="77777777" w:rsidR="005F6948" w:rsidRDefault="00000000">
            <w:r>
              <w:t>Low</w:t>
            </w:r>
          </w:p>
        </w:tc>
        <w:tc>
          <w:tcPr>
            <w:tcW w:w="0" w:type="auto"/>
            <w:tcBorders>
              <w:top w:val="single" w:sz="1" w:space="0" w:color="000000"/>
              <w:left w:val="single" w:sz="1" w:space="0" w:color="000000"/>
              <w:bottom w:val="single" w:sz="1" w:space="0" w:color="000000"/>
            </w:tcBorders>
          </w:tcPr>
          <w:p w14:paraId="4B0DC45E" w14:textId="77777777" w:rsidR="005F6948" w:rsidRDefault="00000000">
            <w:r>
              <w:t>IPAM governance process with regular audits; decommission cleanup automation</w:t>
            </w:r>
          </w:p>
        </w:tc>
      </w:tr>
      <w:tr w:rsidR="005F6948" w14:paraId="4C932151" w14:textId="77777777">
        <w:trPr>
          <w:cantSplit/>
          <w:tblCellSpacing w:w="0" w:type="dxa"/>
          <w:jc w:val="center"/>
        </w:trPr>
        <w:tc>
          <w:tcPr>
            <w:tcW w:w="0" w:type="auto"/>
            <w:tcBorders>
              <w:top w:val="single" w:sz="1" w:space="0" w:color="000000"/>
              <w:bottom w:val="single" w:sz="1" w:space="0" w:color="000000"/>
            </w:tcBorders>
          </w:tcPr>
          <w:p w14:paraId="454C25DA" w14:textId="77777777" w:rsidR="005F6948" w:rsidRDefault="00000000">
            <w:r>
              <w:rPr>
                <w:b/>
              </w:rPr>
              <w:t>Policy drift</w:t>
            </w:r>
            <w:r>
              <w:rPr>
                <w:rFonts w:eastAsia="Georgia" w:hAnsi="Georgia" w:cs="Georgia"/>
              </w:rPr>
              <w:t xml:space="preserve"> — Security policies diverge from templates due to emergency changes</w:t>
            </w:r>
          </w:p>
        </w:tc>
        <w:tc>
          <w:tcPr>
            <w:tcW w:w="0" w:type="auto"/>
            <w:tcBorders>
              <w:top w:val="single" w:sz="1" w:space="0" w:color="000000"/>
              <w:left w:val="single" w:sz="1" w:space="0" w:color="000000"/>
              <w:bottom w:val="single" w:sz="1" w:space="0" w:color="000000"/>
            </w:tcBorders>
          </w:tcPr>
          <w:p w14:paraId="1554F5D0" w14:textId="77777777" w:rsidR="005F6948" w:rsidRDefault="00000000">
            <w:r>
              <w:t>Medium (inconsistency, compliance risk)</w:t>
            </w:r>
          </w:p>
        </w:tc>
        <w:tc>
          <w:tcPr>
            <w:tcW w:w="0" w:type="auto"/>
            <w:tcBorders>
              <w:top w:val="single" w:sz="1" w:space="0" w:color="000000"/>
              <w:left w:val="single" w:sz="1" w:space="0" w:color="000000"/>
              <w:bottom w:val="single" w:sz="1" w:space="0" w:color="000000"/>
            </w:tcBorders>
          </w:tcPr>
          <w:p w14:paraId="7766E954" w14:textId="77777777" w:rsidR="005F6948" w:rsidRDefault="00000000">
            <w:r>
              <w:t>Medium</w:t>
            </w:r>
          </w:p>
        </w:tc>
        <w:tc>
          <w:tcPr>
            <w:tcW w:w="0" w:type="auto"/>
            <w:tcBorders>
              <w:top w:val="single" w:sz="1" w:space="0" w:color="000000"/>
              <w:left w:val="single" w:sz="1" w:space="0" w:color="000000"/>
              <w:bottom w:val="single" w:sz="1" w:space="0" w:color="000000"/>
            </w:tcBorders>
          </w:tcPr>
          <w:p w14:paraId="42122145" w14:textId="77777777" w:rsidR="005F6948" w:rsidRDefault="00000000">
            <w:r>
              <w:t>Panorama template enforcement; periodic config diff audits; change control discipline</w:t>
            </w:r>
          </w:p>
        </w:tc>
      </w:tr>
      <w:tr w:rsidR="005F6948" w14:paraId="6FE7EC80" w14:textId="77777777">
        <w:trPr>
          <w:cantSplit/>
          <w:tblCellSpacing w:w="0" w:type="dxa"/>
          <w:jc w:val="center"/>
        </w:trPr>
        <w:tc>
          <w:tcPr>
            <w:tcW w:w="0" w:type="auto"/>
            <w:tcBorders>
              <w:top w:val="single" w:sz="1" w:space="0" w:color="000000"/>
              <w:bottom w:val="single" w:sz="1" w:space="0" w:color="000000"/>
            </w:tcBorders>
          </w:tcPr>
          <w:p w14:paraId="437204AE" w14:textId="77777777" w:rsidR="005F6948" w:rsidRDefault="00000000">
            <w:r>
              <w:rPr>
                <w:b/>
              </w:rPr>
              <w:lastRenderedPageBreak/>
              <w:t>Discovery delays</w:t>
            </w:r>
            <w:r>
              <w:rPr>
                <w:rFonts w:eastAsia="Georgia" w:hAnsi="Georgia" w:cs="Georgia"/>
              </w:rPr>
              <w:t xml:space="preserve"> — Business unable to complete qualification within 9–22 months</w:t>
            </w:r>
          </w:p>
        </w:tc>
        <w:tc>
          <w:tcPr>
            <w:tcW w:w="0" w:type="auto"/>
            <w:tcBorders>
              <w:top w:val="single" w:sz="1" w:space="0" w:color="000000"/>
              <w:left w:val="single" w:sz="1" w:space="0" w:color="000000"/>
              <w:bottom w:val="single" w:sz="1" w:space="0" w:color="000000"/>
            </w:tcBorders>
          </w:tcPr>
          <w:p w14:paraId="082A6267" w14:textId="77777777" w:rsidR="005F6948" w:rsidRDefault="00000000">
            <w:r>
              <w:t>High (business impact)</w:t>
            </w:r>
          </w:p>
        </w:tc>
        <w:tc>
          <w:tcPr>
            <w:tcW w:w="0" w:type="auto"/>
            <w:tcBorders>
              <w:top w:val="single" w:sz="1" w:space="0" w:color="000000"/>
              <w:left w:val="single" w:sz="1" w:space="0" w:color="000000"/>
              <w:bottom w:val="single" w:sz="1" w:space="0" w:color="000000"/>
            </w:tcBorders>
          </w:tcPr>
          <w:p w14:paraId="5D0DBF11" w14:textId="77777777" w:rsidR="005F6948" w:rsidRDefault="00000000">
            <w:r>
              <w:t>Medium</w:t>
            </w:r>
          </w:p>
        </w:tc>
        <w:tc>
          <w:tcPr>
            <w:tcW w:w="0" w:type="auto"/>
            <w:tcBorders>
              <w:top w:val="single" w:sz="1" w:space="0" w:color="000000"/>
              <w:left w:val="single" w:sz="1" w:space="0" w:color="000000"/>
              <w:bottom w:val="single" w:sz="1" w:space="0" w:color="000000"/>
            </w:tcBorders>
          </w:tcPr>
          <w:p w14:paraId="7367CB1C" w14:textId="77777777" w:rsidR="005F6948" w:rsidRDefault="00000000">
            <w:r>
              <w:rPr>
                <w:rFonts w:eastAsia="Georgia" w:hAnsi="Georgia" w:cs="Georgia"/>
              </w:rPr>
              <w:t>Prioritize high‑value/high‑risk connections; accept phased onboarding if necessary</w:t>
            </w:r>
          </w:p>
        </w:tc>
      </w:tr>
      <w:tr w:rsidR="005F6948" w14:paraId="6A2FECE6" w14:textId="77777777">
        <w:trPr>
          <w:cantSplit/>
          <w:tblCellSpacing w:w="0" w:type="dxa"/>
          <w:jc w:val="center"/>
        </w:trPr>
        <w:tc>
          <w:tcPr>
            <w:tcW w:w="0" w:type="auto"/>
            <w:tcBorders>
              <w:top w:val="single" w:sz="1" w:space="0" w:color="000000"/>
              <w:bottom w:val="single" w:sz="1" w:space="0" w:color="000000"/>
            </w:tcBorders>
          </w:tcPr>
          <w:p w14:paraId="2F68EA1B" w14:textId="77777777" w:rsidR="005F6948" w:rsidRDefault="00000000">
            <w:r>
              <w:rPr>
                <w:b/>
              </w:rPr>
              <w:t>NAT asymmetry</w:t>
            </w:r>
            <w:r>
              <w:rPr>
                <w:rFonts w:eastAsia="Georgia" w:hAnsi="Georgia" w:cs="Georgia"/>
              </w:rPr>
              <w:t xml:space="preserve"> — Inbound/outbound flows traverse different paths due to routing inconsistencies</w:t>
            </w:r>
          </w:p>
        </w:tc>
        <w:tc>
          <w:tcPr>
            <w:tcW w:w="0" w:type="auto"/>
            <w:tcBorders>
              <w:top w:val="single" w:sz="1" w:space="0" w:color="000000"/>
              <w:left w:val="single" w:sz="1" w:space="0" w:color="000000"/>
              <w:bottom w:val="single" w:sz="1" w:space="0" w:color="000000"/>
            </w:tcBorders>
          </w:tcPr>
          <w:p w14:paraId="66E9CE2C" w14:textId="77777777" w:rsidR="005F6948" w:rsidRDefault="00000000">
            <w:r>
              <w:t>Medium (application breakage)</w:t>
            </w:r>
          </w:p>
        </w:tc>
        <w:tc>
          <w:tcPr>
            <w:tcW w:w="0" w:type="auto"/>
            <w:tcBorders>
              <w:top w:val="single" w:sz="1" w:space="0" w:color="000000"/>
              <w:left w:val="single" w:sz="1" w:space="0" w:color="000000"/>
              <w:bottom w:val="single" w:sz="1" w:space="0" w:color="000000"/>
            </w:tcBorders>
          </w:tcPr>
          <w:p w14:paraId="329748F3" w14:textId="77777777" w:rsidR="005F6948" w:rsidRDefault="00000000">
            <w:r>
              <w:t>Low</w:t>
            </w:r>
          </w:p>
        </w:tc>
        <w:tc>
          <w:tcPr>
            <w:tcW w:w="0" w:type="auto"/>
            <w:tcBorders>
              <w:top w:val="single" w:sz="1" w:space="0" w:color="000000"/>
              <w:left w:val="single" w:sz="1" w:space="0" w:color="000000"/>
              <w:bottom w:val="single" w:sz="1" w:space="0" w:color="000000"/>
            </w:tcBorders>
          </w:tcPr>
          <w:p w14:paraId="70D65962" w14:textId="77777777" w:rsidR="005F6948" w:rsidRDefault="00000000">
            <w:r>
              <w:rPr>
                <w:rFonts w:eastAsia="Georgia" w:hAnsi="Georgia" w:cs="Georgia"/>
              </w:rPr>
              <w:t>Summarize SNAT blocks at edge only; enforce symmetric routing via BGP local‑pref or communities</w:t>
            </w:r>
          </w:p>
        </w:tc>
      </w:tr>
      <w:tr w:rsidR="005F6948" w14:paraId="49EE5090" w14:textId="77777777">
        <w:trPr>
          <w:cantSplit/>
          <w:tblCellSpacing w:w="0" w:type="dxa"/>
          <w:jc w:val="center"/>
        </w:trPr>
        <w:tc>
          <w:tcPr>
            <w:tcW w:w="0" w:type="auto"/>
            <w:tcBorders>
              <w:top w:val="single" w:sz="1" w:space="0" w:color="000000"/>
              <w:bottom w:val="single" w:sz="1" w:space="0" w:color="000000"/>
            </w:tcBorders>
          </w:tcPr>
          <w:p w14:paraId="4BA02DC3" w14:textId="77777777" w:rsidR="005F6948" w:rsidRDefault="00000000">
            <w:r>
              <w:rPr>
                <w:b/>
              </w:rPr>
              <w:t>Platform migration disruption</w:t>
            </w:r>
            <w:r>
              <w:rPr>
                <w:rFonts w:eastAsia="Georgia" w:hAnsi="Georgia" w:cs="Georgia"/>
              </w:rPr>
              <w:t xml:space="preserve"> — Transition from IPsec to dual‑proxy mediation causes service interruption</w:t>
            </w:r>
          </w:p>
        </w:tc>
        <w:tc>
          <w:tcPr>
            <w:tcW w:w="0" w:type="auto"/>
            <w:tcBorders>
              <w:top w:val="single" w:sz="1" w:space="0" w:color="000000"/>
              <w:left w:val="single" w:sz="1" w:space="0" w:color="000000"/>
              <w:bottom w:val="single" w:sz="1" w:space="0" w:color="000000"/>
            </w:tcBorders>
          </w:tcPr>
          <w:p w14:paraId="5B08757E" w14:textId="77777777" w:rsidR="005F6948" w:rsidRDefault="00000000">
            <w:r>
              <w:t>High (business continuity)</w:t>
            </w:r>
          </w:p>
        </w:tc>
        <w:tc>
          <w:tcPr>
            <w:tcW w:w="0" w:type="auto"/>
            <w:tcBorders>
              <w:top w:val="single" w:sz="1" w:space="0" w:color="000000"/>
              <w:left w:val="single" w:sz="1" w:space="0" w:color="000000"/>
              <w:bottom w:val="single" w:sz="1" w:space="0" w:color="000000"/>
            </w:tcBorders>
          </w:tcPr>
          <w:p w14:paraId="6E9052F0" w14:textId="77777777" w:rsidR="005F6948" w:rsidRDefault="00000000">
            <w:r>
              <w:t>Low</w:t>
            </w:r>
          </w:p>
        </w:tc>
        <w:tc>
          <w:tcPr>
            <w:tcW w:w="0" w:type="auto"/>
            <w:tcBorders>
              <w:top w:val="single" w:sz="1" w:space="0" w:color="000000"/>
              <w:left w:val="single" w:sz="1" w:space="0" w:color="000000"/>
              <w:bottom w:val="single" w:sz="1" w:space="0" w:color="000000"/>
            </w:tcBorders>
          </w:tcPr>
          <w:p w14:paraId="31CABE2B" w14:textId="77777777" w:rsidR="005F6948" w:rsidRDefault="00000000">
            <w:r>
              <w:rPr>
                <w:rFonts w:eastAsia="Georgia" w:hAnsi="Georgia" w:cs="Georgia"/>
              </w:rPr>
              <w:t>Incremental migration in cohorts; maintain IPsec as fallback; pilot with low‑risk Tenants first</w:t>
            </w:r>
          </w:p>
        </w:tc>
      </w:tr>
    </w:tbl>
    <w:p w14:paraId="56956F17" w14:textId="77777777" w:rsidR="005F6948" w:rsidRDefault="005F6948"/>
    <w:p w14:paraId="3DD3A9D6" w14:textId="77777777" w:rsidR="005F6948" w:rsidRDefault="00132649">
      <w:r>
        <w:rPr>
          <w:noProof/>
        </w:rPr>
        <w:pict w14:anchorId="3370557E">
          <v:rect id="_x0000_i1026" alt="" style="width:434.5pt;height:.05pt;mso-width-percent:0;mso-height-percent:0;mso-width-percent:0;mso-height-percent:0" o:hralign="center" o:hrstd="t" o:hr="t"/>
        </w:pict>
      </w:r>
    </w:p>
    <w:p w14:paraId="7C274078" w14:textId="77777777" w:rsidR="005F6948" w:rsidRDefault="00000000">
      <w:pPr>
        <w:spacing w:before="240" w:line="271" w:lineRule="auto"/>
      </w:pPr>
      <w:bookmarkStart w:id="42" w:name="part_viii_strategic_value_and_bus_ae8b3d"/>
      <w:r>
        <w:rPr>
          <w:b/>
          <w:sz w:val="42"/>
        </w:rPr>
        <w:t>Part VIII: Strategic Value and Business Outcomes</w:t>
      </w:r>
      <w:bookmarkEnd w:id="42"/>
    </w:p>
    <w:p w14:paraId="08E1319C" w14:textId="77777777" w:rsidR="005F6948" w:rsidRDefault="00000000">
      <w:pPr>
        <w:spacing w:before="240" w:line="271" w:lineRule="auto"/>
      </w:pPr>
      <w:bookmarkStart w:id="43" w:name="immediate_business_enablers"/>
      <w:r>
        <w:rPr>
          <w:b/>
          <w:sz w:val="33"/>
        </w:rPr>
        <w:t>Immediate Business Enablers</w:t>
      </w:r>
      <w:bookmarkEnd w:id="43"/>
    </w:p>
    <w:p w14:paraId="4238E472" w14:textId="77777777" w:rsidR="005F6948" w:rsidRDefault="00000000">
      <w:pPr>
        <w:spacing w:after="210"/>
      </w:pPr>
      <w:r>
        <w:rPr>
          <w:b/>
        </w:rPr>
        <w:t>Onboarding velocity</w:t>
      </w:r>
      <w:r>
        <w:rPr>
          <w:rFonts w:eastAsia="Georgia" w:hAnsi="Georgia" w:cs="Georgia"/>
        </w:rPr>
        <w:t xml:space="preserve"> — The platform removes technical provisioning as a bottleneck, allowing the business to onboard third parties as fast as discovery and qualification can sustain.</w:t>
      </w:r>
    </w:p>
    <w:p w14:paraId="1BA0BACA" w14:textId="77777777" w:rsidR="005F6948" w:rsidRDefault="00000000">
      <w:pPr>
        <w:spacing w:after="210"/>
      </w:pPr>
      <w:r>
        <w:rPr>
          <w:b/>
        </w:rPr>
        <w:t>Risk reduction</w:t>
      </w:r>
      <w:r>
        <w:rPr>
          <w:rFonts w:eastAsia="Georgia" w:hAnsi="Georgia" w:cs="Georgia"/>
        </w:rPr>
        <w:t xml:space="preserve"> — Structural containment (multi‑VSYS, VR isolation) limits blast radius and prevents lateral movement, reducing exposure even during the high‑velocity onboarding period.</w:t>
      </w:r>
    </w:p>
    <w:p w14:paraId="002A94E7" w14:textId="77777777" w:rsidR="005F6948" w:rsidRDefault="00000000">
      <w:pPr>
        <w:spacing w:after="210"/>
      </w:pPr>
      <w:r>
        <w:rPr>
          <w:b/>
        </w:rPr>
        <w:t>Audit readiness</w:t>
      </w:r>
      <w:r>
        <w:rPr>
          <w:rFonts w:eastAsia="Georgia" w:hAnsi="Georgia" w:cs="Georgia"/>
        </w:rPr>
        <w:t xml:space="preserve"> — Per‑tunnel SNAT identity and SIEM integration provide deterministic audit trails, supporting compliance with regulatory requirements (SOX, GDPR, PCI‑DSS, HIPAA).</w:t>
      </w:r>
    </w:p>
    <w:p w14:paraId="7C9F1A43" w14:textId="77777777" w:rsidR="005F6948" w:rsidRDefault="00000000">
      <w:pPr>
        <w:spacing w:after="210"/>
      </w:pPr>
      <w:r>
        <w:rPr>
          <w:b/>
        </w:rPr>
        <w:t>Operational predictability</w:t>
      </w:r>
      <w:r>
        <w:rPr>
          <w:rFonts w:eastAsia="Georgia" w:hAnsi="Georgia" w:cs="Georgia"/>
        </w:rPr>
        <w:t xml:space="preserve"> — Panorama templating and runbooks standardize provisioning, reducing human error and improving mean time to onboard.</w:t>
      </w:r>
    </w:p>
    <w:p w14:paraId="7EBF6CF4" w14:textId="77777777" w:rsidR="005F6948" w:rsidRDefault="00000000">
      <w:pPr>
        <w:spacing w:before="240" w:line="271" w:lineRule="auto"/>
      </w:pPr>
      <w:bookmarkStart w:id="44" w:name="long_term_strategic_positioning"/>
      <w:r>
        <w:rPr>
          <w:rFonts w:eastAsia="Georgia" w:hAnsi="Georgia" w:cs="Georgia"/>
          <w:b/>
          <w:sz w:val="33"/>
        </w:rPr>
        <w:t>Long‑Term Strategic Positioning</w:t>
      </w:r>
      <w:bookmarkEnd w:id="44"/>
    </w:p>
    <w:p w14:paraId="10C3DB88" w14:textId="77777777" w:rsidR="005F6948" w:rsidRDefault="00000000">
      <w:pPr>
        <w:spacing w:after="210"/>
      </w:pPr>
      <w:r>
        <w:rPr>
          <w:b/>
        </w:rPr>
        <w:t>Governed transition path</w:t>
      </w:r>
      <w:r>
        <w:rPr>
          <w:rFonts w:eastAsia="Georgia" w:hAnsi="Georgia" w:cs="Georgia"/>
        </w:rPr>
        <w:t xml:space="preserve"> — The platform establishes structural foundations (isolation, deterministic teardown) that enable incremental migration to the target portal‑driven model without rearchitecture.</w:t>
      </w:r>
    </w:p>
    <w:p w14:paraId="44C9B2DE" w14:textId="77777777" w:rsidR="005F6948" w:rsidRDefault="00000000">
      <w:pPr>
        <w:spacing w:after="210"/>
      </w:pPr>
      <w:r>
        <w:rPr>
          <w:b/>
        </w:rPr>
        <w:t>Lifecycle discipline enforcement</w:t>
      </w:r>
      <w:r>
        <w:rPr>
          <w:rFonts w:eastAsia="Georgia" w:hAnsi="Georgia" w:cs="Georgia"/>
        </w:rPr>
        <w:t xml:space="preserve"> — By mapping tunnels to Tenant constructs (Phase 2), the enterprise shifts from "tunnels that persist forever" to "exposure domains with defined lifecycles," addressing the historical accumulation problem.</w:t>
      </w:r>
    </w:p>
    <w:p w14:paraId="08DFCCE9" w14:textId="77777777" w:rsidR="005F6948" w:rsidRDefault="00000000">
      <w:pPr>
        <w:spacing w:after="210"/>
      </w:pPr>
      <w:r>
        <w:rPr>
          <w:b/>
        </w:rPr>
        <w:lastRenderedPageBreak/>
        <w:t>Organizational learning</w:t>
      </w:r>
      <w:r>
        <w:rPr>
          <w:rFonts w:eastAsia="Georgia" w:hAnsi="Georgia" w:cs="Georgia"/>
        </w:rPr>
        <w:t xml:space="preserve"> — The discovery/qualification process (even if manual) forces business teams to document ownership, justify connectivity, and engage with governance workflows, building organizational muscle for the target operating model.</w:t>
      </w:r>
    </w:p>
    <w:p w14:paraId="0CC4CD75" w14:textId="77777777" w:rsidR="005F6948" w:rsidRDefault="00000000">
      <w:pPr>
        <w:spacing w:after="210"/>
      </w:pPr>
      <w:r>
        <w:rPr>
          <w:b/>
        </w:rPr>
        <w:t>Technology flexibility</w:t>
      </w:r>
      <w:r>
        <w:rPr>
          <w:rFonts w:eastAsia="Georgia" w:hAnsi="Georgia" w:cs="Georgia"/>
        </w:rPr>
        <w:t xml:space="preserve"> — The portal's product‑agnostic separation means the IPsec platform can evolve (add mediation, enhance identity enforcement, integrate new protocols) without changing the business interface or requiring business retraining.</w:t>
      </w:r>
    </w:p>
    <w:p w14:paraId="750AA791" w14:textId="77777777" w:rsidR="005F6948" w:rsidRDefault="00000000">
      <w:pPr>
        <w:spacing w:before="240" w:line="271" w:lineRule="auto"/>
      </w:pPr>
      <w:bookmarkStart w:id="45" w:name="comparison_to_alternative_approaches"/>
      <w:r>
        <w:rPr>
          <w:b/>
          <w:sz w:val="33"/>
        </w:rPr>
        <w:t>Comparison to Alternative Approaches</w:t>
      </w:r>
      <w:bookmarkEnd w:id="45"/>
    </w:p>
    <w:p w14:paraId="34CB4A01" w14:textId="77777777" w:rsidR="005F6948" w:rsidRDefault="00000000">
      <w:pPr>
        <w:spacing w:after="210"/>
      </w:pPr>
      <w:r>
        <w:rPr>
          <w:b/>
        </w:rPr>
        <w:t>Alternative 1: "Wait for the portal"</w:t>
      </w:r>
      <w:r>
        <w:rPr>
          <w:rFonts w:eastAsia="Georgia" w:hAnsi="Georgia" w:cs="Georgia"/>
        </w:rPr>
        <w:t xml:space="preserve"> — Delay onboarding until the vendor‑agnostic portal is fully built. </w:t>
      </w:r>
      <w:r>
        <w:rPr>
          <w:b/>
        </w:rPr>
        <w:t>Consequence:</w:t>
      </w:r>
      <w:r>
        <w:rPr>
          <w:rFonts w:eastAsia="Georgia" w:hAnsi="Georgia" w:cs="Georgia"/>
        </w:rPr>
        <w:t xml:space="preserve"> Business blocked for 2–3 years, missing onboarding window, accumulating shadow IT.</w:t>
      </w:r>
    </w:p>
    <w:p w14:paraId="75E2EA97" w14:textId="77777777" w:rsidR="005F6948" w:rsidRDefault="00000000">
      <w:pPr>
        <w:spacing w:after="210"/>
      </w:pPr>
      <w:r>
        <w:rPr>
          <w:b/>
        </w:rPr>
        <w:t>Alternative 2: "Point</w:t>
      </w:r>
      <w:r>
        <w:rPr>
          <w:b/>
        </w:rPr>
        <w:t>‑</w:t>
      </w:r>
      <w:r>
        <w:rPr>
          <w:b/>
        </w:rPr>
        <w:t>to</w:t>
      </w:r>
      <w:r>
        <w:rPr>
          <w:b/>
        </w:rPr>
        <w:t>‑</w:t>
      </w:r>
      <w:r>
        <w:rPr>
          <w:b/>
        </w:rPr>
        <w:t>point VPNs"</w:t>
      </w:r>
      <w:r>
        <w:rPr>
          <w:rFonts w:eastAsia="Georgia" w:hAnsi="Georgia" w:cs="Georgia"/>
        </w:rPr>
        <w:t xml:space="preserve"> — Continue ad‑hoc VPN provisioning without structural containment. </w:t>
      </w:r>
      <w:r>
        <w:rPr>
          <w:b/>
        </w:rPr>
        <w:t>Consequence:</w:t>
      </w:r>
      <w:r>
        <w:t xml:space="preserve"> Connectivity sprawl, no governance, high technical debt, eventual rearchitecture required anyway.</w:t>
      </w:r>
    </w:p>
    <w:p w14:paraId="1D4EA815" w14:textId="77777777" w:rsidR="005F6948" w:rsidRDefault="00000000">
      <w:pPr>
        <w:spacing w:after="210"/>
      </w:pPr>
      <w:r>
        <w:rPr>
          <w:b/>
        </w:rPr>
        <w:t>Alternative 3: "Full dual</w:t>
      </w:r>
      <w:r>
        <w:rPr>
          <w:b/>
        </w:rPr>
        <w:t>‑</w:t>
      </w:r>
      <w:r>
        <w:rPr>
          <w:b/>
        </w:rPr>
        <w:t>proxy from day one"</w:t>
      </w:r>
      <w:r>
        <w:rPr>
          <w:rFonts w:eastAsia="Georgia" w:hAnsi="Georgia" w:cs="Georgia"/>
        </w:rPr>
        <w:t xml:space="preserve"> — Deploy complete governed exposure infrastructure (portal, catalog, dual‑proxy, identity enforcement) immediately. </w:t>
      </w:r>
      <w:r>
        <w:rPr>
          <w:b/>
        </w:rPr>
        <w:t>Consequence:</w:t>
      </w:r>
      <w:r>
        <w:rPr>
          <w:rFonts w:eastAsia="Georgia" w:hAnsi="Georgia" w:cs="Georgia"/>
        </w:rPr>
        <w:t xml:space="preserve"> 2–3 year buildout timeline, business blocked during construction, high risk of scope creep.</w:t>
      </w:r>
    </w:p>
    <w:p w14:paraId="6D92DF9B" w14:textId="77777777" w:rsidR="005F6948" w:rsidRDefault="00000000">
      <w:pPr>
        <w:spacing w:after="210"/>
      </w:pPr>
      <w:r>
        <w:rPr>
          <w:b/>
        </w:rPr>
        <w:t>Chosen approach:</w:t>
      </w:r>
      <w:r>
        <w:t xml:space="preserve"> Deploy IPsec service edge immediately to absorb onboarding surge, establish structural foundations, and migrate incrementally to governed model as portal matures. </w:t>
      </w:r>
      <w:r>
        <w:rPr>
          <w:b/>
        </w:rPr>
        <w:t>Outcome:</w:t>
      </w:r>
      <w:r>
        <w:rPr>
          <w:rFonts w:eastAsia="Georgia" w:hAnsi="Georgia" w:cs="Georgia"/>
        </w:rPr>
        <w:t xml:space="preserve"> Business unblocked, technical debt minimized, long‑term vision preserved.</w:t>
      </w:r>
    </w:p>
    <w:p w14:paraId="36991D11" w14:textId="77777777" w:rsidR="005F6948" w:rsidRDefault="00132649">
      <w:r>
        <w:rPr>
          <w:noProof/>
        </w:rPr>
        <w:pict w14:anchorId="228F7652">
          <v:rect id="_x0000_i1025" alt="" style="width:434.5pt;height:.05pt;mso-width-percent:0;mso-height-percent:0;mso-width-percent:0;mso-height-percent:0" o:hralign="center" o:hrstd="t" o:hr="t"/>
        </w:pict>
      </w:r>
    </w:p>
    <w:p w14:paraId="2AFCF469" w14:textId="77777777" w:rsidR="005F6948" w:rsidRDefault="00000000">
      <w:pPr>
        <w:spacing w:before="240" w:line="271" w:lineRule="auto"/>
      </w:pPr>
      <w:bookmarkStart w:id="46" w:name="conclusion_a_pragmatic_path_forward"/>
      <w:r>
        <w:rPr>
          <w:b/>
          <w:sz w:val="42"/>
        </w:rPr>
        <w:t>Conclusion: A Pragmatic Path Forward</w:t>
      </w:r>
      <w:bookmarkEnd w:id="46"/>
    </w:p>
    <w:p w14:paraId="453934D0" w14:textId="77777777" w:rsidR="005F6948" w:rsidRDefault="00000000">
      <w:pPr>
        <w:spacing w:after="210"/>
      </w:pPr>
      <w:r>
        <w:t xml:space="preserve">The enterprise faces a structural challenge: </w:t>
      </w:r>
      <w:r>
        <w:rPr>
          <w:b/>
        </w:rPr>
        <w:t>500+ third</w:t>
      </w:r>
      <w:r>
        <w:rPr>
          <w:b/>
        </w:rPr>
        <w:t>‑</w:t>
      </w:r>
      <w:r>
        <w:rPr>
          <w:b/>
        </w:rPr>
        <w:t>party connections must be discovered, qualified, and onboarded within 9</w:t>
      </w:r>
      <w:r>
        <w:rPr>
          <w:b/>
        </w:rPr>
        <w:t>–</w:t>
      </w:r>
      <w:r>
        <w:rPr>
          <w:b/>
        </w:rPr>
        <w:t>22 months</w:t>
      </w:r>
      <w:r>
        <w:rPr>
          <w:rFonts w:eastAsia="Georgia" w:hAnsi="Georgia" w:cs="Georgia"/>
        </w:rPr>
        <w:t>, with this cycle repeating three more times over five years. The long‑term vision—a vendor‑agnostic, portal‑driven, governed exposure platform—is architecturally sound, but it cannot be delivered in time to meet the immediate need.</w:t>
      </w:r>
    </w:p>
    <w:p w14:paraId="3EABF325" w14:textId="77777777" w:rsidR="005F6948" w:rsidRDefault="00000000">
      <w:pPr>
        <w:spacing w:after="210"/>
      </w:pPr>
      <w:r>
        <w:rPr>
          <w:rFonts w:eastAsia="Georgia" w:hAnsi="Georgia" w:cs="Georgia"/>
        </w:rPr>
        <w:t xml:space="preserve">The multi‑VSYS IPsec service edge is a </w:t>
      </w:r>
      <w:r>
        <w:rPr>
          <w:b/>
        </w:rPr>
        <w:t>transition architecture</w:t>
      </w:r>
      <w:r>
        <w:t xml:space="preserve"> that:</w:t>
      </w:r>
    </w:p>
    <w:p w14:paraId="659B9547" w14:textId="77777777" w:rsidR="005F6948" w:rsidRDefault="00000000">
      <w:pPr>
        <w:numPr>
          <w:ilvl w:val="0"/>
          <w:numId w:val="23"/>
        </w:numPr>
      </w:pPr>
      <w:r>
        <w:rPr>
          <w:b/>
        </w:rPr>
        <w:t>Solves the immediate scale crisis</w:t>
      </w:r>
      <w:r>
        <w:rPr>
          <w:rFonts w:eastAsia="Georgia" w:hAnsi="Georgia" w:cs="Georgia"/>
        </w:rPr>
        <w:t xml:space="preserve"> — Supports 500+ tunnels with rapid onboarding velocity, structural containment, and per‑tunnel observability</w:t>
      </w:r>
    </w:p>
    <w:p w14:paraId="1CBA9F89" w14:textId="77777777" w:rsidR="005F6948" w:rsidRDefault="00000000">
      <w:pPr>
        <w:numPr>
          <w:ilvl w:val="0"/>
          <w:numId w:val="23"/>
        </w:numPr>
      </w:pPr>
      <w:r>
        <w:rPr>
          <w:b/>
        </w:rPr>
        <w:t>Absorbs discovery at human pace</w:t>
      </w:r>
      <w:r>
        <w:rPr>
          <w:rFonts w:eastAsia="Georgia" w:hAnsi="Georgia" w:cs="Georgia"/>
        </w:rPr>
        <w:t xml:space="preserve"> — Provides technical capacity to onboard connections as fast as business teams can qualify them, recognizing that manual discovery (interviews, traffic inspection, ownership determination) remains a hard requirement</w:t>
      </w:r>
    </w:p>
    <w:p w14:paraId="3E86FCF9" w14:textId="77777777" w:rsidR="005F6948" w:rsidRDefault="00000000">
      <w:pPr>
        <w:numPr>
          <w:ilvl w:val="0"/>
          <w:numId w:val="23"/>
        </w:numPr>
      </w:pPr>
      <w:r>
        <w:rPr>
          <w:b/>
        </w:rPr>
        <w:t>Establishes migration foundations</w:t>
      </w:r>
      <w:r>
        <w:rPr>
          <w:rFonts w:eastAsia="Georgia" w:hAnsi="Georgia" w:cs="Georgia"/>
        </w:rPr>
        <w:t xml:space="preserve"> — Delivers structural isolation, deterministic lifecycle management, and operational discipline that enable incremental transition to the target governed model</w:t>
      </w:r>
    </w:p>
    <w:p w14:paraId="5BA3AAC1" w14:textId="77777777" w:rsidR="005F6948" w:rsidRDefault="00000000">
      <w:pPr>
        <w:numPr>
          <w:ilvl w:val="0"/>
          <w:numId w:val="23"/>
        </w:numPr>
      </w:pPr>
      <w:r>
        <w:rPr>
          <w:b/>
        </w:rPr>
        <w:t>Preserves long</w:t>
      </w:r>
      <w:r>
        <w:rPr>
          <w:b/>
        </w:rPr>
        <w:t>‑</w:t>
      </w:r>
      <w:r>
        <w:rPr>
          <w:b/>
        </w:rPr>
        <w:t>term vision</w:t>
      </w:r>
      <w:r>
        <w:rPr>
          <w:rFonts w:eastAsia="Georgia" w:hAnsi="Georgia" w:cs="Georgia"/>
        </w:rPr>
        <w:t xml:space="preserve"> — Positions for portal deployment, service catalog formalization, and mediation enhancement without requiring rearchitecture</w:t>
      </w:r>
    </w:p>
    <w:p w14:paraId="30DAA733" w14:textId="77777777" w:rsidR="005F6948" w:rsidRDefault="00000000">
      <w:pPr>
        <w:spacing w:after="210"/>
      </w:pPr>
      <w:r>
        <w:rPr>
          <w:b/>
        </w:rPr>
        <w:lastRenderedPageBreak/>
        <w:t>The critical insight:</w:t>
      </w:r>
      <w:r>
        <w:rPr>
          <w:rFonts w:eastAsia="Georgia" w:hAnsi="Georgia" w:cs="Georgia"/>
        </w:rPr>
        <w:t xml:space="preserve"> The vendor‑agnostic portal will not eliminate the discovery burden—it will streamline provisioning once requirements are clear. The network platform's job is to </w:t>
      </w:r>
      <w:r>
        <w:rPr>
          <w:b/>
        </w:rPr>
        <w:t>absorb scale quickly</w:t>
      </w:r>
      <w:r>
        <w:rPr>
          <w:rFonts w:eastAsia="Georgia" w:hAnsi="Georgia" w:cs="Georgia"/>
        </w:rPr>
        <w:t xml:space="preserve"> while the business completes its governance work. By deploying the IPsec service edge now and migrating incrementally toward the governed exposure model over 3–5 years, the enterprise can meet both immediate operational needs and long‑term strategic objectives.</w:t>
      </w:r>
    </w:p>
    <w:p w14:paraId="4F4D1762" w14:textId="77777777" w:rsidR="005F6948" w:rsidRDefault="00000000">
      <w:pPr>
        <w:spacing w:after="210"/>
      </w:pPr>
      <w:r>
        <w:t xml:space="preserve">This is not a choice between "network solution" and "governed solution." It is a </w:t>
      </w:r>
      <w:r>
        <w:rPr>
          <w:b/>
        </w:rPr>
        <w:t>phased delivery strategy</w:t>
      </w:r>
      <w:r>
        <w:t xml:space="preserve"> that recognizes the reality of organizational constraints (discovery timelines, portal development cycles, business learning curves) and delivers value at each phase while building toward the ultimate vision.</w:t>
      </w:r>
    </w:p>
    <w:sectPr w:rsidR="005F6948">
      <w:headerReference w:type="even" r:id="rId7"/>
      <w:headerReference w:type="default" r:id="rId8"/>
      <w:footerReference w:type="even" r:id="rId9"/>
      <w:footerReference w:type="default" r:id="rId10"/>
      <w:headerReference w:type="first" r:id="rId11"/>
      <w:footerReference w:type="first" r:id="rId12"/>
      <w:pgSz w:w="12240" w:h="15840"/>
      <w:pgMar w:top="1415" w:right="1775" w:bottom="1415" w:left="17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AF851" w14:textId="77777777" w:rsidR="00132649" w:rsidRDefault="00132649" w:rsidP="008400BA">
      <w:pPr>
        <w:spacing w:after="0" w:line="240" w:lineRule="auto"/>
      </w:pPr>
      <w:r>
        <w:separator/>
      </w:r>
    </w:p>
  </w:endnote>
  <w:endnote w:type="continuationSeparator" w:id="0">
    <w:p w14:paraId="492D9D39" w14:textId="77777777" w:rsidR="00132649" w:rsidRDefault="00132649" w:rsidP="00840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roman"/>
    <w:pitch w:val="default"/>
  </w:font>
  <w:font w:name="Menlo">
    <w:altName w:val="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FD558" w14:textId="77777777" w:rsidR="008400BA" w:rsidRDefault="008400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B40F7" w14:textId="77777777" w:rsidR="008400BA" w:rsidRDefault="008400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3D5A5" w14:textId="77777777" w:rsidR="008400BA" w:rsidRDefault="008400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E915B" w14:textId="77777777" w:rsidR="00132649" w:rsidRDefault="00132649" w:rsidP="008400BA">
      <w:pPr>
        <w:spacing w:after="0" w:line="240" w:lineRule="auto"/>
      </w:pPr>
      <w:r>
        <w:separator/>
      </w:r>
    </w:p>
  </w:footnote>
  <w:footnote w:type="continuationSeparator" w:id="0">
    <w:p w14:paraId="46AD9E3F" w14:textId="77777777" w:rsidR="00132649" w:rsidRDefault="00132649" w:rsidP="008400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EAB42" w14:textId="77777777" w:rsidR="008400BA" w:rsidRDefault="008400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D3A22" w14:textId="77777777" w:rsidR="008400BA" w:rsidRDefault="008400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CEAC9" w14:textId="77777777" w:rsidR="008400BA" w:rsidRDefault="008400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6BA"/>
    <w:multiLevelType w:val="hybridMultilevel"/>
    <w:tmpl w:val="CB68E8BE"/>
    <w:lvl w:ilvl="0" w:tplc="74A44D20">
      <w:start w:val="1"/>
      <w:numFmt w:val="decimal"/>
      <w:lvlText w:val="%1."/>
      <w:lvlJc w:val="left"/>
      <w:pPr>
        <w:tabs>
          <w:tab w:val="num" w:pos="1080"/>
        </w:tabs>
        <w:ind w:left="720" w:hanging="360"/>
      </w:pPr>
    </w:lvl>
    <w:lvl w:ilvl="1" w:tplc="47700F04">
      <w:numFmt w:val="decimal"/>
      <w:lvlText w:val=""/>
      <w:lvlJc w:val="left"/>
    </w:lvl>
    <w:lvl w:ilvl="2" w:tplc="7314341E">
      <w:numFmt w:val="decimal"/>
      <w:lvlText w:val=""/>
      <w:lvlJc w:val="left"/>
    </w:lvl>
    <w:lvl w:ilvl="3" w:tplc="EB9AF9C0">
      <w:numFmt w:val="decimal"/>
      <w:lvlText w:val=""/>
      <w:lvlJc w:val="left"/>
    </w:lvl>
    <w:lvl w:ilvl="4" w:tplc="E1EA66EC">
      <w:numFmt w:val="decimal"/>
      <w:lvlText w:val=""/>
      <w:lvlJc w:val="left"/>
    </w:lvl>
    <w:lvl w:ilvl="5" w:tplc="F1501B30">
      <w:numFmt w:val="decimal"/>
      <w:lvlText w:val=""/>
      <w:lvlJc w:val="left"/>
    </w:lvl>
    <w:lvl w:ilvl="6" w:tplc="4ADC3342">
      <w:numFmt w:val="decimal"/>
      <w:lvlText w:val=""/>
      <w:lvlJc w:val="left"/>
    </w:lvl>
    <w:lvl w:ilvl="7" w:tplc="C7EC3526">
      <w:numFmt w:val="decimal"/>
      <w:lvlText w:val=""/>
      <w:lvlJc w:val="left"/>
    </w:lvl>
    <w:lvl w:ilvl="8" w:tplc="642A1738">
      <w:numFmt w:val="decimal"/>
      <w:lvlText w:val=""/>
      <w:lvlJc w:val="left"/>
    </w:lvl>
  </w:abstractNum>
  <w:abstractNum w:abstractNumId="1" w15:restartNumberingAfterBreak="0">
    <w:nsid w:val="00C3668A"/>
    <w:multiLevelType w:val="hybridMultilevel"/>
    <w:tmpl w:val="F802F550"/>
    <w:lvl w:ilvl="0" w:tplc="B1FEE44A">
      <w:start w:val="1"/>
      <w:numFmt w:val="bullet"/>
      <w:lvlText w:val=""/>
      <w:lvlJc w:val="left"/>
      <w:pPr>
        <w:tabs>
          <w:tab w:val="num" w:pos="1080"/>
        </w:tabs>
        <w:ind w:left="720" w:hanging="360"/>
      </w:pPr>
      <w:rPr>
        <w:rFonts w:ascii="Symbol" w:hAnsi="Symbol" w:hint="default"/>
      </w:rPr>
    </w:lvl>
    <w:lvl w:ilvl="1" w:tplc="7A2697C4">
      <w:numFmt w:val="decimal"/>
      <w:lvlText w:val=""/>
      <w:lvlJc w:val="left"/>
    </w:lvl>
    <w:lvl w:ilvl="2" w:tplc="C41025E8">
      <w:numFmt w:val="decimal"/>
      <w:lvlText w:val=""/>
      <w:lvlJc w:val="left"/>
    </w:lvl>
    <w:lvl w:ilvl="3" w:tplc="8AA68F04">
      <w:numFmt w:val="decimal"/>
      <w:lvlText w:val=""/>
      <w:lvlJc w:val="left"/>
    </w:lvl>
    <w:lvl w:ilvl="4" w:tplc="176CD8DA">
      <w:numFmt w:val="decimal"/>
      <w:lvlText w:val=""/>
      <w:lvlJc w:val="left"/>
    </w:lvl>
    <w:lvl w:ilvl="5" w:tplc="B54A63EA">
      <w:numFmt w:val="decimal"/>
      <w:lvlText w:val=""/>
      <w:lvlJc w:val="left"/>
    </w:lvl>
    <w:lvl w:ilvl="6" w:tplc="6164C38E">
      <w:numFmt w:val="decimal"/>
      <w:lvlText w:val=""/>
      <w:lvlJc w:val="left"/>
    </w:lvl>
    <w:lvl w:ilvl="7" w:tplc="B49EA294">
      <w:numFmt w:val="decimal"/>
      <w:lvlText w:val=""/>
      <w:lvlJc w:val="left"/>
    </w:lvl>
    <w:lvl w:ilvl="8" w:tplc="862A959E">
      <w:numFmt w:val="decimal"/>
      <w:lvlText w:val=""/>
      <w:lvlJc w:val="left"/>
    </w:lvl>
  </w:abstractNum>
  <w:abstractNum w:abstractNumId="2" w15:restartNumberingAfterBreak="0">
    <w:nsid w:val="137C2532"/>
    <w:multiLevelType w:val="hybridMultilevel"/>
    <w:tmpl w:val="596A8FA8"/>
    <w:lvl w:ilvl="0" w:tplc="C414DC96">
      <w:start w:val="1"/>
      <w:numFmt w:val="bullet"/>
      <w:lvlText w:val=""/>
      <w:lvlJc w:val="left"/>
      <w:pPr>
        <w:tabs>
          <w:tab w:val="num" w:pos="1080"/>
        </w:tabs>
        <w:ind w:left="720" w:hanging="360"/>
      </w:pPr>
      <w:rPr>
        <w:rFonts w:ascii="Symbol" w:hAnsi="Symbol" w:hint="default"/>
      </w:rPr>
    </w:lvl>
    <w:lvl w:ilvl="1" w:tplc="E6886FF8">
      <w:numFmt w:val="decimal"/>
      <w:lvlText w:val=""/>
      <w:lvlJc w:val="left"/>
    </w:lvl>
    <w:lvl w:ilvl="2" w:tplc="EC3EA59A">
      <w:numFmt w:val="decimal"/>
      <w:lvlText w:val=""/>
      <w:lvlJc w:val="left"/>
    </w:lvl>
    <w:lvl w:ilvl="3" w:tplc="8A544EF6">
      <w:numFmt w:val="decimal"/>
      <w:lvlText w:val=""/>
      <w:lvlJc w:val="left"/>
    </w:lvl>
    <w:lvl w:ilvl="4" w:tplc="9348A664">
      <w:numFmt w:val="decimal"/>
      <w:lvlText w:val=""/>
      <w:lvlJc w:val="left"/>
    </w:lvl>
    <w:lvl w:ilvl="5" w:tplc="C6AC4200">
      <w:numFmt w:val="decimal"/>
      <w:lvlText w:val=""/>
      <w:lvlJc w:val="left"/>
    </w:lvl>
    <w:lvl w:ilvl="6" w:tplc="8DE2975A">
      <w:numFmt w:val="decimal"/>
      <w:lvlText w:val=""/>
      <w:lvlJc w:val="left"/>
    </w:lvl>
    <w:lvl w:ilvl="7" w:tplc="CEC60CC6">
      <w:numFmt w:val="decimal"/>
      <w:lvlText w:val=""/>
      <w:lvlJc w:val="left"/>
    </w:lvl>
    <w:lvl w:ilvl="8" w:tplc="45F8A5FA">
      <w:numFmt w:val="decimal"/>
      <w:lvlText w:val=""/>
      <w:lvlJc w:val="left"/>
    </w:lvl>
  </w:abstractNum>
  <w:abstractNum w:abstractNumId="3" w15:restartNumberingAfterBreak="0">
    <w:nsid w:val="1DA03A14"/>
    <w:multiLevelType w:val="hybridMultilevel"/>
    <w:tmpl w:val="7F4E52F4"/>
    <w:lvl w:ilvl="0" w:tplc="D65631F8">
      <w:start w:val="1"/>
      <w:numFmt w:val="bullet"/>
      <w:lvlText w:val=""/>
      <w:lvlJc w:val="left"/>
      <w:pPr>
        <w:tabs>
          <w:tab w:val="num" w:pos="1080"/>
        </w:tabs>
        <w:ind w:left="720" w:hanging="360"/>
      </w:pPr>
      <w:rPr>
        <w:rFonts w:ascii="Symbol" w:hAnsi="Symbol" w:hint="default"/>
      </w:rPr>
    </w:lvl>
    <w:lvl w:ilvl="1" w:tplc="69404FAC">
      <w:numFmt w:val="decimal"/>
      <w:lvlText w:val=""/>
      <w:lvlJc w:val="left"/>
    </w:lvl>
    <w:lvl w:ilvl="2" w:tplc="EBFE3470">
      <w:numFmt w:val="decimal"/>
      <w:lvlText w:val=""/>
      <w:lvlJc w:val="left"/>
    </w:lvl>
    <w:lvl w:ilvl="3" w:tplc="1C3C748E">
      <w:numFmt w:val="decimal"/>
      <w:lvlText w:val=""/>
      <w:lvlJc w:val="left"/>
    </w:lvl>
    <w:lvl w:ilvl="4" w:tplc="0D70F3CC">
      <w:numFmt w:val="decimal"/>
      <w:lvlText w:val=""/>
      <w:lvlJc w:val="left"/>
    </w:lvl>
    <w:lvl w:ilvl="5" w:tplc="88D619D8">
      <w:numFmt w:val="decimal"/>
      <w:lvlText w:val=""/>
      <w:lvlJc w:val="left"/>
    </w:lvl>
    <w:lvl w:ilvl="6" w:tplc="F12E03AE">
      <w:numFmt w:val="decimal"/>
      <w:lvlText w:val=""/>
      <w:lvlJc w:val="left"/>
    </w:lvl>
    <w:lvl w:ilvl="7" w:tplc="6F847AA6">
      <w:numFmt w:val="decimal"/>
      <w:lvlText w:val=""/>
      <w:lvlJc w:val="left"/>
    </w:lvl>
    <w:lvl w:ilvl="8" w:tplc="99861B22">
      <w:numFmt w:val="decimal"/>
      <w:lvlText w:val=""/>
      <w:lvlJc w:val="left"/>
    </w:lvl>
  </w:abstractNum>
  <w:abstractNum w:abstractNumId="4" w15:restartNumberingAfterBreak="0">
    <w:nsid w:val="21AF7059"/>
    <w:multiLevelType w:val="hybridMultilevel"/>
    <w:tmpl w:val="BB4E27C2"/>
    <w:lvl w:ilvl="0" w:tplc="A3DE220C">
      <w:start w:val="1"/>
      <w:numFmt w:val="decimal"/>
      <w:lvlText w:val="%1."/>
      <w:lvlJc w:val="left"/>
      <w:pPr>
        <w:tabs>
          <w:tab w:val="num" w:pos="1080"/>
        </w:tabs>
        <w:ind w:left="720" w:hanging="360"/>
      </w:pPr>
    </w:lvl>
    <w:lvl w:ilvl="1" w:tplc="AFAA7F0A">
      <w:numFmt w:val="decimal"/>
      <w:lvlText w:val=""/>
      <w:lvlJc w:val="left"/>
    </w:lvl>
    <w:lvl w:ilvl="2" w:tplc="01B26DC0">
      <w:numFmt w:val="decimal"/>
      <w:lvlText w:val=""/>
      <w:lvlJc w:val="left"/>
    </w:lvl>
    <w:lvl w:ilvl="3" w:tplc="E6283B7C">
      <w:numFmt w:val="decimal"/>
      <w:lvlText w:val=""/>
      <w:lvlJc w:val="left"/>
    </w:lvl>
    <w:lvl w:ilvl="4" w:tplc="90E4F352">
      <w:numFmt w:val="decimal"/>
      <w:lvlText w:val=""/>
      <w:lvlJc w:val="left"/>
    </w:lvl>
    <w:lvl w:ilvl="5" w:tplc="58229046">
      <w:numFmt w:val="decimal"/>
      <w:lvlText w:val=""/>
      <w:lvlJc w:val="left"/>
    </w:lvl>
    <w:lvl w:ilvl="6" w:tplc="6164D4D0">
      <w:numFmt w:val="decimal"/>
      <w:lvlText w:val=""/>
      <w:lvlJc w:val="left"/>
    </w:lvl>
    <w:lvl w:ilvl="7" w:tplc="E05CB4CA">
      <w:numFmt w:val="decimal"/>
      <w:lvlText w:val=""/>
      <w:lvlJc w:val="left"/>
    </w:lvl>
    <w:lvl w:ilvl="8" w:tplc="310E43B8">
      <w:numFmt w:val="decimal"/>
      <w:lvlText w:val=""/>
      <w:lvlJc w:val="left"/>
    </w:lvl>
  </w:abstractNum>
  <w:abstractNum w:abstractNumId="5" w15:restartNumberingAfterBreak="0">
    <w:nsid w:val="21DC23A6"/>
    <w:multiLevelType w:val="hybridMultilevel"/>
    <w:tmpl w:val="C32CFD42"/>
    <w:lvl w:ilvl="0" w:tplc="88F0F698">
      <w:start w:val="1"/>
      <w:numFmt w:val="bullet"/>
      <w:lvlText w:val=""/>
      <w:lvlJc w:val="left"/>
      <w:pPr>
        <w:tabs>
          <w:tab w:val="num" w:pos="1080"/>
        </w:tabs>
        <w:ind w:left="720" w:hanging="360"/>
      </w:pPr>
      <w:rPr>
        <w:rFonts w:ascii="Symbol" w:hAnsi="Symbol" w:hint="default"/>
      </w:rPr>
    </w:lvl>
    <w:lvl w:ilvl="1" w:tplc="AF54CEF4">
      <w:numFmt w:val="decimal"/>
      <w:lvlText w:val=""/>
      <w:lvlJc w:val="left"/>
    </w:lvl>
    <w:lvl w:ilvl="2" w:tplc="F19A2730">
      <w:numFmt w:val="decimal"/>
      <w:lvlText w:val=""/>
      <w:lvlJc w:val="left"/>
    </w:lvl>
    <w:lvl w:ilvl="3" w:tplc="9FE0EE70">
      <w:numFmt w:val="decimal"/>
      <w:lvlText w:val=""/>
      <w:lvlJc w:val="left"/>
    </w:lvl>
    <w:lvl w:ilvl="4" w:tplc="01F4599C">
      <w:numFmt w:val="decimal"/>
      <w:lvlText w:val=""/>
      <w:lvlJc w:val="left"/>
    </w:lvl>
    <w:lvl w:ilvl="5" w:tplc="30348AC0">
      <w:numFmt w:val="decimal"/>
      <w:lvlText w:val=""/>
      <w:lvlJc w:val="left"/>
    </w:lvl>
    <w:lvl w:ilvl="6" w:tplc="54582ABC">
      <w:numFmt w:val="decimal"/>
      <w:lvlText w:val=""/>
      <w:lvlJc w:val="left"/>
    </w:lvl>
    <w:lvl w:ilvl="7" w:tplc="E01881CC">
      <w:numFmt w:val="decimal"/>
      <w:lvlText w:val=""/>
      <w:lvlJc w:val="left"/>
    </w:lvl>
    <w:lvl w:ilvl="8" w:tplc="11D6C172">
      <w:numFmt w:val="decimal"/>
      <w:lvlText w:val=""/>
      <w:lvlJc w:val="left"/>
    </w:lvl>
  </w:abstractNum>
  <w:abstractNum w:abstractNumId="6" w15:restartNumberingAfterBreak="0">
    <w:nsid w:val="29264107"/>
    <w:multiLevelType w:val="hybridMultilevel"/>
    <w:tmpl w:val="D450BFDE"/>
    <w:lvl w:ilvl="0" w:tplc="336ACD3A">
      <w:start w:val="1"/>
      <w:numFmt w:val="decimal"/>
      <w:lvlText w:val="%1."/>
      <w:lvlJc w:val="left"/>
      <w:pPr>
        <w:tabs>
          <w:tab w:val="num" w:pos="1080"/>
        </w:tabs>
        <w:ind w:left="720" w:hanging="360"/>
      </w:pPr>
    </w:lvl>
    <w:lvl w:ilvl="1" w:tplc="D6EC9D00">
      <w:numFmt w:val="decimal"/>
      <w:lvlText w:val=""/>
      <w:lvlJc w:val="left"/>
    </w:lvl>
    <w:lvl w:ilvl="2" w:tplc="8F2038C0">
      <w:numFmt w:val="decimal"/>
      <w:lvlText w:val=""/>
      <w:lvlJc w:val="left"/>
    </w:lvl>
    <w:lvl w:ilvl="3" w:tplc="8A845AE2">
      <w:numFmt w:val="decimal"/>
      <w:lvlText w:val=""/>
      <w:lvlJc w:val="left"/>
    </w:lvl>
    <w:lvl w:ilvl="4" w:tplc="261C898E">
      <w:numFmt w:val="decimal"/>
      <w:lvlText w:val=""/>
      <w:lvlJc w:val="left"/>
    </w:lvl>
    <w:lvl w:ilvl="5" w:tplc="8954E14A">
      <w:numFmt w:val="decimal"/>
      <w:lvlText w:val=""/>
      <w:lvlJc w:val="left"/>
    </w:lvl>
    <w:lvl w:ilvl="6" w:tplc="8654C698">
      <w:numFmt w:val="decimal"/>
      <w:lvlText w:val=""/>
      <w:lvlJc w:val="left"/>
    </w:lvl>
    <w:lvl w:ilvl="7" w:tplc="3528CDA6">
      <w:numFmt w:val="decimal"/>
      <w:lvlText w:val=""/>
      <w:lvlJc w:val="left"/>
    </w:lvl>
    <w:lvl w:ilvl="8" w:tplc="F8F8E580">
      <w:numFmt w:val="decimal"/>
      <w:lvlText w:val=""/>
      <w:lvlJc w:val="left"/>
    </w:lvl>
  </w:abstractNum>
  <w:abstractNum w:abstractNumId="7" w15:restartNumberingAfterBreak="0">
    <w:nsid w:val="2A54015B"/>
    <w:multiLevelType w:val="hybridMultilevel"/>
    <w:tmpl w:val="64302070"/>
    <w:lvl w:ilvl="0" w:tplc="D560693C">
      <w:start w:val="1"/>
      <w:numFmt w:val="bullet"/>
      <w:lvlText w:val=""/>
      <w:lvlJc w:val="left"/>
      <w:pPr>
        <w:tabs>
          <w:tab w:val="num" w:pos="1080"/>
        </w:tabs>
        <w:ind w:left="720" w:hanging="360"/>
      </w:pPr>
      <w:rPr>
        <w:rFonts w:ascii="Symbol" w:hAnsi="Symbol" w:hint="default"/>
      </w:rPr>
    </w:lvl>
    <w:lvl w:ilvl="1" w:tplc="93D4D162">
      <w:numFmt w:val="decimal"/>
      <w:lvlText w:val=""/>
      <w:lvlJc w:val="left"/>
    </w:lvl>
    <w:lvl w:ilvl="2" w:tplc="5CF47610">
      <w:numFmt w:val="decimal"/>
      <w:lvlText w:val=""/>
      <w:lvlJc w:val="left"/>
    </w:lvl>
    <w:lvl w:ilvl="3" w:tplc="A10E4572">
      <w:numFmt w:val="decimal"/>
      <w:lvlText w:val=""/>
      <w:lvlJc w:val="left"/>
    </w:lvl>
    <w:lvl w:ilvl="4" w:tplc="AB08E202">
      <w:numFmt w:val="decimal"/>
      <w:lvlText w:val=""/>
      <w:lvlJc w:val="left"/>
    </w:lvl>
    <w:lvl w:ilvl="5" w:tplc="0CDA808E">
      <w:numFmt w:val="decimal"/>
      <w:lvlText w:val=""/>
      <w:lvlJc w:val="left"/>
    </w:lvl>
    <w:lvl w:ilvl="6" w:tplc="44E0C1E0">
      <w:numFmt w:val="decimal"/>
      <w:lvlText w:val=""/>
      <w:lvlJc w:val="left"/>
    </w:lvl>
    <w:lvl w:ilvl="7" w:tplc="4EB6212C">
      <w:numFmt w:val="decimal"/>
      <w:lvlText w:val=""/>
      <w:lvlJc w:val="left"/>
    </w:lvl>
    <w:lvl w:ilvl="8" w:tplc="219474B2">
      <w:numFmt w:val="decimal"/>
      <w:lvlText w:val=""/>
      <w:lvlJc w:val="left"/>
    </w:lvl>
  </w:abstractNum>
  <w:abstractNum w:abstractNumId="8" w15:restartNumberingAfterBreak="0">
    <w:nsid w:val="2A6C3590"/>
    <w:multiLevelType w:val="hybridMultilevel"/>
    <w:tmpl w:val="36E2F20A"/>
    <w:lvl w:ilvl="0" w:tplc="0194FE8A">
      <w:start w:val="1"/>
      <w:numFmt w:val="decimal"/>
      <w:lvlText w:val="%1."/>
      <w:lvlJc w:val="left"/>
      <w:pPr>
        <w:tabs>
          <w:tab w:val="num" w:pos="1080"/>
        </w:tabs>
        <w:ind w:left="720" w:hanging="360"/>
      </w:pPr>
    </w:lvl>
    <w:lvl w:ilvl="1" w:tplc="C2909EDE">
      <w:numFmt w:val="decimal"/>
      <w:lvlText w:val=""/>
      <w:lvlJc w:val="left"/>
    </w:lvl>
    <w:lvl w:ilvl="2" w:tplc="1D78C7FA">
      <w:numFmt w:val="decimal"/>
      <w:lvlText w:val=""/>
      <w:lvlJc w:val="left"/>
    </w:lvl>
    <w:lvl w:ilvl="3" w:tplc="44E6A9B2">
      <w:numFmt w:val="decimal"/>
      <w:lvlText w:val=""/>
      <w:lvlJc w:val="left"/>
    </w:lvl>
    <w:lvl w:ilvl="4" w:tplc="C53895EA">
      <w:numFmt w:val="decimal"/>
      <w:lvlText w:val=""/>
      <w:lvlJc w:val="left"/>
    </w:lvl>
    <w:lvl w:ilvl="5" w:tplc="A63E2316">
      <w:numFmt w:val="decimal"/>
      <w:lvlText w:val=""/>
      <w:lvlJc w:val="left"/>
    </w:lvl>
    <w:lvl w:ilvl="6" w:tplc="4C0CE76A">
      <w:numFmt w:val="decimal"/>
      <w:lvlText w:val=""/>
      <w:lvlJc w:val="left"/>
    </w:lvl>
    <w:lvl w:ilvl="7" w:tplc="9026A002">
      <w:numFmt w:val="decimal"/>
      <w:lvlText w:val=""/>
      <w:lvlJc w:val="left"/>
    </w:lvl>
    <w:lvl w:ilvl="8" w:tplc="00227E80">
      <w:numFmt w:val="decimal"/>
      <w:lvlText w:val=""/>
      <w:lvlJc w:val="left"/>
    </w:lvl>
  </w:abstractNum>
  <w:abstractNum w:abstractNumId="9" w15:restartNumberingAfterBreak="0">
    <w:nsid w:val="357A58A5"/>
    <w:multiLevelType w:val="hybridMultilevel"/>
    <w:tmpl w:val="EF38BE14"/>
    <w:lvl w:ilvl="0" w:tplc="837A7E5E">
      <w:start w:val="1"/>
      <w:numFmt w:val="bullet"/>
      <w:lvlText w:val=""/>
      <w:lvlJc w:val="left"/>
      <w:pPr>
        <w:tabs>
          <w:tab w:val="num" w:pos="1080"/>
        </w:tabs>
        <w:ind w:left="720" w:hanging="360"/>
      </w:pPr>
      <w:rPr>
        <w:rFonts w:ascii="Symbol" w:hAnsi="Symbol" w:hint="default"/>
      </w:rPr>
    </w:lvl>
    <w:lvl w:ilvl="1" w:tplc="50CADAF2">
      <w:numFmt w:val="decimal"/>
      <w:lvlText w:val=""/>
      <w:lvlJc w:val="left"/>
    </w:lvl>
    <w:lvl w:ilvl="2" w:tplc="1DC45E06">
      <w:numFmt w:val="decimal"/>
      <w:lvlText w:val=""/>
      <w:lvlJc w:val="left"/>
    </w:lvl>
    <w:lvl w:ilvl="3" w:tplc="770EC07C">
      <w:numFmt w:val="decimal"/>
      <w:lvlText w:val=""/>
      <w:lvlJc w:val="left"/>
    </w:lvl>
    <w:lvl w:ilvl="4" w:tplc="F7ECD4F6">
      <w:numFmt w:val="decimal"/>
      <w:lvlText w:val=""/>
      <w:lvlJc w:val="left"/>
    </w:lvl>
    <w:lvl w:ilvl="5" w:tplc="85C445C4">
      <w:numFmt w:val="decimal"/>
      <w:lvlText w:val=""/>
      <w:lvlJc w:val="left"/>
    </w:lvl>
    <w:lvl w:ilvl="6" w:tplc="C2303B96">
      <w:numFmt w:val="decimal"/>
      <w:lvlText w:val=""/>
      <w:lvlJc w:val="left"/>
    </w:lvl>
    <w:lvl w:ilvl="7" w:tplc="59E4D11C">
      <w:numFmt w:val="decimal"/>
      <w:lvlText w:val=""/>
      <w:lvlJc w:val="left"/>
    </w:lvl>
    <w:lvl w:ilvl="8" w:tplc="D1E036AC">
      <w:numFmt w:val="decimal"/>
      <w:lvlText w:val=""/>
      <w:lvlJc w:val="left"/>
    </w:lvl>
  </w:abstractNum>
  <w:abstractNum w:abstractNumId="10" w15:restartNumberingAfterBreak="0">
    <w:nsid w:val="35C87E35"/>
    <w:multiLevelType w:val="hybridMultilevel"/>
    <w:tmpl w:val="270686F0"/>
    <w:lvl w:ilvl="0" w:tplc="4606B49E">
      <w:start w:val="1"/>
      <w:numFmt w:val="bullet"/>
      <w:lvlText w:val=""/>
      <w:lvlJc w:val="left"/>
      <w:pPr>
        <w:tabs>
          <w:tab w:val="num" w:pos="1080"/>
        </w:tabs>
        <w:ind w:left="720" w:hanging="360"/>
      </w:pPr>
      <w:rPr>
        <w:rFonts w:ascii="Symbol" w:hAnsi="Symbol" w:hint="default"/>
      </w:rPr>
    </w:lvl>
    <w:lvl w:ilvl="1" w:tplc="B99AE8B6">
      <w:numFmt w:val="decimal"/>
      <w:lvlText w:val=""/>
      <w:lvlJc w:val="left"/>
    </w:lvl>
    <w:lvl w:ilvl="2" w:tplc="203870A6">
      <w:numFmt w:val="decimal"/>
      <w:lvlText w:val=""/>
      <w:lvlJc w:val="left"/>
    </w:lvl>
    <w:lvl w:ilvl="3" w:tplc="0F1ADCF2">
      <w:numFmt w:val="decimal"/>
      <w:lvlText w:val=""/>
      <w:lvlJc w:val="left"/>
    </w:lvl>
    <w:lvl w:ilvl="4" w:tplc="B9767018">
      <w:numFmt w:val="decimal"/>
      <w:lvlText w:val=""/>
      <w:lvlJc w:val="left"/>
    </w:lvl>
    <w:lvl w:ilvl="5" w:tplc="B4165C66">
      <w:numFmt w:val="decimal"/>
      <w:lvlText w:val=""/>
      <w:lvlJc w:val="left"/>
    </w:lvl>
    <w:lvl w:ilvl="6" w:tplc="4A505FF8">
      <w:numFmt w:val="decimal"/>
      <w:lvlText w:val=""/>
      <w:lvlJc w:val="left"/>
    </w:lvl>
    <w:lvl w:ilvl="7" w:tplc="3DE04A10">
      <w:numFmt w:val="decimal"/>
      <w:lvlText w:val=""/>
      <w:lvlJc w:val="left"/>
    </w:lvl>
    <w:lvl w:ilvl="8" w:tplc="AB8CB75E">
      <w:numFmt w:val="decimal"/>
      <w:lvlText w:val=""/>
      <w:lvlJc w:val="left"/>
    </w:lvl>
  </w:abstractNum>
  <w:abstractNum w:abstractNumId="11" w15:restartNumberingAfterBreak="0">
    <w:nsid w:val="378244E1"/>
    <w:multiLevelType w:val="hybridMultilevel"/>
    <w:tmpl w:val="6BFC05FC"/>
    <w:lvl w:ilvl="0" w:tplc="074C4EBA">
      <w:start w:val="1"/>
      <w:numFmt w:val="bullet"/>
      <w:lvlText w:val=""/>
      <w:lvlJc w:val="left"/>
      <w:pPr>
        <w:tabs>
          <w:tab w:val="num" w:pos="1080"/>
        </w:tabs>
        <w:ind w:left="720" w:hanging="360"/>
      </w:pPr>
      <w:rPr>
        <w:rFonts w:ascii="Symbol" w:hAnsi="Symbol" w:hint="default"/>
      </w:rPr>
    </w:lvl>
    <w:lvl w:ilvl="1" w:tplc="9CD89C24">
      <w:numFmt w:val="decimal"/>
      <w:lvlText w:val=""/>
      <w:lvlJc w:val="left"/>
    </w:lvl>
    <w:lvl w:ilvl="2" w:tplc="961E938E">
      <w:numFmt w:val="decimal"/>
      <w:lvlText w:val=""/>
      <w:lvlJc w:val="left"/>
    </w:lvl>
    <w:lvl w:ilvl="3" w:tplc="136A380A">
      <w:numFmt w:val="decimal"/>
      <w:lvlText w:val=""/>
      <w:lvlJc w:val="left"/>
    </w:lvl>
    <w:lvl w:ilvl="4" w:tplc="3732C780">
      <w:numFmt w:val="decimal"/>
      <w:lvlText w:val=""/>
      <w:lvlJc w:val="left"/>
    </w:lvl>
    <w:lvl w:ilvl="5" w:tplc="160E7520">
      <w:numFmt w:val="decimal"/>
      <w:lvlText w:val=""/>
      <w:lvlJc w:val="left"/>
    </w:lvl>
    <w:lvl w:ilvl="6" w:tplc="C6C27384">
      <w:numFmt w:val="decimal"/>
      <w:lvlText w:val=""/>
      <w:lvlJc w:val="left"/>
    </w:lvl>
    <w:lvl w:ilvl="7" w:tplc="0A1627A8">
      <w:numFmt w:val="decimal"/>
      <w:lvlText w:val=""/>
      <w:lvlJc w:val="left"/>
    </w:lvl>
    <w:lvl w:ilvl="8" w:tplc="DBD88820">
      <w:numFmt w:val="decimal"/>
      <w:lvlText w:val=""/>
      <w:lvlJc w:val="left"/>
    </w:lvl>
  </w:abstractNum>
  <w:abstractNum w:abstractNumId="12" w15:restartNumberingAfterBreak="0">
    <w:nsid w:val="3EBE40A6"/>
    <w:multiLevelType w:val="hybridMultilevel"/>
    <w:tmpl w:val="CC940464"/>
    <w:lvl w:ilvl="0" w:tplc="AD7E5BEC">
      <w:start w:val="1"/>
      <w:numFmt w:val="bullet"/>
      <w:lvlText w:val=""/>
      <w:lvlJc w:val="left"/>
      <w:pPr>
        <w:tabs>
          <w:tab w:val="num" w:pos="1080"/>
        </w:tabs>
        <w:ind w:left="720" w:hanging="360"/>
      </w:pPr>
      <w:rPr>
        <w:rFonts w:ascii="Symbol" w:hAnsi="Symbol" w:hint="default"/>
      </w:rPr>
    </w:lvl>
    <w:lvl w:ilvl="1" w:tplc="CB7E1FC6">
      <w:numFmt w:val="decimal"/>
      <w:lvlText w:val=""/>
      <w:lvlJc w:val="left"/>
    </w:lvl>
    <w:lvl w:ilvl="2" w:tplc="699010B4">
      <w:numFmt w:val="decimal"/>
      <w:lvlText w:val=""/>
      <w:lvlJc w:val="left"/>
    </w:lvl>
    <w:lvl w:ilvl="3" w:tplc="0D8AAD04">
      <w:numFmt w:val="decimal"/>
      <w:lvlText w:val=""/>
      <w:lvlJc w:val="left"/>
    </w:lvl>
    <w:lvl w:ilvl="4" w:tplc="155A8F9E">
      <w:numFmt w:val="decimal"/>
      <w:lvlText w:val=""/>
      <w:lvlJc w:val="left"/>
    </w:lvl>
    <w:lvl w:ilvl="5" w:tplc="3AB8F0FA">
      <w:numFmt w:val="decimal"/>
      <w:lvlText w:val=""/>
      <w:lvlJc w:val="left"/>
    </w:lvl>
    <w:lvl w:ilvl="6" w:tplc="2D6AC78C">
      <w:numFmt w:val="decimal"/>
      <w:lvlText w:val=""/>
      <w:lvlJc w:val="left"/>
    </w:lvl>
    <w:lvl w:ilvl="7" w:tplc="EF0AEE6C">
      <w:numFmt w:val="decimal"/>
      <w:lvlText w:val=""/>
      <w:lvlJc w:val="left"/>
    </w:lvl>
    <w:lvl w:ilvl="8" w:tplc="3E3E468A">
      <w:numFmt w:val="decimal"/>
      <w:lvlText w:val=""/>
      <w:lvlJc w:val="left"/>
    </w:lvl>
  </w:abstractNum>
  <w:abstractNum w:abstractNumId="13" w15:restartNumberingAfterBreak="0">
    <w:nsid w:val="47DB5A2F"/>
    <w:multiLevelType w:val="hybridMultilevel"/>
    <w:tmpl w:val="EB36165A"/>
    <w:lvl w:ilvl="0" w:tplc="BC4C22DA">
      <w:start w:val="1"/>
      <w:numFmt w:val="decimal"/>
      <w:lvlText w:val="%1."/>
      <w:lvlJc w:val="left"/>
      <w:pPr>
        <w:tabs>
          <w:tab w:val="num" w:pos="1080"/>
        </w:tabs>
        <w:ind w:left="720" w:hanging="360"/>
      </w:pPr>
    </w:lvl>
    <w:lvl w:ilvl="1" w:tplc="8D8E166E">
      <w:numFmt w:val="decimal"/>
      <w:lvlText w:val=""/>
      <w:lvlJc w:val="left"/>
    </w:lvl>
    <w:lvl w:ilvl="2" w:tplc="E618B8DA">
      <w:numFmt w:val="decimal"/>
      <w:lvlText w:val=""/>
      <w:lvlJc w:val="left"/>
    </w:lvl>
    <w:lvl w:ilvl="3" w:tplc="30E4E9BA">
      <w:numFmt w:val="decimal"/>
      <w:lvlText w:val=""/>
      <w:lvlJc w:val="left"/>
    </w:lvl>
    <w:lvl w:ilvl="4" w:tplc="08D2C9D6">
      <w:numFmt w:val="decimal"/>
      <w:lvlText w:val=""/>
      <w:lvlJc w:val="left"/>
    </w:lvl>
    <w:lvl w:ilvl="5" w:tplc="C5A4A4CE">
      <w:numFmt w:val="decimal"/>
      <w:lvlText w:val=""/>
      <w:lvlJc w:val="left"/>
    </w:lvl>
    <w:lvl w:ilvl="6" w:tplc="F42CCC5C">
      <w:numFmt w:val="decimal"/>
      <w:lvlText w:val=""/>
      <w:lvlJc w:val="left"/>
    </w:lvl>
    <w:lvl w:ilvl="7" w:tplc="84CA9EFC">
      <w:numFmt w:val="decimal"/>
      <w:lvlText w:val=""/>
      <w:lvlJc w:val="left"/>
    </w:lvl>
    <w:lvl w:ilvl="8" w:tplc="BE44AAC6">
      <w:numFmt w:val="decimal"/>
      <w:lvlText w:val=""/>
      <w:lvlJc w:val="left"/>
    </w:lvl>
  </w:abstractNum>
  <w:abstractNum w:abstractNumId="14" w15:restartNumberingAfterBreak="0">
    <w:nsid w:val="482D1908"/>
    <w:multiLevelType w:val="hybridMultilevel"/>
    <w:tmpl w:val="1982E9AA"/>
    <w:lvl w:ilvl="0" w:tplc="B80C4A0E">
      <w:start w:val="1"/>
      <w:numFmt w:val="bullet"/>
      <w:lvlText w:val=""/>
      <w:lvlJc w:val="left"/>
      <w:pPr>
        <w:tabs>
          <w:tab w:val="num" w:pos="1080"/>
        </w:tabs>
        <w:ind w:left="720" w:hanging="360"/>
      </w:pPr>
      <w:rPr>
        <w:rFonts w:ascii="Symbol" w:hAnsi="Symbol" w:hint="default"/>
      </w:rPr>
    </w:lvl>
    <w:lvl w:ilvl="1" w:tplc="9062773C">
      <w:numFmt w:val="decimal"/>
      <w:lvlText w:val=""/>
      <w:lvlJc w:val="left"/>
    </w:lvl>
    <w:lvl w:ilvl="2" w:tplc="BC6E6ED4">
      <w:numFmt w:val="decimal"/>
      <w:lvlText w:val=""/>
      <w:lvlJc w:val="left"/>
    </w:lvl>
    <w:lvl w:ilvl="3" w:tplc="4B2652B8">
      <w:numFmt w:val="decimal"/>
      <w:lvlText w:val=""/>
      <w:lvlJc w:val="left"/>
    </w:lvl>
    <w:lvl w:ilvl="4" w:tplc="D69E1168">
      <w:numFmt w:val="decimal"/>
      <w:lvlText w:val=""/>
      <w:lvlJc w:val="left"/>
    </w:lvl>
    <w:lvl w:ilvl="5" w:tplc="3DDA2958">
      <w:numFmt w:val="decimal"/>
      <w:lvlText w:val=""/>
      <w:lvlJc w:val="left"/>
    </w:lvl>
    <w:lvl w:ilvl="6" w:tplc="8A926F24">
      <w:numFmt w:val="decimal"/>
      <w:lvlText w:val=""/>
      <w:lvlJc w:val="left"/>
    </w:lvl>
    <w:lvl w:ilvl="7" w:tplc="4EB2714E">
      <w:numFmt w:val="decimal"/>
      <w:lvlText w:val=""/>
      <w:lvlJc w:val="left"/>
    </w:lvl>
    <w:lvl w:ilvl="8" w:tplc="3814E6C8">
      <w:numFmt w:val="decimal"/>
      <w:lvlText w:val=""/>
      <w:lvlJc w:val="left"/>
    </w:lvl>
  </w:abstractNum>
  <w:abstractNum w:abstractNumId="15" w15:restartNumberingAfterBreak="0">
    <w:nsid w:val="51951284"/>
    <w:multiLevelType w:val="hybridMultilevel"/>
    <w:tmpl w:val="2946BDB8"/>
    <w:lvl w:ilvl="0" w:tplc="F49002FE">
      <w:start w:val="1"/>
      <w:numFmt w:val="bullet"/>
      <w:lvlText w:val=""/>
      <w:lvlJc w:val="left"/>
      <w:pPr>
        <w:tabs>
          <w:tab w:val="num" w:pos="1080"/>
        </w:tabs>
        <w:ind w:left="720" w:hanging="360"/>
      </w:pPr>
      <w:rPr>
        <w:rFonts w:ascii="Symbol" w:hAnsi="Symbol" w:hint="default"/>
      </w:rPr>
    </w:lvl>
    <w:lvl w:ilvl="1" w:tplc="4B8A586C">
      <w:numFmt w:val="decimal"/>
      <w:lvlText w:val=""/>
      <w:lvlJc w:val="left"/>
    </w:lvl>
    <w:lvl w:ilvl="2" w:tplc="9FB8FC32">
      <w:numFmt w:val="decimal"/>
      <w:lvlText w:val=""/>
      <w:lvlJc w:val="left"/>
    </w:lvl>
    <w:lvl w:ilvl="3" w:tplc="BC629DAA">
      <w:numFmt w:val="decimal"/>
      <w:lvlText w:val=""/>
      <w:lvlJc w:val="left"/>
    </w:lvl>
    <w:lvl w:ilvl="4" w:tplc="25F6B4BC">
      <w:numFmt w:val="decimal"/>
      <w:lvlText w:val=""/>
      <w:lvlJc w:val="left"/>
    </w:lvl>
    <w:lvl w:ilvl="5" w:tplc="43403F98">
      <w:numFmt w:val="decimal"/>
      <w:lvlText w:val=""/>
      <w:lvlJc w:val="left"/>
    </w:lvl>
    <w:lvl w:ilvl="6" w:tplc="3FBEB264">
      <w:numFmt w:val="decimal"/>
      <w:lvlText w:val=""/>
      <w:lvlJc w:val="left"/>
    </w:lvl>
    <w:lvl w:ilvl="7" w:tplc="12883762">
      <w:numFmt w:val="decimal"/>
      <w:lvlText w:val=""/>
      <w:lvlJc w:val="left"/>
    </w:lvl>
    <w:lvl w:ilvl="8" w:tplc="0562037A">
      <w:numFmt w:val="decimal"/>
      <w:lvlText w:val=""/>
      <w:lvlJc w:val="left"/>
    </w:lvl>
  </w:abstractNum>
  <w:abstractNum w:abstractNumId="16" w15:restartNumberingAfterBreak="0">
    <w:nsid w:val="544227A7"/>
    <w:multiLevelType w:val="hybridMultilevel"/>
    <w:tmpl w:val="B546B240"/>
    <w:lvl w:ilvl="0" w:tplc="BAB66CEC">
      <w:start w:val="1"/>
      <w:numFmt w:val="bullet"/>
      <w:lvlText w:val=""/>
      <w:lvlJc w:val="left"/>
      <w:pPr>
        <w:tabs>
          <w:tab w:val="num" w:pos="1080"/>
        </w:tabs>
        <w:ind w:left="720" w:hanging="360"/>
      </w:pPr>
      <w:rPr>
        <w:rFonts w:ascii="Symbol" w:hAnsi="Symbol" w:hint="default"/>
      </w:rPr>
    </w:lvl>
    <w:lvl w:ilvl="1" w:tplc="225ECBEA">
      <w:numFmt w:val="decimal"/>
      <w:lvlText w:val=""/>
      <w:lvlJc w:val="left"/>
    </w:lvl>
    <w:lvl w:ilvl="2" w:tplc="642AF9B0">
      <w:numFmt w:val="decimal"/>
      <w:lvlText w:val=""/>
      <w:lvlJc w:val="left"/>
    </w:lvl>
    <w:lvl w:ilvl="3" w:tplc="644292B6">
      <w:numFmt w:val="decimal"/>
      <w:lvlText w:val=""/>
      <w:lvlJc w:val="left"/>
    </w:lvl>
    <w:lvl w:ilvl="4" w:tplc="E9BA3BBA">
      <w:numFmt w:val="decimal"/>
      <w:lvlText w:val=""/>
      <w:lvlJc w:val="left"/>
    </w:lvl>
    <w:lvl w:ilvl="5" w:tplc="C484B540">
      <w:numFmt w:val="decimal"/>
      <w:lvlText w:val=""/>
      <w:lvlJc w:val="left"/>
    </w:lvl>
    <w:lvl w:ilvl="6" w:tplc="0764ED6C">
      <w:numFmt w:val="decimal"/>
      <w:lvlText w:val=""/>
      <w:lvlJc w:val="left"/>
    </w:lvl>
    <w:lvl w:ilvl="7" w:tplc="D974B232">
      <w:numFmt w:val="decimal"/>
      <w:lvlText w:val=""/>
      <w:lvlJc w:val="left"/>
    </w:lvl>
    <w:lvl w:ilvl="8" w:tplc="AD2CF038">
      <w:numFmt w:val="decimal"/>
      <w:lvlText w:val=""/>
      <w:lvlJc w:val="left"/>
    </w:lvl>
  </w:abstractNum>
  <w:abstractNum w:abstractNumId="17" w15:restartNumberingAfterBreak="0">
    <w:nsid w:val="5699744E"/>
    <w:multiLevelType w:val="hybridMultilevel"/>
    <w:tmpl w:val="524C8E0A"/>
    <w:lvl w:ilvl="0" w:tplc="B4B05E7A">
      <w:start w:val="1"/>
      <w:numFmt w:val="decimal"/>
      <w:lvlText w:val="%1."/>
      <w:lvlJc w:val="left"/>
      <w:pPr>
        <w:tabs>
          <w:tab w:val="num" w:pos="1080"/>
        </w:tabs>
        <w:ind w:left="720" w:hanging="360"/>
      </w:pPr>
    </w:lvl>
    <w:lvl w:ilvl="1" w:tplc="C7803052">
      <w:numFmt w:val="decimal"/>
      <w:lvlText w:val=""/>
      <w:lvlJc w:val="left"/>
    </w:lvl>
    <w:lvl w:ilvl="2" w:tplc="32E26CC4">
      <w:numFmt w:val="decimal"/>
      <w:lvlText w:val=""/>
      <w:lvlJc w:val="left"/>
    </w:lvl>
    <w:lvl w:ilvl="3" w:tplc="0D3026F4">
      <w:numFmt w:val="decimal"/>
      <w:lvlText w:val=""/>
      <w:lvlJc w:val="left"/>
    </w:lvl>
    <w:lvl w:ilvl="4" w:tplc="E850D680">
      <w:numFmt w:val="decimal"/>
      <w:lvlText w:val=""/>
      <w:lvlJc w:val="left"/>
    </w:lvl>
    <w:lvl w:ilvl="5" w:tplc="A5E01C1E">
      <w:numFmt w:val="decimal"/>
      <w:lvlText w:val=""/>
      <w:lvlJc w:val="left"/>
    </w:lvl>
    <w:lvl w:ilvl="6" w:tplc="F20E9040">
      <w:numFmt w:val="decimal"/>
      <w:lvlText w:val=""/>
      <w:lvlJc w:val="left"/>
    </w:lvl>
    <w:lvl w:ilvl="7" w:tplc="51A23276">
      <w:numFmt w:val="decimal"/>
      <w:lvlText w:val=""/>
      <w:lvlJc w:val="left"/>
    </w:lvl>
    <w:lvl w:ilvl="8" w:tplc="64F8F4AE">
      <w:numFmt w:val="decimal"/>
      <w:lvlText w:val=""/>
      <w:lvlJc w:val="left"/>
    </w:lvl>
  </w:abstractNum>
  <w:abstractNum w:abstractNumId="18" w15:restartNumberingAfterBreak="0">
    <w:nsid w:val="65CA3C4C"/>
    <w:multiLevelType w:val="hybridMultilevel"/>
    <w:tmpl w:val="E1F030B0"/>
    <w:lvl w:ilvl="0" w:tplc="3B36EAA0">
      <w:start w:val="1"/>
      <w:numFmt w:val="bullet"/>
      <w:lvlText w:val=""/>
      <w:lvlJc w:val="left"/>
      <w:pPr>
        <w:tabs>
          <w:tab w:val="num" w:pos="1080"/>
        </w:tabs>
        <w:ind w:left="720" w:hanging="360"/>
      </w:pPr>
      <w:rPr>
        <w:rFonts w:ascii="Symbol" w:hAnsi="Symbol" w:hint="default"/>
      </w:rPr>
    </w:lvl>
    <w:lvl w:ilvl="1" w:tplc="A1EC4C6C">
      <w:numFmt w:val="decimal"/>
      <w:lvlText w:val=""/>
      <w:lvlJc w:val="left"/>
    </w:lvl>
    <w:lvl w:ilvl="2" w:tplc="253602F6">
      <w:numFmt w:val="decimal"/>
      <w:lvlText w:val=""/>
      <w:lvlJc w:val="left"/>
    </w:lvl>
    <w:lvl w:ilvl="3" w:tplc="DB701278">
      <w:numFmt w:val="decimal"/>
      <w:lvlText w:val=""/>
      <w:lvlJc w:val="left"/>
    </w:lvl>
    <w:lvl w:ilvl="4" w:tplc="C900B080">
      <w:numFmt w:val="decimal"/>
      <w:lvlText w:val=""/>
      <w:lvlJc w:val="left"/>
    </w:lvl>
    <w:lvl w:ilvl="5" w:tplc="CF7C4668">
      <w:numFmt w:val="decimal"/>
      <w:lvlText w:val=""/>
      <w:lvlJc w:val="left"/>
    </w:lvl>
    <w:lvl w:ilvl="6" w:tplc="649C4E32">
      <w:numFmt w:val="decimal"/>
      <w:lvlText w:val=""/>
      <w:lvlJc w:val="left"/>
    </w:lvl>
    <w:lvl w:ilvl="7" w:tplc="298EB0BE">
      <w:numFmt w:val="decimal"/>
      <w:lvlText w:val=""/>
      <w:lvlJc w:val="left"/>
    </w:lvl>
    <w:lvl w:ilvl="8" w:tplc="11DECD24">
      <w:numFmt w:val="decimal"/>
      <w:lvlText w:val=""/>
      <w:lvlJc w:val="left"/>
    </w:lvl>
  </w:abstractNum>
  <w:abstractNum w:abstractNumId="19" w15:restartNumberingAfterBreak="0">
    <w:nsid w:val="670B5AC4"/>
    <w:multiLevelType w:val="hybridMultilevel"/>
    <w:tmpl w:val="B0FE80A8"/>
    <w:lvl w:ilvl="0" w:tplc="3EB88B7A">
      <w:start w:val="1"/>
      <w:numFmt w:val="decimal"/>
      <w:lvlText w:val="%1."/>
      <w:lvlJc w:val="left"/>
      <w:pPr>
        <w:tabs>
          <w:tab w:val="num" w:pos="1080"/>
        </w:tabs>
        <w:ind w:left="720" w:hanging="360"/>
      </w:pPr>
    </w:lvl>
    <w:lvl w:ilvl="1" w:tplc="4CACC42E">
      <w:numFmt w:val="decimal"/>
      <w:lvlText w:val=""/>
      <w:lvlJc w:val="left"/>
    </w:lvl>
    <w:lvl w:ilvl="2" w:tplc="C2B2CC28">
      <w:numFmt w:val="decimal"/>
      <w:lvlText w:val=""/>
      <w:lvlJc w:val="left"/>
    </w:lvl>
    <w:lvl w:ilvl="3" w:tplc="C70A4A3A">
      <w:numFmt w:val="decimal"/>
      <w:lvlText w:val=""/>
      <w:lvlJc w:val="left"/>
    </w:lvl>
    <w:lvl w:ilvl="4" w:tplc="FB00B5F4">
      <w:numFmt w:val="decimal"/>
      <w:lvlText w:val=""/>
      <w:lvlJc w:val="left"/>
    </w:lvl>
    <w:lvl w:ilvl="5" w:tplc="D60E6F10">
      <w:numFmt w:val="decimal"/>
      <w:lvlText w:val=""/>
      <w:lvlJc w:val="left"/>
    </w:lvl>
    <w:lvl w:ilvl="6" w:tplc="516AD286">
      <w:numFmt w:val="decimal"/>
      <w:lvlText w:val=""/>
      <w:lvlJc w:val="left"/>
    </w:lvl>
    <w:lvl w:ilvl="7" w:tplc="0A70AD9C">
      <w:numFmt w:val="decimal"/>
      <w:lvlText w:val=""/>
      <w:lvlJc w:val="left"/>
    </w:lvl>
    <w:lvl w:ilvl="8" w:tplc="E95AE920">
      <w:numFmt w:val="decimal"/>
      <w:lvlText w:val=""/>
      <w:lvlJc w:val="left"/>
    </w:lvl>
  </w:abstractNum>
  <w:abstractNum w:abstractNumId="20" w15:restartNumberingAfterBreak="0">
    <w:nsid w:val="6F416502"/>
    <w:multiLevelType w:val="hybridMultilevel"/>
    <w:tmpl w:val="B2BC43BA"/>
    <w:lvl w:ilvl="0" w:tplc="95C2CE6E">
      <w:start w:val="1"/>
      <w:numFmt w:val="bullet"/>
      <w:lvlText w:val=""/>
      <w:lvlJc w:val="left"/>
      <w:pPr>
        <w:tabs>
          <w:tab w:val="num" w:pos="1080"/>
        </w:tabs>
        <w:ind w:left="720" w:hanging="360"/>
      </w:pPr>
      <w:rPr>
        <w:rFonts w:ascii="Symbol" w:hAnsi="Symbol" w:hint="default"/>
      </w:rPr>
    </w:lvl>
    <w:lvl w:ilvl="1" w:tplc="01A21D6C">
      <w:numFmt w:val="decimal"/>
      <w:lvlText w:val=""/>
      <w:lvlJc w:val="left"/>
    </w:lvl>
    <w:lvl w:ilvl="2" w:tplc="31FE61A6">
      <w:numFmt w:val="decimal"/>
      <w:lvlText w:val=""/>
      <w:lvlJc w:val="left"/>
    </w:lvl>
    <w:lvl w:ilvl="3" w:tplc="7BE0A7CA">
      <w:numFmt w:val="decimal"/>
      <w:lvlText w:val=""/>
      <w:lvlJc w:val="left"/>
    </w:lvl>
    <w:lvl w:ilvl="4" w:tplc="92AC373A">
      <w:numFmt w:val="decimal"/>
      <w:lvlText w:val=""/>
      <w:lvlJc w:val="left"/>
    </w:lvl>
    <w:lvl w:ilvl="5" w:tplc="F9FCE40A">
      <w:numFmt w:val="decimal"/>
      <w:lvlText w:val=""/>
      <w:lvlJc w:val="left"/>
    </w:lvl>
    <w:lvl w:ilvl="6" w:tplc="EAA45BB6">
      <w:numFmt w:val="decimal"/>
      <w:lvlText w:val=""/>
      <w:lvlJc w:val="left"/>
    </w:lvl>
    <w:lvl w:ilvl="7" w:tplc="CE82CC5A">
      <w:numFmt w:val="decimal"/>
      <w:lvlText w:val=""/>
      <w:lvlJc w:val="left"/>
    </w:lvl>
    <w:lvl w:ilvl="8" w:tplc="0D20DAB8">
      <w:numFmt w:val="decimal"/>
      <w:lvlText w:val=""/>
      <w:lvlJc w:val="left"/>
    </w:lvl>
  </w:abstractNum>
  <w:abstractNum w:abstractNumId="21" w15:restartNumberingAfterBreak="0">
    <w:nsid w:val="7B2877E7"/>
    <w:multiLevelType w:val="hybridMultilevel"/>
    <w:tmpl w:val="5BAC6F7E"/>
    <w:lvl w:ilvl="0" w:tplc="B55E52FA">
      <w:start w:val="1"/>
      <w:numFmt w:val="bullet"/>
      <w:lvlText w:val=""/>
      <w:lvlJc w:val="left"/>
      <w:pPr>
        <w:tabs>
          <w:tab w:val="num" w:pos="1080"/>
        </w:tabs>
        <w:ind w:left="720" w:hanging="360"/>
      </w:pPr>
      <w:rPr>
        <w:rFonts w:ascii="Symbol" w:hAnsi="Symbol" w:hint="default"/>
      </w:rPr>
    </w:lvl>
    <w:lvl w:ilvl="1" w:tplc="DAF2271C">
      <w:numFmt w:val="decimal"/>
      <w:lvlText w:val=""/>
      <w:lvlJc w:val="left"/>
    </w:lvl>
    <w:lvl w:ilvl="2" w:tplc="AA58665A">
      <w:numFmt w:val="decimal"/>
      <w:lvlText w:val=""/>
      <w:lvlJc w:val="left"/>
    </w:lvl>
    <w:lvl w:ilvl="3" w:tplc="282EB81A">
      <w:numFmt w:val="decimal"/>
      <w:lvlText w:val=""/>
      <w:lvlJc w:val="left"/>
    </w:lvl>
    <w:lvl w:ilvl="4" w:tplc="2FFE6FB0">
      <w:numFmt w:val="decimal"/>
      <w:lvlText w:val=""/>
      <w:lvlJc w:val="left"/>
    </w:lvl>
    <w:lvl w:ilvl="5" w:tplc="15EE9774">
      <w:numFmt w:val="decimal"/>
      <w:lvlText w:val=""/>
      <w:lvlJc w:val="left"/>
    </w:lvl>
    <w:lvl w:ilvl="6" w:tplc="B0B6AEAA">
      <w:numFmt w:val="decimal"/>
      <w:lvlText w:val=""/>
      <w:lvlJc w:val="left"/>
    </w:lvl>
    <w:lvl w:ilvl="7" w:tplc="31922C98">
      <w:numFmt w:val="decimal"/>
      <w:lvlText w:val=""/>
      <w:lvlJc w:val="left"/>
    </w:lvl>
    <w:lvl w:ilvl="8" w:tplc="4EA6C784">
      <w:numFmt w:val="decimal"/>
      <w:lvlText w:val=""/>
      <w:lvlJc w:val="left"/>
    </w:lvl>
  </w:abstractNum>
  <w:abstractNum w:abstractNumId="22" w15:restartNumberingAfterBreak="0">
    <w:nsid w:val="7E0A20F2"/>
    <w:multiLevelType w:val="hybridMultilevel"/>
    <w:tmpl w:val="23D857F0"/>
    <w:lvl w:ilvl="0" w:tplc="2E44652A">
      <w:start w:val="1"/>
      <w:numFmt w:val="decimal"/>
      <w:lvlText w:val="%1."/>
      <w:lvlJc w:val="left"/>
      <w:pPr>
        <w:tabs>
          <w:tab w:val="num" w:pos="1080"/>
        </w:tabs>
        <w:ind w:left="720" w:hanging="360"/>
      </w:pPr>
    </w:lvl>
    <w:lvl w:ilvl="1" w:tplc="5DF29688">
      <w:numFmt w:val="decimal"/>
      <w:lvlText w:val=""/>
      <w:lvlJc w:val="left"/>
    </w:lvl>
    <w:lvl w:ilvl="2" w:tplc="6E344B94">
      <w:numFmt w:val="decimal"/>
      <w:lvlText w:val=""/>
      <w:lvlJc w:val="left"/>
    </w:lvl>
    <w:lvl w:ilvl="3" w:tplc="EE70F62A">
      <w:numFmt w:val="decimal"/>
      <w:lvlText w:val=""/>
      <w:lvlJc w:val="left"/>
    </w:lvl>
    <w:lvl w:ilvl="4" w:tplc="4ABEBE5E">
      <w:numFmt w:val="decimal"/>
      <w:lvlText w:val=""/>
      <w:lvlJc w:val="left"/>
    </w:lvl>
    <w:lvl w:ilvl="5" w:tplc="8ED4050C">
      <w:numFmt w:val="decimal"/>
      <w:lvlText w:val=""/>
      <w:lvlJc w:val="left"/>
    </w:lvl>
    <w:lvl w:ilvl="6" w:tplc="0DF00CDE">
      <w:numFmt w:val="decimal"/>
      <w:lvlText w:val=""/>
      <w:lvlJc w:val="left"/>
    </w:lvl>
    <w:lvl w:ilvl="7" w:tplc="00900792">
      <w:numFmt w:val="decimal"/>
      <w:lvlText w:val=""/>
      <w:lvlJc w:val="left"/>
    </w:lvl>
    <w:lvl w:ilvl="8" w:tplc="D03ABF1E">
      <w:numFmt w:val="decimal"/>
      <w:lvlText w:val=""/>
      <w:lvlJc w:val="left"/>
    </w:lvl>
  </w:abstractNum>
  <w:num w:numId="1" w16cid:durableId="145825066">
    <w:abstractNumId w:val="13"/>
  </w:num>
  <w:num w:numId="2" w16cid:durableId="1345279076">
    <w:abstractNumId w:val="2"/>
  </w:num>
  <w:num w:numId="3" w16cid:durableId="1279870087">
    <w:abstractNumId w:val="21"/>
  </w:num>
  <w:num w:numId="4" w16cid:durableId="877738667">
    <w:abstractNumId w:val="0"/>
  </w:num>
  <w:num w:numId="5" w16cid:durableId="334386487">
    <w:abstractNumId w:val="6"/>
  </w:num>
  <w:num w:numId="6" w16cid:durableId="1032877035">
    <w:abstractNumId w:val="1"/>
  </w:num>
  <w:num w:numId="7" w16cid:durableId="1624842753">
    <w:abstractNumId w:val="15"/>
  </w:num>
  <w:num w:numId="8" w16cid:durableId="1455439691">
    <w:abstractNumId w:val="18"/>
  </w:num>
  <w:num w:numId="9" w16cid:durableId="831487046">
    <w:abstractNumId w:val="4"/>
  </w:num>
  <w:num w:numId="10" w16cid:durableId="771127380">
    <w:abstractNumId w:val="16"/>
  </w:num>
  <w:num w:numId="11" w16cid:durableId="1592736630">
    <w:abstractNumId w:val="3"/>
  </w:num>
  <w:num w:numId="12" w16cid:durableId="155189263">
    <w:abstractNumId w:val="22"/>
  </w:num>
  <w:num w:numId="13" w16cid:durableId="943153910">
    <w:abstractNumId w:val="20"/>
  </w:num>
  <w:num w:numId="14" w16cid:durableId="1190147663">
    <w:abstractNumId w:val="7"/>
  </w:num>
  <w:num w:numId="15" w16cid:durableId="505630873">
    <w:abstractNumId w:val="8"/>
  </w:num>
  <w:num w:numId="16" w16cid:durableId="1794641162">
    <w:abstractNumId w:val="5"/>
  </w:num>
  <w:num w:numId="17" w16cid:durableId="1425609840">
    <w:abstractNumId w:val="9"/>
  </w:num>
  <w:num w:numId="18" w16cid:durableId="881524839">
    <w:abstractNumId w:val="17"/>
  </w:num>
  <w:num w:numId="19" w16cid:durableId="2054385334">
    <w:abstractNumId w:val="12"/>
  </w:num>
  <w:num w:numId="20" w16cid:durableId="57368842">
    <w:abstractNumId w:val="11"/>
  </w:num>
  <w:num w:numId="21" w16cid:durableId="194738608">
    <w:abstractNumId w:val="10"/>
  </w:num>
  <w:num w:numId="22" w16cid:durableId="707296048">
    <w:abstractNumId w:val="14"/>
  </w:num>
  <w:num w:numId="23" w16cid:durableId="5277639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948"/>
    <w:rsid w:val="00074F6D"/>
    <w:rsid w:val="00132649"/>
    <w:rsid w:val="00520A2A"/>
    <w:rsid w:val="005F6948"/>
    <w:rsid w:val="00840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66CA6"/>
  <w15:docId w15:val="{5794BAC2-E75A-EE43-8A76-BBEC76A25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Header">
    <w:name w:val="header"/>
    <w:basedOn w:val="Normal"/>
    <w:link w:val="HeaderChar"/>
    <w:uiPriority w:val="99"/>
    <w:unhideWhenUsed/>
    <w:rsid w:val="008400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0BA"/>
  </w:style>
  <w:style w:type="paragraph" w:styleId="Footer">
    <w:name w:val="footer"/>
    <w:basedOn w:val="Normal"/>
    <w:link w:val="FooterChar"/>
    <w:uiPriority w:val="99"/>
    <w:unhideWhenUsed/>
    <w:rsid w:val="008400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0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5682</Words>
  <Characters>38584</Characters>
  <Application>Microsoft Office Word</Application>
  <DocSecurity>0</DocSecurity>
  <Lines>838</Lines>
  <Paragraphs>409</Paragraphs>
  <ScaleCrop>false</ScaleCrop>
  <Company/>
  <LinksUpToDate>false</LinksUpToDate>
  <CharactersWithSpaces>43857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Sam Martin</cp:lastModifiedBy>
  <cp:revision>3</cp:revision>
  <dcterms:created xsi:type="dcterms:W3CDTF">2026-02-25T01:00:00Z</dcterms:created>
  <dcterms:modified xsi:type="dcterms:W3CDTF">2026-02-25T01:01:00Z</dcterms:modified>
</cp:coreProperties>
</file>