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D3BD" w14:textId="77777777" w:rsidR="009C5522" w:rsidRDefault="00000000">
      <w:pPr>
        <w:pStyle w:val="Heading1"/>
      </w:pPr>
      <w:r>
        <w:t>Executive Summary: Multi-Tenant Network Isolation and Routing Architecture</w:t>
      </w:r>
    </w:p>
    <w:p w14:paraId="105FAF89" w14:textId="77777777" w:rsidR="009C5522" w:rsidRDefault="00000000">
      <w:pPr>
        <w:pStyle w:val="Heading2"/>
      </w:pPr>
      <w:r>
        <w:t>Overview</w:t>
      </w:r>
    </w:p>
    <w:p w14:paraId="41DDE540" w14:textId="77777777" w:rsidR="009C5522" w:rsidRDefault="00000000">
      <w:r>
        <w:t>This solution outlines a scalable and secure approach to supporting multi-tenant connectivity across distributed infrastructure using Linux-native networking constructs. It leverages IPsec tunnels, VRFs, VXLAN overlays, custom DNS forwarding, and BGP routing to deliver strong tenant isolation, dynamic routing, and service discoverability.</w:t>
      </w:r>
    </w:p>
    <w:p w14:paraId="78B090DA" w14:textId="77777777" w:rsidR="009C5522" w:rsidRDefault="00000000">
      <w:pPr>
        <w:pStyle w:val="Heading2"/>
      </w:pPr>
      <w:r>
        <w:t>Key Capabilities</w:t>
      </w:r>
    </w:p>
    <w:p w14:paraId="28B1FBC6" w14:textId="77777777" w:rsidR="009C5522" w:rsidRDefault="00000000">
      <w:pPr>
        <w:pStyle w:val="ListBullet"/>
      </w:pPr>
      <w:r>
        <w:t>Secure Tenant Connectivity</w:t>
      </w:r>
    </w:p>
    <w:p w14:paraId="4F14A914" w14:textId="77777777" w:rsidR="009C5522" w:rsidRDefault="00000000">
      <w:pPr>
        <w:pStyle w:val="ListBullet"/>
      </w:pPr>
      <w:r>
        <w:t>Routing Domain Isolation</w:t>
      </w:r>
    </w:p>
    <w:p w14:paraId="66A74F69" w14:textId="77777777" w:rsidR="009C5522" w:rsidRDefault="00000000">
      <w:pPr>
        <w:pStyle w:val="ListBullet"/>
      </w:pPr>
      <w:r>
        <w:t>Cross-Node VRF Extension</w:t>
      </w:r>
    </w:p>
    <w:p w14:paraId="3B9E659B" w14:textId="77777777" w:rsidR="009C5522" w:rsidRDefault="00000000">
      <w:pPr>
        <w:pStyle w:val="ListBullet"/>
      </w:pPr>
      <w:r>
        <w:t>Dynamic Routing with BGP</w:t>
      </w:r>
    </w:p>
    <w:p w14:paraId="46ACCBD1" w14:textId="77777777" w:rsidR="009C5522" w:rsidRDefault="00000000">
      <w:pPr>
        <w:pStyle w:val="ListBullet"/>
      </w:pPr>
      <w:r>
        <w:t>Custom DNS Forwarding</w:t>
      </w:r>
    </w:p>
    <w:p w14:paraId="6E13E8F7" w14:textId="77777777" w:rsidR="009C5522" w:rsidRDefault="00000000">
      <w:pPr>
        <w:pStyle w:val="Heading2"/>
      </w:pPr>
      <w:r>
        <w:t>Benefits</w:t>
      </w:r>
    </w:p>
    <w:p w14:paraId="0CDD35FB" w14:textId="77777777" w:rsidR="009C5522" w:rsidRDefault="00000000">
      <w:pPr>
        <w:pStyle w:val="ListBullet"/>
      </w:pPr>
      <w:r>
        <w:t>Isolation: Strong separation of routing, DNS, and traffic per tenant</w:t>
      </w:r>
    </w:p>
    <w:p w14:paraId="1D6CA764" w14:textId="77777777" w:rsidR="009C5522" w:rsidRDefault="00000000">
      <w:pPr>
        <w:pStyle w:val="ListBullet"/>
      </w:pPr>
      <w:r>
        <w:t>Security: Encrypted tunnels with identity-aware authentication</w:t>
      </w:r>
    </w:p>
    <w:p w14:paraId="6C5E6C8F" w14:textId="77777777" w:rsidR="009C5522" w:rsidRDefault="00000000">
      <w:pPr>
        <w:pStyle w:val="ListBullet"/>
      </w:pPr>
      <w:r>
        <w:t>Scalability: Modular design supports horizontal scaling across nodes</w:t>
      </w:r>
    </w:p>
    <w:p w14:paraId="7D77A3DB" w14:textId="77777777" w:rsidR="009C5522" w:rsidRDefault="00000000">
      <w:pPr>
        <w:pStyle w:val="ListBullet"/>
      </w:pPr>
      <w:r>
        <w:t>Interoperability: Standards-based (IPsec, BGP, VXLAN, DNS) and platform-neutral</w:t>
      </w:r>
    </w:p>
    <w:p w14:paraId="71D5F6C7" w14:textId="77777777" w:rsidR="009C5522" w:rsidRDefault="00000000">
      <w:pPr>
        <w:pStyle w:val="ListBullet"/>
      </w:pPr>
      <w:r>
        <w:t>Observability: Per-tenant logging, metrics, and routing visibility</w:t>
      </w:r>
    </w:p>
    <w:p w14:paraId="386911A0" w14:textId="77777777" w:rsidR="009C5522" w:rsidRDefault="00000000">
      <w:pPr>
        <w:pStyle w:val="Heading2"/>
      </w:pPr>
      <w:r>
        <w:t>Applicability</w:t>
      </w:r>
    </w:p>
    <w:p w14:paraId="31D5FF2B" w14:textId="77777777" w:rsidR="009C5522" w:rsidRDefault="00000000">
      <w:r>
        <w:t>This architecture is suitable for:</w:t>
      </w:r>
    </w:p>
    <w:p w14:paraId="79AAD881" w14:textId="77777777" w:rsidR="009C5522" w:rsidRDefault="00000000">
      <w:pPr>
        <w:pStyle w:val="ListBullet"/>
      </w:pPr>
      <w:r>
        <w:t>Service providers offering secure tenant connectivity</w:t>
      </w:r>
    </w:p>
    <w:p w14:paraId="2A40BC6F" w14:textId="77777777" w:rsidR="009C5522" w:rsidRDefault="00000000">
      <w:pPr>
        <w:pStyle w:val="ListBullet"/>
      </w:pPr>
      <w:r>
        <w:t>Enterprises with segmented business units or partners</w:t>
      </w:r>
    </w:p>
    <w:p w14:paraId="1089B3A3" w14:textId="77777777" w:rsidR="009C5522" w:rsidRDefault="00000000">
      <w:pPr>
        <w:pStyle w:val="ListBullet"/>
      </w:pPr>
      <w:r>
        <w:t>Edge deployments requiring secure multi-site communication</w:t>
      </w:r>
    </w:p>
    <w:p w14:paraId="0DBD285E" w14:textId="77777777" w:rsidR="009C5522" w:rsidRDefault="00000000">
      <w:pPr>
        <w:pStyle w:val="ListBullet"/>
      </w:pPr>
      <w:r>
        <w:t>Hybrid cloud environments needing tenant-aware routing and DNS</w:t>
      </w:r>
    </w:p>
    <w:sectPr w:rsidR="009C55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700348">
    <w:abstractNumId w:val="8"/>
  </w:num>
  <w:num w:numId="2" w16cid:durableId="756369165">
    <w:abstractNumId w:val="6"/>
  </w:num>
  <w:num w:numId="3" w16cid:durableId="578246088">
    <w:abstractNumId w:val="5"/>
  </w:num>
  <w:num w:numId="4" w16cid:durableId="1636762957">
    <w:abstractNumId w:val="4"/>
  </w:num>
  <w:num w:numId="5" w16cid:durableId="369648033">
    <w:abstractNumId w:val="7"/>
  </w:num>
  <w:num w:numId="6" w16cid:durableId="190270399">
    <w:abstractNumId w:val="3"/>
  </w:num>
  <w:num w:numId="7" w16cid:durableId="526912857">
    <w:abstractNumId w:val="2"/>
  </w:num>
  <w:num w:numId="8" w16cid:durableId="1253856625">
    <w:abstractNumId w:val="1"/>
  </w:num>
  <w:num w:numId="9" w16cid:durableId="190128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041"/>
    <w:rsid w:val="0015074B"/>
    <w:rsid w:val="0029639D"/>
    <w:rsid w:val="00326F90"/>
    <w:rsid w:val="006C3CBA"/>
    <w:rsid w:val="009C55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17F87"/>
  <w14:defaultImageDpi w14:val="300"/>
  <w15:docId w15:val="{D1BF49D5-E560-2541-8794-C10EB900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Colossus Technologies Group</cp:lastModifiedBy>
  <cp:revision>2</cp:revision>
  <dcterms:created xsi:type="dcterms:W3CDTF">2013-12-23T23:15:00Z</dcterms:created>
  <dcterms:modified xsi:type="dcterms:W3CDTF">2025-10-28T18:24:00Z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2025-10-28T18:24:43Z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554ce0cf-b8f7-44f6-ba0d-163e8af1e30a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