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798C" w14:textId="77777777" w:rsidR="001F1D11" w:rsidRDefault="001F1D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Outcome:</w:t>
      </w:r>
    </w:p>
    <w:p w14:paraId="58609E51" w14:textId="77777777" w:rsidR="001F1D11" w:rsidRDefault="001F1D11">
      <w:pPr>
        <w:rPr>
          <w:rFonts w:ascii="Times New Roman" w:hAnsi="Times New Roman" w:cs="Times New Roman"/>
        </w:rPr>
      </w:pPr>
    </w:p>
    <w:p w14:paraId="6AF0588C" w14:textId="0DA677CC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 xml:space="preserve">Secure, segmented, and automatable connectivity for third parties to access SFTP, VDI, internal web applications, and external web applications. The platform must provide consumer-specific DNS answers, support split-horizon DNS, steer traffic over VPN vs public </w:t>
      </w:r>
      <w:proofErr w:type="gramStart"/>
      <w:r w:rsidRPr="001F1D11">
        <w:rPr>
          <w:rFonts w:ascii="Times New Roman" w:hAnsi="Times New Roman" w:cs="Times New Roman"/>
        </w:rPr>
        <w:t>paths</w:t>
      </w:r>
      <w:proofErr w:type="gramEnd"/>
      <w:r w:rsidRPr="001F1D11">
        <w:rPr>
          <w:rFonts w:ascii="Times New Roman" w:hAnsi="Times New Roman" w:cs="Times New Roman"/>
        </w:rPr>
        <w:t xml:space="preserve"> accordingly, advertise application-specific IP address spaces via BGP, and offer a self-service workflow so non-technical users can provision connections via a web form.</w:t>
      </w:r>
    </w:p>
    <w:p w14:paraId="2181D4F1" w14:textId="77777777" w:rsidR="003E5C86" w:rsidRPr="001F1D11" w:rsidRDefault="00000000">
      <w:pPr>
        <w:pStyle w:val="Heading1"/>
        <w:rPr>
          <w:rFonts w:ascii="Times New Roman" w:hAnsi="Times New Roman" w:cs="Times New Roman"/>
          <w:b w:val="0"/>
          <w:bCs w:val="0"/>
        </w:rPr>
      </w:pPr>
      <w:r w:rsidRPr="001F1D11">
        <w:rPr>
          <w:rFonts w:ascii="Times New Roman" w:hAnsi="Times New Roman" w:cs="Times New Roman"/>
          <w:b w:val="0"/>
          <w:bCs w:val="0"/>
        </w:rPr>
        <w:t>1) Key Outcomes</w:t>
      </w:r>
    </w:p>
    <w:p w14:paraId="0CD2F28D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Least-privilege, application-specific access per third party</w:t>
      </w:r>
    </w:p>
    <w:p w14:paraId="13AFCC43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Deterministic name resolution (per-consumer DNS views) and path selection</w:t>
      </w:r>
    </w:p>
    <w:p w14:paraId="5A3BF34A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Repeatable provisioning through APIs and guided, non-technical form</w:t>
      </w:r>
    </w:p>
    <w:p w14:paraId="48F14CA0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Operational visibility and auditable policy changes</w:t>
      </w:r>
    </w:p>
    <w:p w14:paraId="6C1581CB" w14:textId="77777777" w:rsidR="003E5C86" w:rsidRPr="001F1D11" w:rsidRDefault="00000000">
      <w:pPr>
        <w:pStyle w:val="Heading1"/>
        <w:rPr>
          <w:rFonts w:ascii="Times New Roman" w:hAnsi="Times New Roman" w:cs="Times New Roman"/>
          <w:b w:val="0"/>
          <w:bCs w:val="0"/>
        </w:rPr>
      </w:pPr>
      <w:r w:rsidRPr="001F1D11">
        <w:rPr>
          <w:rFonts w:ascii="Times New Roman" w:hAnsi="Times New Roman" w:cs="Times New Roman"/>
          <w:b w:val="0"/>
          <w:bCs w:val="0"/>
        </w:rPr>
        <w:t>2) Functional Requirements (Mandatory)</w:t>
      </w:r>
    </w:p>
    <w:p w14:paraId="102149A0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Access patterns</w:t>
      </w:r>
    </w:p>
    <w:p w14:paraId="681242C8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1. SFTP: SFTP over SSH with policy limiting to protocol/host/port and optional account mapping.</w:t>
      </w:r>
    </w:p>
    <w:p w14:paraId="1F98F3AF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2. VDI: Support RDP/3389, PCoIP/4172, Blast/8443 with app-/pool-level scoping.</w:t>
      </w:r>
    </w:p>
    <w:p w14:paraId="49C9522C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3. Internal Web Apps: Reverse proxy or ZTNA-style access with optional header/policy injection.</w:t>
      </w:r>
    </w:p>
    <w:p w14:paraId="4B623468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4. External Web Apps: Policy-gated egress or brokered access (per-domain/URL).</w:t>
      </w:r>
    </w:p>
    <w:p w14:paraId="11814C21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Connectivity &amp; Routing</w:t>
      </w:r>
    </w:p>
    <w:p w14:paraId="2852595E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5. IPsec site-to-site using IKEv2 (RFC 7296) with modern suites (AES-GCM, SHA-2, PFS).</w:t>
      </w:r>
    </w:p>
    <w:p w14:paraId="7A3B3AA5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6. Interoperability: Arista, Cisco, Check Point, Fortinet, Palo Alto, Juniper, Linux/strongSwan.</w:t>
      </w:r>
    </w:p>
    <w:p w14:paraId="4D45C16E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7. BGP (RFC 4271) to advertise per-service prefixes; route policy (in/out), MED/local-pref, communities, graceful restart.</w:t>
      </w:r>
    </w:p>
    <w:p w14:paraId="081A6B9C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8. Traffic steering: Split private resources (VPN) vs public/SaaS (direct) based on DNS view/policy.</w:t>
      </w:r>
    </w:p>
    <w:p w14:paraId="789F008F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DNS &amp; Name Resolution</w:t>
      </w:r>
    </w:p>
    <w:p w14:paraId="06E55355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9. Consumer-specific DNS answers (per-tenant views) mapping FQDNs to target records.</w:t>
      </w:r>
    </w:p>
    <w:p w14:paraId="26BA8E37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lastRenderedPageBreak/>
        <w:t>10. Split-horizon DNS: private answers → private IPs (VPN path); public answers → public IPs (non-VPN).</w:t>
      </w:r>
    </w:p>
    <w:p w14:paraId="5DEE9F82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11. Conditional forwarding; optional DoT/DoH upstream.</w:t>
      </w:r>
    </w:p>
    <w:p w14:paraId="266A1BAA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Security &amp; Segmentation</w:t>
      </w:r>
    </w:p>
    <w:p w14:paraId="4FB40FA4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12. Per-connection micro-segments (security groups/ACLs) bound to selected service pattern(s).</w:t>
      </w:r>
    </w:p>
    <w:p w14:paraId="49C8D9F9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13. Identity integration (SAML/OIDC) and MFA for interactive use cases (VDI/Web).</w:t>
      </w:r>
    </w:p>
    <w:p w14:paraId="395F05AA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14. Encryption in transit (TLS 1.2+; TLS 1.3 preferred); FIPS 140-3 crypto modules (preferred).</w:t>
      </w:r>
    </w:p>
    <w:p w14:paraId="0D692D4B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15. Full audit trail; export logs/decisions to SIEM.</w:t>
      </w:r>
    </w:p>
    <w:p w14:paraId="16FB4441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Automation &amp; Self-Service</w:t>
      </w:r>
    </w:p>
    <w:p w14:paraId="40763952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16. Full API coverage (OpenAPI/Swagger) and webhooks/events.</w:t>
      </w:r>
    </w:p>
    <w:p w14:paraId="1281D21D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17. IaC support (Terraform provider and/or Ansible modules).</w:t>
      </w:r>
    </w:p>
    <w:p w14:paraId="1966556A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18. Self-service web form inputs: third-party VPN vendor/type, VPN public IP, contact email(s) (Connection ID), selected service pattern(s), optional ASN/prefixes/DNS zones.</w:t>
      </w:r>
    </w:p>
    <w:p w14:paraId="05E783CD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19. Auto-generate config bundles (IPsec/BGP snippets, DNS view entries) and health checks.</w:t>
      </w:r>
    </w:p>
    <w:p w14:paraId="1DB7FD1B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Observability &amp; Operations</w:t>
      </w:r>
    </w:p>
    <w:p w14:paraId="3675C00A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20. Health monitoring of tunnels/BGP/DNS/app reachability; status via APIs.</w:t>
      </w:r>
    </w:p>
    <w:p w14:paraId="5E550132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21. Metrics and logs export (Syslog/JSON/CEF) to SIEM/observability stack.</w:t>
      </w:r>
    </w:p>
    <w:p w14:paraId="7E1BB287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22. RBAC for network, security, and business users (least privilege).</w:t>
      </w:r>
    </w:p>
    <w:p w14:paraId="079CDD4F" w14:textId="77777777" w:rsidR="003E5C86" w:rsidRPr="001F1D11" w:rsidRDefault="00000000">
      <w:pPr>
        <w:pStyle w:val="Heading1"/>
        <w:rPr>
          <w:rFonts w:ascii="Times New Roman" w:hAnsi="Times New Roman" w:cs="Times New Roman"/>
          <w:b w:val="0"/>
          <w:bCs w:val="0"/>
        </w:rPr>
      </w:pPr>
      <w:r w:rsidRPr="001F1D11">
        <w:rPr>
          <w:rFonts w:ascii="Times New Roman" w:hAnsi="Times New Roman" w:cs="Times New Roman"/>
          <w:b w:val="0"/>
          <w:bCs w:val="0"/>
        </w:rPr>
        <w:t>3) Service Pattern Catalog (Required at Launch)</w:t>
      </w:r>
    </w:p>
    <w:p w14:paraId="27E2C158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Vendors must provide turnkey templates for each pattern with default ports, health checks, and sample policies:</w:t>
      </w:r>
    </w:p>
    <w:p w14:paraId="412015CD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SFTP: FQDN(s) → SFTP VIP(s); TCP/22 only; optional account restrictions.</w:t>
      </w:r>
    </w:p>
    <w:p w14:paraId="06F1223B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VDI: FQDN(s) → broker/VIP(s); RDP/3389, PCoIP/4172, Blast/8443 as applicable.</w:t>
      </w:r>
    </w:p>
    <w:p w14:paraId="6BBAF338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Internal Web App: FQDN(s) → reverse proxy; 80/443; optional header insertion, path rules.</w:t>
      </w:r>
    </w:p>
    <w:p w14:paraId="7E11979D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External Web App / SaaS: Domain allow-list with egress policy; optional HTTP(S) proxy or ZTNA broker.</w:t>
      </w:r>
    </w:p>
    <w:p w14:paraId="03F24E03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Each pattern must declare DNS records &amp; views, IP prefixes (if any) to advertise via BGP, ACLs, health checks/SLO probes, and logging fields (tenant/connection ID, rule ID, FQDN, action).</w:t>
      </w:r>
    </w:p>
    <w:p w14:paraId="01A772D4" w14:textId="77777777" w:rsidR="003E5C86" w:rsidRPr="001F1D11" w:rsidRDefault="00000000">
      <w:pPr>
        <w:pStyle w:val="Heading1"/>
        <w:rPr>
          <w:rFonts w:ascii="Times New Roman" w:hAnsi="Times New Roman" w:cs="Times New Roman"/>
          <w:b w:val="0"/>
          <w:bCs w:val="0"/>
        </w:rPr>
      </w:pPr>
      <w:r w:rsidRPr="001F1D11">
        <w:rPr>
          <w:rFonts w:ascii="Times New Roman" w:hAnsi="Times New Roman" w:cs="Times New Roman"/>
          <w:b w:val="0"/>
          <w:bCs w:val="0"/>
        </w:rPr>
        <w:lastRenderedPageBreak/>
        <w:t>4) Non-Functional Requirements</w:t>
      </w:r>
    </w:p>
    <w:p w14:paraId="0FECE92A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Availability: ≥99.9% monthly control plane; ≥99.95% data plane (tunnel/BGP).</w:t>
      </w:r>
    </w:p>
    <w:p w14:paraId="0EB9A1F1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Scalability: ≥500 concurrent third-party connections; ≥1,000 FQDNs across DNS views.</w:t>
      </w:r>
    </w:p>
    <w:p w14:paraId="02864394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Performance: &lt;200 ms p95 for web apps over platform (excluding public internet path).</w:t>
      </w:r>
    </w:p>
    <w:p w14:paraId="73DB3641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Compliance: SOC 2 Type II; ISO/IEC 27001 (preferred).</w:t>
      </w:r>
    </w:p>
    <w:p w14:paraId="3BBD47A0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Support: 24×7 with 1-hour P1 response; RFO for Sev-1 within 5 business days.</w:t>
      </w:r>
    </w:p>
    <w:p w14:paraId="67719C6A" w14:textId="77777777" w:rsidR="003E5C86" w:rsidRPr="001F1D11" w:rsidRDefault="00000000">
      <w:pPr>
        <w:pStyle w:val="Heading1"/>
        <w:rPr>
          <w:rFonts w:ascii="Times New Roman" w:hAnsi="Times New Roman" w:cs="Times New Roman"/>
          <w:b w:val="0"/>
          <w:bCs w:val="0"/>
        </w:rPr>
      </w:pPr>
      <w:r w:rsidRPr="001F1D11">
        <w:rPr>
          <w:rFonts w:ascii="Times New Roman" w:hAnsi="Times New Roman" w:cs="Times New Roman"/>
          <w:b w:val="0"/>
          <w:bCs w:val="0"/>
        </w:rPr>
        <w:t>5) Integration Requirements</w:t>
      </w:r>
    </w:p>
    <w:p w14:paraId="0C8A7FCE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IdP: SAML 2.0 / OIDC (Azure AD/Microsoft Entra ID preferred).</w:t>
      </w:r>
    </w:p>
    <w:p w14:paraId="3855A787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PKI: mTLS for admin/API; ACME automation for proxy certs.</w:t>
      </w:r>
    </w:p>
    <w:p w14:paraId="4908A788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Change control: Signed, versioned policy packages; staging→prod promotion workflow.</w:t>
      </w:r>
    </w:p>
    <w:p w14:paraId="6C0FDCCD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CMDB/ITSM: Webhook/API to create/update CIs and change tickets on connection lifecycle events.</w:t>
      </w:r>
    </w:p>
    <w:p w14:paraId="3796A0DB" w14:textId="77777777" w:rsidR="003E5C86" w:rsidRPr="001F1D11" w:rsidRDefault="00000000">
      <w:pPr>
        <w:pStyle w:val="Heading1"/>
        <w:rPr>
          <w:rFonts w:ascii="Times New Roman" w:hAnsi="Times New Roman" w:cs="Times New Roman"/>
          <w:b w:val="0"/>
          <w:bCs w:val="0"/>
        </w:rPr>
      </w:pPr>
      <w:r w:rsidRPr="001F1D11">
        <w:rPr>
          <w:rFonts w:ascii="Times New Roman" w:hAnsi="Times New Roman" w:cs="Times New Roman"/>
          <w:b w:val="0"/>
          <w:bCs w:val="0"/>
        </w:rPr>
        <w:t>6) Deliverables</w:t>
      </w:r>
    </w:p>
    <w:p w14:paraId="28A5B91E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1. HLD/LLD with data flows per pattern.</w:t>
      </w:r>
    </w:p>
    <w:p w14:paraId="78BB7947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2. Runbooks for onboarding, key rotation, cert renewal, and offboarding.</w:t>
      </w:r>
    </w:p>
    <w:p w14:paraId="4B28A0A3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3. Terraform modules and OpenAPI spec; sample CI/CD pipelines for zero-touch provisioning.</w:t>
      </w:r>
    </w:p>
    <w:p w14:paraId="70A77331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4. Interoperability guides for Arista, Cisco, Check Point, Fortinet, Palo Alto, Juniper, Linux/strongSwan.</w:t>
      </w:r>
    </w:p>
    <w:p w14:paraId="62FB00CE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5. Test plan and results for IPsec/IKEv2, BGP policy, DNS split-horizon, and failover.</w:t>
      </w:r>
    </w:p>
    <w:p w14:paraId="525ACF27" w14:textId="77777777" w:rsidR="003E5C86" w:rsidRPr="001F1D11" w:rsidRDefault="00000000">
      <w:pPr>
        <w:pStyle w:val="Heading1"/>
        <w:rPr>
          <w:rFonts w:ascii="Times New Roman" w:hAnsi="Times New Roman" w:cs="Times New Roman"/>
          <w:b w:val="0"/>
          <w:bCs w:val="0"/>
        </w:rPr>
      </w:pPr>
      <w:r w:rsidRPr="001F1D11">
        <w:rPr>
          <w:rFonts w:ascii="Times New Roman" w:hAnsi="Times New Roman" w:cs="Times New Roman"/>
          <w:b w:val="0"/>
          <w:bCs w:val="0"/>
        </w:rPr>
        <w:t>7) Vendor Response Format (Concise)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5C86" w:rsidRPr="001F1D11" w14:paraId="071C2D51" w14:textId="77777777">
        <w:tc>
          <w:tcPr>
            <w:tcW w:w="2160" w:type="dxa"/>
          </w:tcPr>
          <w:p w14:paraId="00C9EFBA" w14:textId="77777777" w:rsidR="003E5C86" w:rsidRPr="001F1D11" w:rsidRDefault="00000000">
            <w:pPr>
              <w:rPr>
                <w:rFonts w:ascii="Times New Roman" w:hAnsi="Times New Roman" w:cs="Times New Roman"/>
              </w:rPr>
            </w:pPr>
            <w:r w:rsidRPr="001F1D11"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2160" w:type="dxa"/>
          </w:tcPr>
          <w:p w14:paraId="5DFE5CE7" w14:textId="77777777" w:rsidR="003E5C86" w:rsidRPr="001F1D11" w:rsidRDefault="00000000">
            <w:pPr>
              <w:rPr>
                <w:rFonts w:ascii="Times New Roman" w:hAnsi="Times New Roman" w:cs="Times New Roman"/>
              </w:rPr>
            </w:pPr>
            <w:r w:rsidRPr="001F1D11">
              <w:rPr>
                <w:rFonts w:ascii="Times New Roman" w:hAnsi="Times New Roman" w:cs="Times New Roman"/>
              </w:rPr>
              <w:t>Requirement ID</w:t>
            </w:r>
          </w:p>
        </w:tc>
        <w:tc>
          <w:tcPr>
            <w:tcW w:w="2160" w:type="dxa"/>
          </w:tcPr>
          <w:p w14:paraId="023EFBD0" w14:textId="77777777" w:rsidR="003E5C86" w:rsidRPr="001F1D11" w:rsidRDefault="00000000">
            <w:pPr>
              <w:rPr>
                <w:rFonts w:ascii="Times New Roman" w:hAnsi="Times New Roman" w:cs="Times New Roman"/>
              </w:rPr>
            </w:pPr>
            <w:r w:rsidRPr="001F1D11">
              <w:rPr>
                <w:rFonts w:ascii="Times New Roman" w:hAnsi="Times New Roman" w:cs="Times New Roman"/>
              </w:rPr>
              <w:t>Compliant (Y/N/Partial)</w:t>
            </w:r>
          </w:p>
        </w:tc>
        <w:tc>
          <w:tcPr>
            <w:tcW w:w="2160" w:type="dxa"/>
          </w:tcPr>
          <w:p w14:paraId="454F1D19" w14:textId="77777777" w:rsidR="003E5C86" w:rsidRPr="001F1D11" w:rsidRDefault="00000000">
            <w:pPr>
              <w:rPr>
                <w:rFonts w:ascii="Times New Roman" w:hAnsi="Times New Roman" w:cs="Times New Roman"/>
              </w:rPr>
            </w:pPr>
            <w:r w:rsidRPr="001F1D11">
              <w:rPr>
                <w:rFonts w:ascii="Times New Roman" w:hAnsi="Times New Roman" w:cs="Times New Roman"/>
              </w:rPr>
              <w:t>Notes / Evidence (doc link, page#)</w:t>
            </w:r>
          </w:p>
        </w:tc>
      </w:tr>
      <w:tr w:rsidR="003E5C86" w:rsidRPr="001F1D11" w14:paraId="0552AC8E" w14:textId="77777777">
        <w:tc>
          <w:tcPr>
            <w:tcW w:w="2160" w:type="dxa"/>
          </w:tcPr>
          <w:p w14:paraId="5F032FC0" w14:textId="77777777" w:rsidR="003E5C86" w:rsidRPr="001F1D11" w:rsidRDefault="00000000">
            <w:pPr>
              <w:rPr>
                <w:rFonts w:ascii="Times New Roman" w:hAnsi="Times New Roman" w:cs="Times New Roman"/>
              </w:rPr>
            </w:pPr>
            <w:r w:rsidRPr="001F1D11"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2160" w:type="dxa"/>
          </w:tcPr>
          <w:p w14:paraId="184BC2DA" w14:textId="77777777" w:rsidR="003E5C86" w:rsidRPr="001F1D11" w:rsidRDefault="00000000">
            <w:pPr>
              <w:rPr>
                <w:rFonts w:ascii="Times New Roman" w:hAnsi="Times New Roman" w:cs="Times New Roman"/>
              </w:rPr>
            </w:pPr>
            <w:r w:rsidRPr="001F1D11">
              <w:rPr>
                <w:rFonts w:ascii="Times New Roman" w:hAnsi="Times New Roman" w:cs="Times New Roman"/>
              </w:rPr>
              <w:t>1–22</w:t>
            </w:r>
          </w:p>
        </w:tc>
        <w:tc>
          <w:tcPr>
            <w:tcW w:w="2160" w:type="dxa"/>
          </w:tcPr>
          <w:p w14:paraId="2D7EE077" w14:textId="77777777" w:rsidR="003E5C86" w:rsidRPr="001F1D11" w:rsidRDefault="003E5C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777602B4" w14:textId="77777777" w:rsidR="003E5C86" w:rsidRPr="001F1D11" w:rsidRDefault="003E5C86">
            <w:pPr>
              <w:rPr>
                <w:rFonts w:ascii="Times New Roman" w:hAnsi="Times New Roman" w:cs="Times New Roman"/>
              </w:rPr>
            </w:pPr>
          </w:p>
        </w:tc>
      </w:tr>
      <w:tr w:rsidR="003E5C86" w:rsidRPr="001F1D11" w14:paraId="21341EE4" w14:textId="77777777">
        <w:tc>
          <w:tcPr>
            <w:tcW w:w="2160" w:type="dxa"/>
          </w:tcPr>
          <w:p w14:paraId="4FB26C1F" w14:textId="77777777" w:rsidR="003E5C86" w:rsidRPr="001F1D11" w:rsidRDefault="00000000">
            <w:pPr>
              <w:rPr>
                <w:rFonts w:ascii="Times New Roman" w:hAnsi="Times New Roman" w:cs="Times New Roman"/>
              </w:rPr>
            </w:pPr>
            <w:r w:rsidRPr="001F1D11">
              <w:rPr>
                <w:rFonts w:ascii="Times New Roman" w:hAnsi="Times New Roman" w:cs="Times New Roman"/>
              </w:rPr>
              <w:t>Catalog</w:t>
            </w:r>
          </w:p>
        </w:tc>
        <w:tc>
          <w:tcPr>
            <w:tcW w:w="2160" w:type="dxa"/>
          </w:tcPr>
          <w:p w14:paraId="0AEAC55F" w14:textId="77777777" w:rsidR="003E5C86" w:rsidRPr="001F1D11" w:rsidRDefault="00000000">
            <w:pPr>
              <w:rPr>
                <w:rFonts w:ascii="Times New Roman" w:hAnsi="Times New Roman" w:cs="Times New Roman"/>
              </w:rPr>
            </w:pPr>
            <w:r w:rsidRPr="001F1D11">
              <w:rPr>
                <w:rFonts w:ascii="Times New Roman" w:hAnsi="Times New Roman" w:cs="Times New Roman"/>
              </w:rPr>
              <w:t>SFTP / VDI / Int Web / Ext Web</w:t>
            </w:r>
          </w:p>
        </w:tc>
        <w:tc>
          <w:tcPr>
            <w:tcW w:w="2160" w:type="dxa"/>
          </w:tcPr>
          <w:p w14:paraId="6BA27466" w14:textId="77777777" w:rsidR="003E5C86" w:rsidRPr="001F1D11" w:rsidRDefault="003E5C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258514F" w14:textId="77777777" w:rsidR="003E5C86" w:rsidRPr="001F1D11" w:rsidRDefault="003E5C86">
            <w:pPr>
              <w:rPr>
                <w:rFonts w:ascii="Times New Roman" w:hAnsi="Times New Roman" w:cs="Times New Roman"/>
              </w:rPr>
            </w:pPr>
          </w:p>
        </w:tc>
      </w:tr>
      <w:tr w:rsidR="003E5C86" w:rsidRPr="001F1D11" w14:paraId="15495A15" w14:textId="77777777">
        <w:tc>
          <w:tcPr>
            <w:tcW w:w="2160" w:type="dxa"/>
          </w:tcPr>
          <w:p w14:paraId="6791C67A" w14:textId="77777777" w:rsidR="003E5C86" w:rsidRPr="001F1D11" w:rsidRDefault="00000000">
            <w:pPr>
              <w:rPr>
                <w:rFonts w:ascii="Times New Roman" w:hAnsi="Times New Roman" w:cs="Times New Roman"/>
              </w:rPr>
            </w:pPr>
            <w:r w:rsidRPr="001F1D11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2160" w:type="dxa"/>
          </w:tcPr>
          <w:p w14:paraId="5E781241" w14:textId="77777777" w:rsidR="003E5C86" w:rsidRPr="001F1D11" w:rsidRDefault="00000000">
            <w:pPr>
              <w:rPr>
                <w:rFonts w:ascii="Times New Roman" w:hAnsi="Times New Roman" w:cs="Times New Roman"/>
              </w:rPr>
            </w:pPr>
            <w:r w:rsidRPr="001F1D11">
              <w:rPr>
                <w:rFonts w:ascii="Times New Roman" w:hAnsi="Times New Roman" w:cs="Times New Roman"/>
              </w:rPr>
              <w:t>A1–A6</w:t>
            </w:r>
          </w:p>
        </w:tc>
        <w:tc>
          <w:tcPr>
            <w:tcW w:w="2160" w:type="dxa"/>
          </w:tcPr>
          <w:p w14:paraId="3F6142F2" w14:textId="77777777" w:rsidR="003E5C86" w:rsidRPr="001F1D11" w:rsidRDefault="003E5C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11521702" w14:textId="77777777" w:rsidR="003E5C86" w:rsidRPr="001F1D11" w:rsidRDefault="003E5C86">
            <w:pPr>
              <w:rPr>
                <w:rFonts w:ascii="Times New Roman" w:hAnsi="Times New Roman" w:cs="Times New Roman"/>
              </w:rPr>
            </w:pPr>
          </w:p>
        </w:tc>
      </w:tr>
      <w:tr w:rsidR="003E5C86" w:rsidRPr="001F1D11" w14:paraId="6499A88C" w14:textId="77777777">
        <w:tc>
          <w:tcPr>
            <w:tcW w:w="2160" w:type="dxa"/>
          </w:tcPr>
          <w:p w14:paraId="3A118D81" w14:textId="77777777" w:rsidR="003E5C86" w:rsidRPr="001F1D11" w:rsidRDefault="00000000">
            <w:pPr>
              <w:rPr>
                <w:rFonts w:ascii="Times New Roman" w:hAnsi="Times New Roman" w:cs="Times New Roman"/>
              </w:rPr>
            </w:pPr>
            <w:r w:rsidRPr="001F1D11">
              <w:rPr>
                <w:rFonts w:ascii="Times New Roman" w:hAnsi="Times New Roman" w:cs="Times New Roman"/>
              </w:rPr>
              <w:t>Integration</w:t>
            </w:r>
          </w:p>
        </w:tc>
        <w:tc>
          <w:tcPr>
            <w:tcW w:w="2160" w:type="dxa"/>
          </w:tcPr>
          <w:p w14:paraId="4E6E5857" w14:textId="77777777" w:rsidR="003E5C86" w:rsidRPr="001F1D11" w:rsidRDefault="00000000">
            <w:pPr>
              <w:rPr>
                <w:rFonts w:ascii="Times New Roman" w:hAnsi="Times New Roman" w:cs="Times New Roman"/>
              </w:rPr>
            </w:pPr>
            <w:r w:rsidRPr="001F1D11">
              <w:rPr>
                <w:rFonts w:ascii="Times New Roman" w:hAnsi="Times New Roman" w:cs="Times New Roman"/>
              </w:rPr>
              <w:t>I1–I4</w:t>
            </w:r>
          </w:p>
        </w:tc>
        <w:tc>
          <w:tcPr>
            <w:tcW w:w="2160" w:type="dxa"/>
          </w:tcPr>
          <w:p w14:paraId="7A3FF092" w14:textId="77777777" w:rsidR="003E5C86" w:rsidRPr="001F1D11" w:rsidRDefault="003E5C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01FD119F" w14:textId="77777777" w:rsidR="003E5C86" w:rsidRPr="001F1D11" w:rsidRDefault="003E5C86">
            <w:pPr>
              <w:rPr>
                <w:rFonts w:ascii="Times New Roman" w:hAnsi="Times New Roman" w:cs="Times New Roman"/>
              </w:rPr>
            </w:pPr>
          </w:p>
        </w:tc>
      </w:tr>
      <w:tr w:rsidR="003E5C86" w:rsidRPr="001F1D11" w14:paraId="34AE0653" w14:textId="77777777">
        <w:tc>
          <w:tcPr>
            <w:tcW w:w="2160" w:type="dxa"/>
          </w:tcPr>
          <w:p w14:paraId="75E3EE02" w14:textId="77777777" w:rsidR="003E5C86" w:rsidRPr="001F1D11" w:rsidRDefault="00000000">
            <w:pPr>
              <w:rPr>
                <w:rFonts w:ascii="Times New Roman" w:hAnsi="Times New Roman" w:cs="Times New Roman"/>
              </w:rPr>
            </w:pPr>
            <w:r w:rsidRPr="001F1D11">
              <w:rPr>
                <w:rFonts w:ascii="Times New Roman" w:hAnsi="Times New Roman" w:cs="Times New Roman"/>
              </w:rPr>
              <w:lastRenderedPageBreak/>
              <w:t>Deliverables</w:t>
            </w:r>
          </w:p>
        </w:tc>
        <w:tc>
          <w:tcPr>
            <w:tcW w:w="2160" w:type="dxa"/>
          </w:tcPr>
          <w:p w14:paraId="442EA9D4" w14:textId="77777777" w:rsidR="003E5C86" w:rsidRPr="001F1D11" w:rsidRDefault="00000000">
            <w:pPr>
              <w:rPr>
                <w:rFonts w:ascii="Times New Roman" w:hAnsi="Times New Roman" w:cs="Times New Roman"/>
              </w:rPr>
            </w:pPr>
            <w:r w:rsidRPr="001F1D11">
              <w:rPr>
                <w:rFonts w:ascii="Times New Roman" w:hAnsi="Times New Roman" w:cs="Times New Roman"/>
              </w:rPr>
              <w:t>D1–D5</w:t>
            </w:r>
          </w:p>
        </w:tc>
        <w:tc>
          <w:tcPr>
            <w:tcW w:w="2160" w:type="dxa"/>
          </w:tcPr>
          <w:p w14:paraId="4D360175" w14:textId="77777777" w:rsidR="003E5C86" w:rsidRPr="001F1D11" w:rsidRDefault="003E5C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2BE2BE5F" w14:textId="77777777" w:rsidR="003E5C86" w:rsidRPr="001F1D11" w:rsidRDefault="003E5C86">
            <w:pPr>
              <w:rPr>
                <w:rFonts w:ascii="Times New Roman" w:hAnsi="Times New Roman" w:cs="Times New Roman"/>
              </w:rPr>
            </w:pPr>
          </w:p>
        </w:tc>
      </w:tr>
    </w:tbl>
    <w:p w14:paraId="13356064" w14:textId="77777777" w:rsidR="003E5C86" w:rsidRPr="001F1D11" w:rsidRDefault="00000000">
      <w:pPr>
        <w:pStyle w:val="Heading1"/>
        <w:rPr>
          <w:rFonts w:ascii="Times New Roman" w:hAnsi="Times New Roman" w:cs="Times New Roman"/>
          <w:b w:val="0"/>
          <w:bCs w:val="0"/>
        </w:rPr>
      </w:pPr>
      <w:r w:rsidRPr="001F1D11">
        <w:rPr>
          <w:rFonts w:ascii="Times New Roman" w:hAnsi="Times New Roman" w:cs="Times New Roman"/>
          <w:b w:val="0"/>
          <w:bCs w:val="0"/>
        </w:rPr>
        <w:t>8) Evaluation Criteria (with weights)</w:t>
      </w:r>
    </w:p>
    <w:p w14:paraId="01BFA5B0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Technical fit &amp; standards (IKEv2, BGP, DNS views) — 35%</w:t>
      </w:r>
    </w:p>
    <w:p w14:paraId="3043FDBF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Automation &amp; self-service depth — 25%</w:t>
      </w:r>
    </w:p>
    <w:p w14:paraId="3B6A53B1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Security &amp; observability — 20%</w:t>
      </w:r>
    </w:p>
    <w:p w14:paraId="79198CD5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Operability &amp; interoperability — 10%</w:t>
      </w:r>
    </w:p>
    <w:p w14:paraId="643CB7EB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Cost &amp; commercial terms — 10%</w:t>
      </w:r>
    </w:p>
    <w:p w14:paraId="0868ABD5" w14:textId="77777777" w:rsidR="003E5C86" w:rsidRPr="001F1D11" w:rsidRDefault="00000000">
      <w:pPr>
        <w:pStyle w:val="Heading1"/>
        <w:rPr>
          <w:rFonts w:ascii="Times New Roman" w:hAnsi="Times New Roman" w:cs="Times New Roman"/>
          <w:b w:val="0"/>
          <w:bCs w:val="0"/>
        </w:rPr>
      </w:pPr>
      <w:r w:rsidRPr="001F1D11">
        <w:rPr>
          <w:rFonts w:ascii="Times New Roman" w:hAnsi="Times New Roman" w:cs="Times New Roman"/>
          <w:b w:val="0"/>
          <w:bCs w:val="0"/>
        </w:rPr>
        <w:t>9) Submission &amp; Timeline</w:t>
      </w:r>
    </w:p>
    <w:p w14:paraId="3294CEB7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Questions due: [insert date]</w:t>
      </w:r>
    </w:p>
    <w:p w14:paraId="11CB0F23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Proposal due: [insert date]</w:t>
      </w:r>
    </w:p>
    <w:p w14:paraId="36105E39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Validity: 120 days</w:t>
      </w:r>
    </w:p>
    <w:p w14:paraId="2CFB8680" w14:textId="77777777" w:rsidR="003E5C86" w:rsidRPr="001F1D11" w:rsidRDefault="00000000">
      <w:pPr>
        <w:pStyle w:val="Heading1"/>
        <w:rPr>
          <w:rFonts w:ascii="Times New Roman" w:hAnsi="Times New Roman" w:cs="Times New Roman"/>
          <w:b w:val="0"/>
          <w:bCs w:val="0"/>
        </w:rPr>
      </w:pPr>
      <w:r w:rsidRPr="001F1D11">
        <w:rPr>
          <w:rFonts w:ascii="Times New Roman" w:hAnsi="Times New Roman" w:cs="Times New Roman"/>
          <w:b w:val="0"/>
          <w:bCs w:val="0"/>
        </w:rPr>
        <w:t>10) Notes on Standards</w:t>
      </w:r>
    </w:p>
    <w:p w14:paraId="4863B584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Site-to-site IKEv2: RFC 7296 (mandatory)</w:t>
      </w:r>
    </w:p>
    <w:p w14:paraId="34375AB3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BGP: RFC 4271 (mandatory)</w:t>
      </w:r>
    </w:p>
    <w:p w14:paraId="4A9F6563" w14:textId="77777777" w:rsidR="003E5C86" w:rsidRPr="001F1D11" w:rsidRDefault="00000000">
      <w:pPr>
        <w:rPr>
          <w:rFonts w:ascii="Times New Roman" w:hAnsi="Times New Roman" w:cs="Times New Roman"/>
        </w:rPr>
      </w:pPr>
      <w:r w:rsidRPr="001F1D11">
        <w:rPr>
          <w:rFonts w:ascii="Times New Roman" w:hAnsi="Times New Roman" w:cs="Times New Roman"/>
        </w:rPr>
        <w:t>• Split-horizon DNS via per-tenant DNS views and conditional forwarding</w:t>
      </w:r>
    </w:p>
    <w:sectPr w:rsidR="003E5C86" w:rsidRPr="001F1D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401158">
    <w:abstractNumId w:val="8"/>
  </w:num>
  <w:num w:numId="2" w16cid:durableId="967275255">
    <w:abstractNumId w:val="6"/>
  </w:num>
  <w:num w:numId="3" w16cid:durableId="1627735513">
    <w:abstractNumId w:val="5"/>
  </w:num>
  <w:num w:numId="4" w16cid:durableId="424889189">
    <w:abstractNumId w:val="4"/>
  </w:num>
  <w:num w:numId="5" w16cid:durableId="1111437645">
    <w:abstractNumId w:val="7"/>
  </w:num>
  <w:num w:numId="6" w16cid:durableId="1919753521">
    <w:abstractNumId w:val="3"/>
  </w:num>
  <w:num w:numId="7" w16cid:durableId="428745136">
    <w:abstractNumId w:val="2"/>
  </w:num>
  <w:num w:numId="8" w16cid:durableId="1782914374">
    <w:abstractNumId w:val="1"/>
  </w:num>
  <w:num w:numId="9" w16cid:durableId="74746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041"/>
    <w:rsid w:val="0015074B"/>
    <w:rsid w:val="001F1D11"/>
    <w:rsid w:val="0029639D"/>
    <w:rsid w:val="00326F90"/>
    <w:rsid w:val="003E5C86"/>
    <w:rsid w:val="00505A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5450C"/>
  <w14:defaultImageDpi w14:val="300"/>
  <w15:docId w15:val="{D1BF49D5-E560-2541-8794-C10EB900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Martin, Michael Colossus Technologies Group</cp:lastModifiedBy>
  <cp:revision>2</cp:revision>
  <dcterms:created xsi:type="dcterms:W3CDTF">2013-12-23T23:15:00Z</dcterms:created>
  <dcterms:modified xsi:type="dcterms:W3CDTF">2025-10-27T18:43:00Z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37230a-460a-4aec-98a3-ac101fb30b10_Enabled">
    <vt:lpwstr>true</vt:lpwstr>
  </property>
  <property fmtid="{D5CDD505-2E9C-101B-9397-08002B2CF9AE}" pid="3" name="MSIP_Label_7837230a-460a-4aec-98a3-ac101fb30b10_SetDate">
    <vt:lpwstr>2025-10-27T18:43:04Z</vt:lpwstr>
  </property>
  <property fmtid="{D5CDD505-2E9C-101B-9397-08002B2CF9AE}" pid="4" name="MSIP_Label_7837230a-460a-4aec-98a3-ac101fb30b10_Method">
    <vt:lpwstr>Privileged</vt:lpwstr>
  </property>
  <property fmtid="{D5CDD505-2E9C-101B-9397-08002B2CF9AE}" pid="5" name="MSIP_Label_7837230a-460a-4aec-98a3-ac101fb30b10_Name">
    <vt:lpwstr>7837230a-460a-4aec-98a3-ac101fb30b10</vt:lpwstr>
  </property>
  <property fmtid="{D5CDD505-2E9C-101B-9397-08002B2CF9AE}" pid="6" name="MSIP_Label_7837230a-460a-4aec-98a3-ac101fb30b10_SiteId">
    <vt:lpwstr>fabb61b8-3afe-4e75-b934-a47f782b8cd7</vt:lpwstr>
  </property>
  <property fmtid="{D5CDD505-2E9C-101B-9397-08002B2CF9AE}" pid="7" name="MSIP_Label_7837230a-460a-4aec-98a3-ac101fb30b10_ActionId">
    <vt:lpwstr>32a23115-2e60-4bfd-a027-444004e5a7f7</vt:lpwstr>
  </property>
  <property fmtid="{D5CDD505-2E9C-101B-9397-08002B2CF9AE}" pid="8" name="MSIP_Label_7837230a-460a-4aec-98a3-ac101fb30b10_ContentBits">
    <vt:lpwstr>0</vt:lpwstr>
  </property>
  <property fmtid="{D5CDD505-2E9C-101B-9397-08002B2CF9AE}" pid="9" name="MSIP_Label_7837230a-460a-4aec-98a3-ac101fb30b10_Tag">
    <vt:lpwstr>50, 0, 1, 1</vt:lpwstr>
  </property>
</Properties>
</file>