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ECD" w14:textId="3EDEAA04" w:rsidR="0051480E" w:rsidRPr="00D65288" w:rsidRDefault="00000000" w:rsidP="00E60327">
      <w:pPr>
        <w:pStyle w:val="Heading1"/>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Request for Proposal (RFP): </w:t>
      </w:r>
      <w:r w:rsidR="00D65288">
        <w:rPr>
          <w:rFonts w:ascii="Times New Roman" w:hAnsi="Times New Roman" w:cs="Times New Roman"/>
          <w:b w:val="0"/>
          <w:bCs w:val="0"/>
          <w:color w:val="000000" w:themeColor="text1"/>
        </w:rPr>
        <w:t xml:space="preserve">A self-service consumable </w:t>
      </w:r>
      <w:r w:rsidRPr="00D65288">
        <w:rPr>
          <w:rFonts w:ascii="Times New Roman" w:hAnsi="Times New Roman" w:cs="Times New Roman"/>
          <w:b w:val="0"/>
          <w:bCs w:val="0"/>
          <w:color w:val="000000" w:themeColor="text1"/>
        </w:rPr>
        <w:t xml:space="preserve">Third-Party Landing Zone (3PLZ) </w:t>
      </w:r>
      <w:r w:rsidR="00D65288">
        <w:rPr>
          <w:rFonts w:ascii="Times New Roman" w:hAnsi="Times New Roman" w:cs="Times New Roman"/>
          <w:b w:val="0"/>
          <w:bCs w:val="0"/>
          <w:color w:val="000000" w:themeColor="text1"/>
        </w:rPr>
        <w:t>solution scalable to 1000 tenants for CVS</w:t>
      </w:r>
      <w:r w:rsidR="00934441">
        <w:rPr>
          <w:rFonts w:ascii="Times New Roman" w:hAnsi="Times New Roman" w:cs="Times New Roman"/>
          <w:b w:val="0"/>
          <w:bCs w:val="0"/>
          <w:color w:val="000000" w:themeColor="text1"/>
        </w:rPr>
        <w:t xml:space="preserve"> </w:t>
      </w:r>
      <w:r w:rsidR="00D65288">
        <w:rPr>
          <w:rFonts w:ascii="Times New Roman" w:hAnsi="Times New Roman" w:cs="Times New Roman"/>
          <w:b w:val="0"/>
          <w:bCs w:val="0"/>
          <w:color w:val="000000" w:themeColor="text1"/>
        </w:rPr>
        <w:t>Health</w:t>
      </w:r>
    </w:p>
    <w:p w14:paraId="37D9004D" w14:textId="77777777"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1. Executive Summary</w:t>
      </w:r>
    </w:p>
    <w:p w14:paraId="575D54C8" w14:textId="328A69C1" w:rsidR="00E60327"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r>
      <w:r w:rsidR="0077597F" w:rsidRPr="00D65288">
        <w:rPr>
          <w:rFonts w:ascii="Times New Roman" w:hAnsi="Times New Roman" w:cs="Times New Roman"/>
          <w:color w:val="000000" w:themeColor="text1"/>
        </w:rPr>
        <w:t>Communication with our business partners is foundational to our success. Supporting this communication comes with some risk, this</w:t>
      </w:r>
      <w:r w:rsidRPr="00D65288">
        <w:rPr>
          <w:rFonts w:ascii="Times New Roman" w:hAnsi="Times New Roman" w:cs="Times New Roman"/>
          <w:color w:val="000000" w:themeColor="text1"/>
        </w:rPr>
        <w:t xml:space="preserve"> RFP</w:t>
      </w:r>
      <w:r w:rsidR="0077597F" w:rsidRPr="00D65288">
        <w:rPr>
          <w:rFonts w:ascii="Times New Roman" w:hAnsi="Times New Roman" w:cs="Times New Roman"/>
          <w:color w:val="000000" w:themeColor="text1"/>
        </w:rPr>
        <w:t xml:space="preserve"> in partnership with our vendors, looks to manage this risk in a transformative approach to delivering a connectivity solution to deliver a</w:t>
      </w:r>
      <w:r w:rsidRPr="00D65288">
        <w:rPr>
          <w:rFonts w:ascii="Times New Roman" w:hAnsi="Times New Roman" w:cs="Times New Roman"/>
          <w:color w:val="000000" w:themeColor="text1"/>
        </w:rPr>
        <w:t xml:space="preserve"> Third-Party Landing Zone (3PLZ) that enables secure, isolated, and auditable access between external vendors and enterprise applications. </w:t>
      </w:r>
    </w:p>
    <w:p w14:paraId="0D0ECEB3" w14:textId="77777777" w:rsidR="00E60327" w:rsidRPr="00D65288" w:rsidRDefault="0077597F"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This architecture</w:t>
      </w:r>
      <w:r w:rsidR="00144CED" w:rsidRPr="00D65288">
        <w:rPr>
          <w:rStyle w:val="EndnoteReference"/>
          <w:rFonts w:ascii="Times New Roman" w:hAnsi="Times New Roman" w:cs="Times New Roman"/>
          <w:color w:val="000000" w:themeColor="text1"/>
        </w:rPr>
        <w:endnoteReference w:id="1"/>
      </w:r>
      <w:r w:rsidRPr="00D65288">
        <w:rPr>
          <w:rFonts w:ascii="Times New Roman" w:hAnsi="Times New Roman" w:cs="Times New Roman"/>
          <w:color w:val="000000" w:themeColor="text1"/>
        </w:rPr>
        <w:t xml:space="preserve"> embraces </w:t>
      </w:r>
      <w:r w:rsidR="00144CED" w:rsidRPr="00D65288">
        <w:rPr>
          <w:rFonts w:ascii="Times New Roman" w:hAnsi="Times New Roman" w:cs="Times New Roman"/>
          <w:color w:val="000000" w:themeColor="text1"/>
        </w:rPr>
        <w:t xml:space="preserve">the best elements of network security best practice: least privilege, segmentation, intent, and identity. </w:t>
      </w:r>
      <w:r w:rsidR="00BD6F06" w:rsidRPr="00D65288">
        <w:rPr>
          <w:rFonts w:ascii="Times New Roman" w:hAnsi="Times New Roman" w:cs="Times New Roman"/>
          <w:color w:val="000000" w:themeColor="text1"/>
        </w:rPr>
        <w:t xml:space="preserve">Delivering a </w:t>
      </w:r>
      <w:r w:rsidR="00C853E9" w:rsidRPr="00D65288">
        <w:rPr>
          <w:rFonts w:ascii="Times New Roman" w:hAnsi="Times New Roman" w:cs="Times New Roman"/>
          <w:color w:val="000000" w:themeColor="text1"/>
        </w:rPr>
        <w:t>business-to-business</w:t>
      </w:r>
      <w:r w:rsidR="00BD6F06" w:rsidRPr="00D65288">
        <w:rPr>
          <w:rFonts w:ascii="Times New Roman" w:hAnsi="Times New Roman" w:cs="Times New Roman"/>
          <w:color w:val="000000" w:themeColor="text1"/>
        </w:rPr>
        <w:t xml:space="preserve"> connectivity solution built on a high-availability, fault tolerant </w:t>
      </w:r>
      <w:r w:rsidRPr="00D65288">
        <w:rPr>
          <w:rFonts w:ascii="Times New Roman" w:hAnsi="Times New Roman" w:cs="Times New Roman"/>
          <w:color w:val="000000" w:themeColor="text1"/>
        </w:rPr>
        <w:t xml:space="preserve">VPN </w:t>
      </w:r>
      <w:r w:rsidR="00BD6F06" w:rsidRPr="00D65288">
        <w:rPr>
          <w:rFonts w:ascii="Times New Roman" w:hAnsi="Times New Roman" w:cs="Times New Roman"/>
          <w:color w:val="000000" w:themeColor="text1"/>
        </w:rPr>
        <w:t>model</w:t>
      </w:r>
      <w:r w:rsidR="00C853E9" w:rsidRPr="00D65288">
        <w:rPr>
          <w:rFonts w:ascii="Times New Roman" w:hAnsi="Times New Roman" w:cs="Times New Roman"/>
          <w:color w:val="000000" w:themeColor="text1"/>
        </w:rPr>
        <w:t xml:space="preserve"> to support secure communications exchange. T</w:t>
      </w:r>
      <w:r w:rsidRPr="00D65288">
        <w:rPr>
          <w:rFonts w:ascii="Times New Roman" w:hAnsi="Times New Roman" w:cs="Times New Roman"/>
          <w:color w:val="000000" w:themeColor="text1"/>
        </w:rPr>
        <w:t xml:space="preserve">erminating in a no-access tenant (Virtual Landing Zone – VLZ), </w:t>
      </w:r>
      <w:r w:rsidR="00C853E9" w:rsidRPr="00D65288">
        <w:rPr>
          <w:rFonts w:ascii="Times New Roman" w:hAnsi="Times New Roman" w:cs="Times New Roman"/>
          <w:color w:val="000000" w:themeColor="text1"/>
        </w:rPr>
        <w:t xml:space="preserve">in which application teams can provide pattern based, </w:t>
      </w:r>
      <w:r w:rsidRPr="00D65288">
        <w:rPr>
          <w:rFonts w:ascii="Times New Roman" w:hAnsi="Times New Roman" w:cs="Times New Roman"/>
          <w:color w:val="000000" w:themeColor="text1"/>
        </w:rPr>
        <w:t>per-service connectivity through application-specific proxies governed by connectivity service profiles.</w:t>
      </w:r>
      <w:r w:rsidR="00E60327" w:rsidRPr="00D65288">
        <w:rPr>
          <w:rFonts w:ascii="Times New Roman" w:hAnsi="Times New Roman" w:cs="Times New Roman"/>
          <w:color w:val="000000" w:themeColor="text1"/>
        </w:rPr>
        <w:t xml:space="preserve"> </w:t>
      </w:r>
    </w:p>
    <w:p w14:paraId="0A1AA79E" w14:textId="7F2C0F93" w:rsidR="00C853E9" w:rsidRPr="00D65288" w:rsidRDefault="00C853E9"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 xml:space="preserve">Considering </w:t>
      </w:r>
      <w:r w:rsidR="00E60327" w:rsidRPr="00D65288">
        <w:rPr>
          <w:rFonts w:ascii="Times New Roman" w:hAnsi="Times New Roman" w:cs="Times New Roman"/>
          <w:color w:val="000000" w:themeColor="text1"/>
        </w:rPr>
        <w:t xml:space="preserve">size and scope of the </w:t>
      </w:r>
      <w:r w:rsidR="009070DF" w:rsidRPr="00D65288">
        <w:rPr>
          <w:rFonts w:ascii="Times New Roman" w:hAnsi="Times New Roman" w:cs="Times New Roman"/>
          <w:color w:val="000000" w:themeColor="text1"/>
        </w:rPr>
        <w:t xml:space="preserve">current 3PLZ implementation one critical delivery aspect is requirement that the solution be largely automated and consumable as a self-service solution that can be directly consumed by application development teams, extending the DevOps philosophy of “build, run, own” into the delivery and consumption of network security. </w:t>
      </w:r>
      <w:r w:rsidR="00CD7BAB" w:rsidRPr="00D65288">
        <w:rPr>
          <w:rFonts w:ascii="Times New Roman" w:hAnsi="Times New Roman" w:cs="Times New Roman"/>
          <w:color w:val="000000" w:themeColor="text1"/>
        </w:rPr>
        <w:t>Embracing a self-service delivery approach, empowers the application teams that “own” the 3P connectivity, to migrate existing connectivity themselves, while ensuring that the best security practices are maintained through a delivery framework that can also deliver enhanced capabilities and controls as needed going forward.</w:t>
      </w:r>
    </w:p>
    <w:p w14:paraId="1EE76213" w14:textId="17DA5419"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 xml:space="preserve">2. Business Objectives &amp; Security </w:t>
      </w:r>
      <w:r w:rsidR="00D65288" w:rsidRPr="00D65288">
        <w:rPr>
          <w:rFonts w:ascii="Times New Roman" w:hAnsi="Times New Roman" w:cs="Times New Roman"/>
          <w:color w:val="000000" w:themeColor="text1"/>
        </w:rPr>
        <w:t xml:space="preserve">Outcome </w:t>
      </w:r>
      <w:r w:rsidRPr="00D65288">
        <w:rPr>
          <w:rFonts w:ascii="Times New Roman" w:hAnsi="Times New Roman" w:cs="Times New Roman"/>
          <w:color w:val="000000" w:themeColor="text1"/>
        </w:rPr>
        <w:t>Context</w:t>
      </w:r>
    </w:p>
    <w:p w14:paraId="2DAA38E3" w14:textId="2F2835BD" w:rsidR="0051480E"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t>The enterprise requires a repeatable, compliant, and automated approach for third-party access to SFTP, VDI, internal web apps, and external SaaS. This solution must maintain least privilege, auditable access while reducing operational overhead through automation and self-service onboarding.</w:t>
      </w:r>
      <w:r w:rsidR="00D65288" w:rsidRPr="00D65288">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Key drivers include compliance with SOC 2 Type II, ISO 27001, and the NIST Cybersecurity Framework.</w:t>
      </w:r>
      <w:r w:rsidRPr="00D65288">
        <w:rPr>
          <w:rFonts w:ascii="Times New Roman" w:hAnsi="Times New Roman" w:cs="Times New Roman"/>
          <w:color w:val="000000" w:themeColor="text1"/>
        </w:rPr>
        <w:br/>
      </w:r>
    </w:p>
    <w:p w14:paraId="765528F7" w14:textId="13F108C1" w:rsidR="0051480E" w:rsidRPr="00DC19B3" w:rsidRDefault="00000000">
      <w:pPr>
        <w:pStyle w:val="Heading2"/>
        <w:rPr>
          <w:rFonts w:ascii="Times New Roman" w:hAnsi="Times New Roman" w:cs="Times New Roman"/>
          <w:color w:val="000000" w:themeColor="text1"/>
        </w:rPr>
      </w:pPr>
      <w:r w:rsidRPr="00DC19B3">
        <w:rPr>
          <w:rFonts w:ascii="Times New Roman" w:hAnsi="Times New Roman" w:cs="Times New Roman"/>
          <w:color w:val="000000" w:themeColor="text1"/>
        </w:rPr>
        <w:t xml:space="preserve">3. Architecture Overview </w:t>
      </w:r>
    </w:p>
    <w:p w14:paraId="06136267" w14:textId="77777777" w:rsidR="000F07D8" w:rsidRDefault="000F07D8" w:rsidP="00E54751"/>
    <w:p w14:paraId="563E9541" w14:textId="71159DFF" w:rsidR="000F07D8" w:rsidRDefault="000F07D8" w:rsidP="00E54751">
      <w:r>
        <w:t xml:space="preserve">The challenge of 3PLZ </w:t>
      </w:r>
      <w:r w:rsidR="00CF7A6E">
        <w:t xml:space="preserve">(3rd Party Landing Zone) </w:t>
      </w:r>
      <w:r>
        <w:t>is not technical, as much as it is process. Delivering a solution that will scale and be manageable requires an investment in the operational and consumption aspects along with infrastructure. The consumers of the platform (i.e., Application Developers, managers of 3</w:t>
      </w:r>
      <w:r w:rsidRPr="000F07D8">
        <w:rPr>
          <w:vertAlign w:val="superscript"/>
        </w:rPr>
        <w:t>rd</w:t>
      </w:r>
      <w:r>
        <w:t xml:space="preserve"> party staff/auditors/vendors and B2B relationships) need to have a solution that will deliver a positive user experience. Simply delivering a technical connectivity solution is not enough</w:t>
      </w:r>
      <w:r w:rsidR="00C548B1">
        <w:t>. Consider these user experience aspirations in your RFP response:</w:t>
      </w:r>
    </w:p>
    <w:p w14:paraId="082AB48C" w14:textId="77777777" w:rsidR="00C548B1" w:rsidRDefault="00C548B1" w:rsidP="00404ED4">
      <w:pPr>
        <w:pStyle w:val="ListParagraph"/>
        <w:numPr>
          <w:ilvl w:val="0"/>
          <w:numId w:val="12"/>
        </w:numPr>
      </w:pPr>
      <w:r>
        <w:t>The end-user does not require any technical understanding of the solution</w:t>
      </w:r>
      <w:r>
        <w:t xml:space="preserve">. </w:t>
      </w:r>
    </w:p>
    <w:p w14:paraId="758EFF2A" w14:textId="6EA183E0" w:rsidR="00C548B1" w:rsidRDefault="00C548B1" w:rsidP="00404ED4">
      <w:pPr>
        <w:pStyle w:val="ListParagraph"/>
        <w:numPr>
          <w:ilvl w:val="0"/>
          <w:numId w:val="12"/>
        </w:numPr>
      </w:pPr>
      <w:r>
        <w:t>The solution provides a set of defined capabilities. However, these capabilities can be expanded based on user demand.</w:t>
      </w:r>
    </w:p>
    <w:p w14:paraId="09DFE612" w14:textId="08C99FE6" w:rsidR="00C548B1" w:rsidRDefault="00C548B1" w:rsidP="00404ED4">
      <w:pPr>
        <w:pStyle w:val="ListParagraph"/>
        <w:numPr>
          <w:ilvl w:val="0"/>
          <w:numId w:val="12"/>
        </w:numPr>
      </w:pPr>
      <w:r>
        <w:t xml:space="preserve">The solution can be consumed </w:t>
      </w:r>
      <w:r>
        <w:t xml:space="preserve">utilizing the Enterprises existing IAM capabilities and can support </w:t>
      </w:r>
      <w:r w:rsidR="0002187C">
        <w:t>user to machine and machine to machine solution delivery.</w:t>
      </w:r>
      <w:r>
        <w:t xml:space="preserve"> </w:t>
      </w:r>
    </w:p>
    <w:p w14:paraId="6D8A0519" w14:textId="420280FF" w:rsidR="00C548B1" w:rsidRDefault="00C548B1" w:rsidP="00404ED4">
      <w:pPr>
        <w:pStyle w:val="ListParagraph"/>
        <w:numPr>
          <w:ilvl w:val="0"/>
          <w:numId w:val="12"/>
        </w:numPr>
      </w:pPr>
      <w:r>
        <w:t xml:space="preserve">The </w:t>
      </w:r>
      <w:r w:rsidR="0002187C">
        <w:t xml:space="preserve">solution provides the technical configuration for the entire B2B secure transport (i.e., The UI </w:t>
      </w:r>
      <w:r>
        <w:t>generate</w:t>
      </w:r>
      <w:r w:rsidR="0002187C">
        <w:t>s</w:t>
      </w:r>
      <w:r>
        <w:t xml:space="preserve"> the IPSec Tunnel configuration required for the vendor or partner to establish connectivity based on the collection of a standard set of data points, that can be easily collected</w:t>
      </w:r>
      <w:r w:rsidR="0002187C">
        <w:t>).</w:t>
      </w:r>
    </w:p>
    <w:p w14:paraId="62F271A3" w14:textId="0D628991" w:rsidR="00C548B1" w:rsidRDefault="00C548B1" w:rsidP="00404ED4">
      <w:pPr>
        <w:pStyle w:val="ListParagraph"/>
        <w:numPr>
          <w:ilvl w:val="0"/>
          <w:numId w:val="12"/>
        </w:numPr>
      </w:pPr>
      <w:r>
        <w:t xml:space="preserve">The user is not responsible for the security compliance of the solution. Once the </w:t>
      </w:r>
      <w:r w:rsidR="0002187C">
        <w:t>connectivity is in place, and application connections have been implemented, updates and enhancements to the different components of the service</w:t>
      </w:r>
      <w:r>
        <w:t xml:space="preserve"> maintained in place with little to no service disruption greater than 5 minuets</w:t>
      </w:r>
      <w:r w:rsidR="0002187C">
        <w:t>.</w:t>
      </w:r>
    </w:p>
    <w:p w14:paraId="33724C90" w14:textId="2A39459A" w:rsidR="00C548B1" w:rsidRDefault="0002187C" w:rsidP="00404ED4">
      <w:pPr>
        <w:pStyle w:val="ListParagraph"/>
        <w:numPr>
          <w:ilvl w:val="0"/>
          <w:numId w:val="12"/>
        </w:numPr>
      </w:pPr>
      <w:r>
        <w:t>The solution should be capable of utilizing distinct security credentials and credential types for each of the application use cases, as needed.</w:t>
      </w:r>
    </w:p>
    <w:p w14:paraId="21B67F53" w14:textId="2823EF34" w:rsidR="001A6226" w:rsidRDefault="001A6226" w:rsidP="00E54751">
      <w:r>
        <w:t>3a. B2B Connectivity Requirements</w:t>
      </w:r>
    </w:p>
    <w:p w14:paraId="5CD8678E" w14:textId="082810D7" w:rsidR="001A6226" w:rsidRDefault="001A6226" w:rsidP="00E54751">
      <w:r>
        <w:t>The Enterprise currently has a large exiting 3PLZ footprint, these connections will need to be migrated to the new platform. The current solution will require the implementation of a new IPSec Tunnel path (The partner side of this connection will be referred to as the RP and the enterprise side the LP). To ensure future portability, the LP side of the IPSec tunnel needs to be location/device agnostic, the public IP IPSec tunnel anchor</w:t>
      </w:r>
      <w:r w:rsidR="00CF7A6E">
        <w:t xml:space="preserve"> </w:t>
      </w:r>
      <w:r>
        <w:t>addressing needs to</w:t>
      </w:r>
      <w:r w:rsidR="00CF7A6E">
        <w:t xml:space="preserve"> be unique for each 3PLZ connection. The tunnel connection also needs to be portable; the goal is to provide a High Availability / Fault Tolerant connection. A partner can implement a two path, active/passive connectivity solution to the Enterprise (with path selection is based on peer remote peer path availability and endpoint route injection via private ASN BGP peering). </w:t>
      </w:r>
      <w:r w:rsidR="00404ED4">
        <w:t xml:space="preserve">On the enterprise side, the tunnel anchor IP needs to be portable. Movable between different IPSec gateways and available across multiple IP gateways (this capability can be delivered via floating IP Loopbacks for tunnel anchors or via IP Anycast). </w:t>
      </w:r>
      <w:r w:rsidR="00404ED4" w:rsidRPr="00404ED4">
        <w:rPr>
          <w:b/>
          <w:bCs/>
          <w:i/>
          <w:iCs/>
        </w:rPr>
        <w:t>By adopting a connection solution strategy with connectivity portability as the primary goal, the opportunity cost required to move legacy connections is a one-time investment as opposed to an unplanned and unwelcomed periodic hidden cost.</w:t>
      </w:r>
    </w:p>
    <w:p w14:paraId="08797F44" w14:textId="40C71064" w:rsidR="00404ED4" w:rsidRDefault="00404ED4" w:rsidP="00E54751">
      <w:r>
        <w:t>3b. B2B Traffic Isolation and 3PLZ tenants</w:t>
      </w:r>
    </w:p>
    <w:p w14:paraId="6A21F004" w14:textId="77777777" w:rsidR="001A6226" w:rsidRDefault="001A6226" w:rsidP="00E54751"/>
    <w:p w14:paraId="536B20CC" w14:textId="77777777" w:rsidR="006718CB" w:rsidRDefault="006718CB" w:rsidP="006718CB">
      <w:pPr>
        <w:pStyle w:val="Heading1"/>
      </w:pPr>
      <w:r>
        <w:t>Tenant Communication Architecture Overview</w:t>
      </w:r>
    </w:p>
    <w:p w14:paraId="4FD615FE" w14:textId="77777777" w:rsidR="006718CB" w:rsidRDefault="006718CB" w:rsidP="006718CB">
      <w:r>
        <w:t>Each tenant represents a logically isolated environment that defines who, what, and how communication to internal or external applications occurs. It combines three key components: Identity and Authorization, Network Connectivity, and Application Service Profiles.</w:t>
      </w:r>
    </w:p>
    <w:p w14:paraId="6316809F" w14:textId="77777777" w:rsidR="006718CB" w:rsidRDefault="006718CB" w:rsidP="006718CB">
      <w:pPr>
        <w:pStyle w:val="Heading2"/>
      </w:pPr>
      <w:r>
        <w:t>1. Identity &amp; Authorization</w:t>
      </w:r>
    </w:p>
    <w:p w14:paraId="71513B4F" w14:textId="77777777" w:rsidR="006718CB" w:rsidRDefault="006718CB" w:rsidP="006718CB">
      <w:r>
        <w:t>• The SSO token and associated MFA login authenticate the user to the portal.</w:t>
      </w:r>
      <w:r>
        <w:br/>
        <w:t>• When a tenant is created, the identity context (user ID, business/vendor ID, and application ID) is bound to that tenant.</w:t>
      </w:r>
      <w:r>
        <w:br/>
        <w:t>• Every future network or application session is cryptographically associated with the tenant identity.</w:t>
      </w:r>
      <w:r>
        <w:br/>
        <w:t>• Role-based access ensures isolation between tenants and their resources.</w:t>
      </w:r>
    </w:p>
    <w:p w14:paraId="545D46F3" w14:textId="77777777" w:rsidR="006718CB" w:rsidRDefault="006718CB" w:rsidP="006718CB">
      <w:pPr>
        <w:pStyle w:val="Heading2"/>
      </w:pPr>
      <w:r>
        <w:t>2. Network Connectivity (Secure Transport Layer)</w:t>
      </w:r>
    </w:p>
    <w:p w14:paraId="1977BEDB" w14:textId="77777777" w:rsidR="006718CB" w:rsidRDefault="006718CB" w:rsidP="006718CB">
      <w:r>
        <w:t>Each tenant includes a remote VPN tunnel termination configuration defining how encrypted connectivity is established from external endpoints or partner networks into the system.</w:t>
      </w:r>
    </w:p>
    <w:p w14:paraId="21E1A496" w14:textId="77777777" w:rsidR="006718CB" w:rsidRDefault="006718CB" w:rsidP="006718CB">
      <w:r>
        <w:t>The VPN configuration includes:</w:t>
      </w:r>
      <w:r>
        <w:br/>
        <w:t>• Tunnel Interface parameters</w:t>
      </w:r>
      <w:r>
        <w:br/>
        <w:t>• ISAKMP &amp; IPSec policies for negotiation, key exchange, encryption, and authentication</w:t>
      </w:r>
      <w:r>
        <w:br/>
        <w:t>• PKI certificates for identity validation</w:t>
      </w:r>
      <w:r>
        <w:br/>
        <w:t>• BGP routing configuration for dynamic route advertisement and reception</w:t>
      </w:r>
    </w:p>
    <w:p w14:paraId="6873DDD7" w14:textId="77777777" w:rsidR="006718CB" w:rsidRDefault="006718CB" w:rsidP="006718CB">
      <w:pPr>
        <w:pStyle w:val="Heading2"/>
      </w:pPr>
      <w:r>
        <w:t>3. Service Profiles (Application Access Control Plane)</w:t>
      </w:r>
    </w:p>
    <w:p w14:paraId="401268A8" w14:textId="77777777" w:rsidR="006718CB" w:rsidRDefault="006718CB" w:rsidP="006718CB">
      <w:r>
        <w:t>Each tenant defines one or more Service Profiles, which act as application access templates. They describe what applications the tenant can reach and how the system proxies or brokers that communication.</w:t>
      </w:r>
    </w:p>
    <w:p w14:paraId="1D45CFEC" w14:textId="77777777" w:rsidR="006718CB" w:rsidRDefault="006718CB" w:rsidP="006718CB">
      <w:r>
        <w:t>Fixed Service Types include:</w:t>
      </w:r>
      <w:r>
        <w:br/>
        <w:t>• SFTP / SSH — secure file transfer or command-line access</w:t>
      </w:r>
      <w:r>
        <w:br/>
        <w:t>• VDI — virtual desktop access</w:t>
      </w:r>
      <w:r>
        <w:br/>
        <w:t>• Web Application — HTTP/S front-end access</w:t>
      </w:r>
      <w:r>
        <w:br/>
        <w:t>• Web API — REST or SOAP-based backend interfaces</w:t>
      </w:r>
      <w:r>
        <w:br/>
        <w:t>• SaaS Services — Slack, O365, SharePoint, IBM Sterling File Gateway</w:t>
      </w:r>
    </w:p>
    <w:p w14:paraId="1A4650E0" w14:textId="77777777" w:rsidR="006718CB" w:rsidRDefault="006718CB" w:rsidP="006718CB">
      <w:r>
        <w:t>Each Service Profile defines:</w:t>
      </w:r>
      <w:r>
        <w:br/>
        <w:t>• Proxy rules and translation policies</w:t>
      </w:r>
      <w:r>
        <w:br/>
        <w:t>• Security group or firewall associations</w:t>
      </w:r>
      <w:r>
        <w:br/>
        <w:t>• Routing / NAT configuration</w:t>
      </w:r>
      <w:r>
        <w:br/>
        <w:t>• Application session monitoring parameters</w:t>
      </w:r>
    </w:p>
    <w:p w14:paraId="16996770" w14:textId="77777777" w:rsidR="006718CB" w:rsidRDefault="006718CB" w:rsidP="006718CB">
      <w:pPr>
        <w:pStyle w:val="Heading2"/>
      </w:pPr>
      <w:r>
        <w:t>4. End-to-End Flow Summary</w:t>
      </w:r>
    </w:p>
    <w:p w14:paraId="1621E0CC" w14:textId="77777777" w:rsidR="006718CB" w:rsidRDefault="006718CB" w:rsidP="006718CB">
      <w:r>
        <w:t>1. User authenticates via SSO and MFA.</w:t>
      </w:r>
      <w:r>
        <w:br/>
        <w:t>2. Tenant is created or retrieved, binding identity and business/vendor context.</w:t>
      </w:r>
      <w:r>
        <w:br/>
        <w:t>3. VPN tunnel is established for secure, isolated transport.</w:t>
      </w:r>
      <w:r>
        <w:br/>
        <w:t>4. Service Profiles define permitted application communications.</w:t>
      </w:r>
      <w:r>
        <w:br/>
        <w:t>5. Proxy infrastructure enforces access control and routes traffic appropriately.</w:t>
      </w:r>
      <w:r>
        <w:br/>
        <w:t>6. All communication is tenant-scoped for both network and application isolation.</w:t>
      </w:r>
    </w:p>
    <w:p w14:paraId="5A3FDFEA" w14:textId="77777777" w:rsidR="00DC19B3" w:rsidRDefault="00DC19B3" w:rsidP="00E54751"/>
    <w:p w14:paraId="20E985CB" w14:textId="38653CB6" w:rsidR="00554C20" w:rsidRPr="00DC19B3" w:rsidRDefault="00554C20" w:rsidP="00554C20">
      <w:pPr>
        <w:pStyle w:val="Heading2"/>
        <w:rPr>
          <w:rFonts w:ascii="Times New Roman" w:hAnsi="Times New Roman" w:cs="Times New Roman"/>
          <w:color w:val="000000" w:themeColor="text1"/>
        </w:rPr>
      </w:pPr>
      <w:r w:rsidRPr="00DC19B3">
        <w:rPr>
          <w:rFonts w:ascii="Times New Roman" w:hAnsi="Times New Roman" w:cs="Times New Roman"/>
          <w:color w:val="000000" w:themeColor="text1"/>
        </w:rPr>
        <w:t xml:space="preserve">Technical </w:t>
      </w:r>
      <w:r>
        <w:rPr>
          <w:rFonts w:ascii="Times New Roman" w:hAnsi="Times New Roman" w:cs="Times New Roman"/>
          <w:color w:val="000000" w:themeColor="text1"/>
        </w:rPr>
        <w:t>Component Functionality Definitions</w:t>
      </w:r>
    </w:p>
    <w:p w14:paraId="7D87AA96" w14:textId="77777777" w:rsidR="00DC19B3" w:rsidRPr="00E54751" w:rsidRDefault="00DC19B3" w:rsidP="00E5475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D65288" w:rsidRPr="00D65288" w14:paraId="29A946B3" w14:textId="77777777" w:rsidTr="0008687A">
        <w:tc>
          <w:tcPr>
            <w:tcW w:w="2880" w:type="dxa"/>
            <w:shd w:val="clear" w:color="auto" w:fill="C6D9F1" w:themeFill="text2" w:themeFillTint="33"/>
          </w:tcPr>
          <w:p w14:paraId="3C11770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Component</w:t>
            </w:r>
          </w:p>
        </w:tc>
        <w:tc>
          <w:tcPr>
            <w:tcW w:w="2880" w:type="dxa"/>
            <w:shd w:val="clear" w:color="auto" w:fill="C6D9F1" w:themeFill="text2" w:themeFillTint="33"/>
          </w:tcPr>
          <w:p w14:paraId="0510259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Technical Purpose</w:t>
            </w:r>
          </w:p>
        </w:tc>
        <w:tc>
          <w:tcPr>
            <w:tcW w:w="2880" w:type="dxa"/>
            <w:shd w:val="clear" w:color="auto" w:fill="C6D9F1" w:themeFill="text2" w:themeFillTint="33"/>
          </w:tcPr>
          <w:p w14:paraId="577E770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Security &amp; Compliance Justification</w:t>
            </w:r>
          </w:p>
        </w:tc>
      </w:tr>
      <w:tr w:rsidR="00D65288" w:rsidRPr="00D65288" w14:paraId="21F9F378" w14:textId="77777777" w:rsidTr="00E54751">
        <w:tc>
          <w:tcPr>
            <w:tcW w:w="2880" w:type="dxa"/>
          </w:tcPr>
          <w:p w14:paraId="5E09FDD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IPsec IKEv2 Tunnel</w:t>
            </w:r>
          </w:p>
        </w:tc>
        <w:tc>
          <w:tcPr>
            <w:tcW w:w="2880" w:type="dxa"/>
          </w:tcPr>
          <w:p w14:paraId="405D1A5F" w14:textId="4A40459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Creates authenticated encrypted tunnels between gateways.</w:t>
            </w:r>
          </w:p>
        </w:tc>
        <w:tc>
          <w:tcPr>
            <w:tcW w:w="2880" w:type="dxa"/>
          </w:tcPr>
          <w:p w14:paraId="4EC9777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800-77, RFC 7296, FIPS 140-3 compliant encryption.</w:t>
            </w:r>
          </w:p>
        </w:tc>
      </w:tr>
      <w:tr w:rsidR="00D65288" w:rsidRPr="00D65288" w14:paraId="335C7A60" w14:textId="77777777" w:rsidTr="00E54751">
        <w:tc>
          <w:tcPr>
            <w:tcW w:w="2880" w:type="dxa"/>
          </w:tcPr>
          <w:p w14:paraId="0CFDFC2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No-Access Tenant (VLZ)</w:t>
            </w:r>
          </w:p>
        </w:tc>
        <w:tc>
          <w:tcPr>
            <w:tcW w:w="2880" w:type="dxa"/>
          </w:tcPr>
          <w:p w14:paraId="06BEB7B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Terminates tunnels without exposing internal networks.</w:t>
            </w:r>
          </w:p>
        </w:tc>
        <w:tc>
          <w:tcPr>
            <w:tcW w:w="2880" w:type="dxa"/>
          </w:tcPr>
          <w:p w14:paraId="5D9B8C2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Zero Trust principle; CIS Control 13 Segmentation.</w:t>
            </w:r>
          </w:p>
        </w:tc>
      </w:tr>
      <w:tr w:rsidR="00D65288" w:rsidRPr="00D65288" w14:paraId="74AD8186" w14:textId="77777777" w:rsidTr="00E54751">
        <w:tc>
          <w:tcPr>
            <w:tcW w:w="2880" w:type="dxa"/>
          </w:tcPr>
          <w:p w14:paraId="7DCF964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Application Proxy (Envoy/</w:t>
            </w:r>
            <w:proofErr w:type="spellStart"/>
            <w:r w:rsidRPr="00D65288">
              <w:rPr>
                <w:rFonts w:ascii="Times New Roman" w:hAnsi="Times New Roman" w:cs="Times New Roman"/>
                <w:color w:val="000000" w:themeColor="text1"/>
              </w:rPr>
              <w:t>HAProxy</w:t>
            </w:r>
            <w:proofErr w:type="spellEnd"/>
            <w:r w:rsidRPr="00D65288">
              <w:rPr>
                <w:rFonts w:ascii="Times New Roman" w:hAnsi="Times New Roman" w:cs="Times New Roman"/>
                <w:color w:val="000000" w:themeColor="text1"/>
              </w:rPr>
              <w:t>)</w:t>
            </w:r>
          </w:p>
        </w:tc>
        <w:tc>
          <w:tcPr>
            <w:tcW w:w="2880" w:type="dxa"/>
          </w:tcPr>
          <w:p w14:paraId="1FC5271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Per-service gateway with mTLS enforcement.</w:t>
            </w:r>
          </w:p>
        </w:tc>
        <w:tc>
          <w:tcPr>
            <w:tcW w:w="2880" w:type="dxa"/>
          </w:tcPr>
          <w:p w14:paraId="69797C9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D65288" w:rsidRPr="00D65288" w14:paraId="375D4173" w14:textId="77777777" w:rsidTr="00E54751">
        <w:tc>
          <w:tcPr>
            <w:tcW w:w="2880" w:type="dxa"/>
          </w:tcPr>
          <w:p w14:paraId="3F4ED54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880" w:type="dxa"/>
          </w:tcPr>
          <w:p w14:paraId="4E582E4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Advertises only service-specific prefixes.</w:t>
            </w:r>
          </w:p>
        </w:tc>
        <w:tc>
          <w:tcPr>
            <w:tcW w:w="2880" w:type="dxa"/>
          </w:tcPr>
          <w:p w14:paraId="27F32EF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 Least Privilege Access.</w:t>
            </w:r>
          </w:p>
        </w:tc>
      </w:tr>
      <w:tr w:rsidR="00D65288" w:rsidRPr="00D65288" w14:paraId="04BF7A7A" w14:textId="77777777" w:rsidTr="00E54751">
        <w:tc>
          <w:tcPr>
            <w:tcW w:w="2880" w:type="dxa"/>
          </w:tcPr>
          <w:p w14:paraId="0FA4A77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Split-Horizon DNS</w:t>
            </w:r>
          </w:p>
        </w:tc>
        <w:tc>
          <w:tcPr>
            <w:tcW w:w="2880" w:type="dxa"/>
          </w:tcPr>
          <w:p w14:paraId="3AB8DC5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Resolves internal vs public paths via policy.</w:t>
            </w:r>
          </w:p>
        </w:tc>
        <w:tc>
          <w:tcPr>
            <w:tcW w:w="2880" w:type="dxa"/>
          </w:tcPr>
          <w:p w14:paraId="60E9CF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SI-4 Monitoring, RFC 8499 DNS Security.</w:t>
            </w:r>
          </w:p>
        </w:tc>
      </w:tr>
      <w:tr w:rsidR="00D65288" w:rsidRPr="00D65288" w14:paraId="6271F0D3" w14:textId="77777777" w:rsidTr="00E54751">
        <w:tc>
          <w:tcPr>
            <w:tcW w:w="2880" w:type="dxa"/>
          </w:tcPr>
          <w:p w14:paraId="40CA59B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Identity</w:t>
            </w:r>
          </w:p>
        </w:tc>
        <w:tc>
          <w:tcPr>
            <w:tcW w:w="2880" w:type="dxa"/>
          </w:tcPr>
          <w:p w14:paraId="2DE068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Authenticates all connections using certificates.</w:t>
            </w:r>
          </w:p>
        </w:tc>
        <w:tc>
          <w:tcPr>
            <w:tcW w:w="2880" w:type="dxa"/>
          </w:tcPr>
          <w:p w14:paraId="150B02A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IA-2, ISO 27001 A.9.4 Access Control.</w:t>
            </w:r>
          </w:p>
        </w:tc>
      </w:tr>
      <w:tr w:rsidR="00D65288" w:rsidRPr="00D65288" w14:paraId="4946E9EA" w14:textId="77777777" w:rsidTr="00E54751">
        <w:tc>
          <w:tcPr>
            <w:tcW w:w="2880" w:type="dxa"/>
          </w:tcPr>
          <w:p w14:paraId="4830A9E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Automation &amp; API</w:t>
            </w:r>
          </w:p>
        </w:tc>
        <w:tc>
          <w:tcPr>
            <w:tcW w:w="2880" w:type="dxa"/>
          </w:tcPr>
          <w:p w14:paraId="0DF358F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Enables Terraform/IaC provisioning.</w:t>
            </w:r>
          </w:p>
        </w:tc>
        <w:tc>
          <w:tcPr>
            <w:tcW w:w="2880" w:type="dxa"/>
          </w:tcPr>
          <w:p w14:paraId="4BA9B9B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800-218 DevSecOps and CIS Control 4.</w:t>
            </w:r>
          </w:p>
        </w:tc>
      </w:tr>
      <w:tr w:rsidR="00D65288" w:rsidRPr="00D65288" w14:paraId="4916B748" w14:textId="77777777" w:rsidTr="00E54751">
        <w:tc>
          <w:tcPr>
            <w:tcW w:w="2880" w:type="dxa"/>
          </w:tcPr>
          <w:p w14:paraId="40888B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Observability &amp; Logging</w:t>
            </w:r>
          </w:p>
        </w:tc>
        <w:tc>
          <w:tcPr>
            <w:tcW w:w="2880" w:type="dxa"/>
          </w:tcPr>
          <w:p w14:paraId="515F70E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Exports per-tenant logs and metrics to SIEM.</w:t>
            </w:r>
          </w:p>
        </w:tc>
        <w:tc>
          <w:tcPr>
            <w:tcW w:w="2880" w:type="dxa"/>
          </w:tcPr>
          <w:p w14:paraId="557A1F7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AU-12, ISO 27001 A.12.4 Logging and Monitoring.</w:t>
            </w:r>
          </w:p>
        </w:tc>
      </w:tr>
    </w:tbl>
    <w:p w14:paraId="078219D4" w14:textId="77478AC9" w:rsidR="0051480E" w:rsidRPr="00D65288" w:rsidRDefault="00000000">
      <w:pPr>
        <w:pStyle w:val="Heading2"/>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4. </w:t>
      </w:r>
      <w:r w:rsidRPr="0008687A">
        <w:rPr>
          <w:rFonts w:ascii="Times New Roman" w:hAnsi="Times New Roman" w:cs="Times New Roman"/>
          <w:color w:val="000000" w:themeColor="text1"/>
        </w:rPr>
        <w:t xml:space="preserve">Use Case Scenarios and </w:t>
      </w:r>
      <w:r w:rsidR="0008687A" w:rsidRPr="0008687A">
        <w:rPr>
          <w:rFonts w:ascii="Times New Roman" w:hAnsi="Times New Roman" w:cs="Times New Roman"/>
          <w:color w:val="000000" w:themeColor="text1"/>
        </w:rPr>
        <w:t xml:space="preserve">Security </w:t>
      </w:r>
      <w:r w:rsidRPr="0008687A">
        <w:rPr>
          <w:rFonts w:ascii="Times New Roman" w:hAnsi="Times New Roman" w:cs="Times New Roman"/>
          <w:color w:val="000000" w:themeColor="text1"/>
        </w:rPr>
        <w:t>Best-Practice Alignment</w:t>
      </w:r>
    </w:p>
    <w:p w14:paraId="2525973C" w14:textId="77777777" w:rsidR="0051480E" w:rsidRPr="00E54751" w:rsidRDefault="00000000" w:rsidP="00E5475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Secure File Transfer (SFTP/Sterling)</w:t>
      </w:r>
    </w:p>
    <w:p w14:paraId="2E279BA2" w14:textId="6B328823" w:rsidR="0051480E" w:rsidRPr="00E54751" w:rsidRDefault="00000000" w:rsidP="00E5475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Vendors exchange files via SFTP or IBM Sterling with PKI-secured sessions.</w:t>
      </w:r>
    </w:p>
    <w:p w14:paraId="408A7097" w14:textId="77777777" w:rsidR="0051480E" w:rsidRPr="00E54751" w:rsidRDefault="00000000" w:rsidP="00E5475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800-171 3.13, CIS Control 14, FIPS-compliant encryption.</w:t>
      </w:r>
    </w:p>
    <w:p w14:paraId="1A0E296C" w14:textId="05F4D8BD" w:rsidR="0051480E" w:rsidRPr="00D65288" w:rsidRDefault="00000000" w:rsidP="00E54751">
      <w:pPr>
        <w:pStyle w:val="Heading3"/>
        <w:numPr>
          <w:ilvl w:val="1"/>
          <w:numId w:val="10"/>
        </w:numPr>
        <w:rPr>
          <w:rFonts w:ascii="Times New Roman" w:hAnsi="Times New Roman" w:cs="Times New Roman"/>
          <w:b w:val="0"/>
          <w:bCs w:val="0"/>
          <w:color w:val="000000" w:themeColor="text1"/>
        </w:rPr>
      </w:pPr>
      <w:r w:rsidRPr="00E54751">
        <w:rPr>
          <w:rFonts w:ascii="Times New Roman" w:hAnsi="Times New Roman" w:cs="Times New Roman"/>
          <w:color w:val="000000" w:themeColor="text1"/>
        </w:rPr>
        <w:t>Collaboration Platform Access</w:t>
      </w:r>
      <w:r w:rsidR="00E54751" w:rsidRPr="00E54751">
        <w:rPr>
          <w:rFonts w:ascii="Times New Roman" w:hAnsi="Times New Roman" w:cs="Times New Roman"/>
          <w:color w:val="000000" w:themeColor="text1"/>
        </w:rPr>
        <w:t>:</w:t>
      </w:r>
      <w:r w:rsidRPr="00D65288">
        <w:rPr>
          <w:rFonts w:ascii="Times New Roman" w:hAnsi="Times New Roman" w:cs="Times New Roman"/>
          <w:b w:val="0"/>
          <w:bCs w:val="0"/>
          <w:color w:val="000000" w:themeColor="text1"/>
        </w:rPr>
        <w:t xml:space="preserve"> (M365, </w:t>
      </w:r>
      <w:proofErr w:type="spellStart"/>
      <w:r w:rsidRPr="00D65288">
        <w:rPr>
          <w:rFonts w:ascii="Times New Roman" w:hAnsi="Times New Roman" w:cs="Times New Roman"/>
          <w:b w:val="0"/>
          <w:bCs w:val="0"/>
          <w:color w:val="000000" w:themeColor="text1"/>
        </w:rPr>
        <w:t>eShare</w:t>
      </w:r>
      <w:proofErr w:type="spellEnd"/>
      <w:r w:rsidRPr="00D65288">
        <w:rPr>
          <w:rFonts w:ascii="Times New Roman" w:hAnsi="Times New Roman" w:cs="Times New Roman"/>
          <w:b w:val="0"/>
          <w:bCs w:val="0"/>
          <w:color w:val="000000" w:themeColor="text1"/>
        </w:rPr>
        <w:t>, Slack)</w:t>
      </w:r>
    </w:p>
    <w:p w14:paraId="2C57E289" w14:textId="77777777" w:rsidR="0051480E" w:rsidRPr="00E54751" w:rsidRDefault="00000000" w:rsidP="00E5475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users access collaboration tools through proxied, audited channels.</w:t>
      </w:r>
    </w:p>
    <w:p w14:paraId="429A747E" w14:textId="77777777" w:rsidR="0051480E" w:rsidRPr="00E54751" w:rsidRDefault="00000000" w:rsidP="0008687A">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ISO 27001 A.13.2.1, NIST AC-2 Account Management.</w:t>
      </w:r>
    </w:p>
    <w:p w14:paraId="3A73CDA1" w14:textId="77777777" w:rsidR="0051480E" w:rsidRPr="00E54751" w:rsidRDefault="00000000" w:rsidP="00E5475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Virtual Desktop Infrastructure (VDI)</w:t>
      </w:r>
    </w:p>
    <w:p w14:paraId="07A47AC0" w14:textId="77777777" w:rsidR="0051480E" w:rsidRPr="00E54751"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Third-party workers use Citrix/Microsoft VDI via per-tenant mTLS proxies.</w:t>
      </w:r>
    </w:p>
    <w:p w14:paraId="1C0E896D" w14:textId="77777777" w:rsidR="0008687A"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800-207 ZTNA, ISO 27001 A.9.2, CIS Control 5.</w:t>
      </w:r>
    </w:p>
    <w:p w14:paraId="3EC803D3" w14:textId="77777777" w:rsidR="0008687A" w:rsidRDefault="0008687A" w:rsidP="0008687A">
      <w:pPr>
        <w:pStyle w:val="ListParagraph"/>
        <w:ind w:left="1440"/>
        <w:rPr>
          <w:rFonts w:ascii="Times New Roman" w:hAnsi="Times New Roman" w:cs="Times New Roman"/>
          <w:color w:val="000000" w:themeColor="text1"/>
        </w:rPr>
      </w:pPr>
    </w:p>
    <w:p w14:paraId="13FF1101" w14:textId="5F9671A5" w:rsidR="0051480E" w:rsidRPr="0008687A" w:rsidRDefault="0008687A" w:rsidP="0008687A">
      <w:pPr>
        <w:pStyle w:val="ListParagraph"/>
        <w:numPr>
          <w:ilvl w:val="0"/>
          <w:numId w:val="11"/>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Web Application and </w:t>
      </w:r>
      <w:r w:rsidRPr="0008687A">
        <w:rPr>
          <w:rFonts w:ascii="Times New Roman" w:hAnsi="Times New Roman" w:cs="Times New Roman"/>
          <w:b/>
          <w:bCs/>
          <w:color w:val="000000" w:themeColor="text1"/>
        </w:rPr>
        <w:t xml:space="preserve">API Integration for </w:t>
      </w:r>
      <w:r>
        <w:rPr>
          <w:rFonts w:ascii="Times New Roman" w:hAnsi="Times New Roman" w:cs="Times New Roman"/>
          <w:b/>
          <w:bCs/>
          <w:color w:val="000000" w:themeColor="text1"/>
        </w:rPr>
        <w:t xml:space="preserve">internal and external hosted </w:t>
      </w:r>
      <w:r w:rsidRPr="0008687A">
        <w:rPr>
          <w:rFonts w:ascii="Times New Roman" w:hAnsi="Times New Roman" w:cs="Times New Roman"/>
          <w:b/>
          <w:bCs/>
          <w:color w:val="000000" w:themeColor="text1"/>
        </w:rPr>
        <w:t>Applications</w:t>
      </w:r>
    </w:p>
    <w:p w14:paraId="3B3C2051" w14:textId="3D177427" w:rsidR="0051480E" w:rsidRPr="00E54751"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apps integrate securely with enterprise APIs via mTLS and JWT.</w:t>
      </w:r>
    </w:p>
    <w:p w14:paraId="0CB08BCF" w14:textId="77777777" w:rsidR="0051480E" w:rsidRPr="00E54751" w:rsidRDefault="00000000" w:rsidP="0008687A">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800-95, OWASP API Top 10, CIS Control 16.</w:t>
      </w:r>
    </w:p>
    <w:p w14:paraId="641F29A7" w14:textId="46545F83" w:rsidR="00DC19B3" w:rsidRPr="0008687A" w:rsidRDefault="00DC19B3" w:rsidP="00DC19B3">
      <w:pPr>
        <w:pStyle w:val="Heading2"/>
        <w:rPr>
          <w:rFonts w:ascii="Times New Roman" w:hAnsi="Times New Roman" w:cs="Times New Roman"/>
          <w:color w:val="000000" w:themeColor="text1"/>
        </w:rPr>
      </w:pPr>
      <w:r w:rsidRPr="0008687A">
        <w:rPr>
          <w:rFonts w:ascii="Times New Roman" w:hAnsi="Times New Roman" w:cs="Times New Roman"/>
          <w:color w:val="000000" w:themeColor="text1"/>
        </w:rPr>
        <w:t xml:space="preserve">5. </w:t>
      </w:r>
      <w:r>
        <w:rPr>
          <w:rFonts w:ascii="Times New Roman" w:hAnsi="Times New Roman" w:cs="Times New Roman"/>
          <w:color w:val="000000" w:themeColor="text1"/>
        </w:rPr>
        <w:t xml:space="preserve">UI </w:t>
      </w:r>
      <w:r w:rsidR="00E51193">
        <w:rPr>
          <w:rFonts w:ascii="Times New Roman" w:hAnsi="Times New Roman" w:cs="Times New Roman"/>
          <w:color w:val="000000" w:themeColor="text1"/>
        </w:rPr>
        <w:t>Consumption Workflows (Hypo)</w:t>
      </w:r>
    </w:p>
    <w:p w14:paraId="3C58A3C0" w14:textId="7BAE2086" w:rsidR="00DC19B3" w:rsidRDefault="00E51193">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BLA </w:t>
      </w:r>
      <w:proofErr w:type="spellStart"/>
      <w:r>
        <w:rPr>
          <w:rFonts w:ascii="Times New Roman" w:hAnsi="Times New Roman" w:cs="Times New Roman"/>
          <w:color w:val="000000" w:themeColor="text1"/>
        </w:rPr>
        <w:t>BLA</w:t>
      </w:r>
      <w:proofErr w:type="spellEnd"/>
    </w:p>
    <w:p w14:paraId="167D6883" w14:textId="77777777" w:rsidR="00DC19B3" w:rsidRDefault="00DC19B3">
      <w:pPr>
        <w:pStyle w:val="Heading2"/>
        <w:rPr>
          <w:rFonts w:ascii="Times New Roman" w:hAnsi="Times New Roman" w:cs="Times New Roman"/>
          <w:color w:val="000000" w:themeColor="text1"/>
        </w:rPr>
      </w:pPr>
    </w:p>
    <w:p w14:paraId="2DE70A50" w14:textId="68423C0A" w:rsidR="0051480E" w:rsidRPr="0008687A" w:rsidRDefault="00E51193">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Pr="0008687A">
        <w:rPr>
          <w:rFonts w:ascii="Times New Roman" w:hAnsi="Times New Roman" w:cs="Times New Roman"/>
          <w:color w:val="000000" w:themeColor="text1"/>
        </w:rPr>
        <w:t>. Security Best Practices and Control Mapping</w:t>
      </w:r>
    </w:p>
    <w:p w14:paraId="22493156" w14:textId="77777777" w:rsidR="0008687A" w:rsidRPr="0008687A" w:rsidRDefault="0008687A" w:rsidP="000868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702"/>
      </w:tblGrid>
      <w:tr w:rsidR="00D65288" w:rsidRPr="00D65288" w14:paraId="3086BCAB" w14:textId="77777777" w:rsidTr="0008687A">
        <w:tc>
          <w:tcPr>
            <w:tcW w:w="2876" w:type="dxa"/>
            <w:shd w:val="clear" w:color="auto" w:fill="C6D9F1" w:themeFill="text2" w:themeFillTint="33"/>
          </w:tcPr>
          <w:p w14:paraId="138377A1"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Framework Control</w:t>
            </w:r>
          </w:p>
        </w:tc>
        <w:tc>
          <w:tcPr>
            <w:tcW w:w="2877" w:type="dxa"/>
            <w:shd w:val="clear" w:color="auto" w:fill="C6D9F1" w:themeFill="text2" w:themeFillTint="33"/>
          </w:tcPr>
          <w:p w14:paraId="359129C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Implementation in 3PLZ</w:t>
            </w:r>
          </w:p>
        </w:tc>
        <w:tc>
          <w:tcPr>
            <w:tcW w:w="2702" w:type="dxa"/>
            <w:shd w:val="clear" w:color="auto" w:fill="C6D9F1" w:themeFill="text2" w:themeFillTint="33"/>
          </w:tcPr>
          <w:p w14:paraId="1CFCFD1B"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Evidence / Artifact</w:t>
            </w:r>
          </w:p>
        </w:tc>
      </w:tr>
      <w:tr w:rsidR="00D65288" w:rsidRPr="00D65288" w14:paraId="7C7DE5A9" w14:textId="77777777" w:rsidTr="0008687A">
        <w:tc>
          <w:tcPr>
            <w:tcW w:w="2876" w:type="dxa"/>
          </w:tcPr>
          <w:p w14:paraId="3C00A70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(ZTNA)</w:t>
            </w:r>
          </w:p>
        </w:tc>
        <w:tc>
          <w:tcPr>
            <w:tcW w:w="2877" w:type="dxa"/>
          </w:tcPr>
          <w:p w14:paraId="0014157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VLZ No-Access Model &amp; Service Proxies</w:t>
            </w:r>
          </w:p>
        </w:tc>
        <w:tc>
          <w:tcPr>
            <w:tcW w:w="2702" w:type="dxa"/>
          </w:tcPr>
          <w:p w14:paraId="1D87C42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Network Design Documents</w:t>
            </w:r>
          </w:p>
        </w:tc>
      </w:tr>
      <w:tr w:rsidR="00D65288" w:rsidRPr="00D65288" w14:paraId="240E6040" w14:textId="77777777" w:rsidTr="0008687A">
        <w:tc>
          <w:tcPr>
            <w:tcW w:w="2876" w:type="dxa"/>
          </w:tcPr>
          <w:p w14:paraId="04E080C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ISO 27001 A.13.1.3</w:t>
            </w:r>
          </w:p>
        </w:tc>
        <w:tc>
          <w:tcPr>
            <w:tcW w:w="2877" w:type="dxa"/>
          </w:tcPr>
          <w:p w14:paraId="33B919D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702" w:type="dxa"/>
          </w:tcPr>
          <w:p w14:paraId="5F2185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Routing Policies &amp; LLDs</w:t>
            </w:r>
          </w:p>
        </w:tc>
      </w:tr>
      <w:tr w:rsidR="00D65288" w:rsidRPr="00D65288" w14:paraId="62A6D1E0" w14:textId="77777777" w:rsidTr="0008687A">
        <w:tc>
          <w:tcPr>
            <w:tcW w:w="2876" w:type="dxa"/>
          </w:tcPr>
          <w:p w14:paraId="568F36C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w:t>
            </w:r>
          </w:p>
        </w:tc>
        <w:tc>
          <w:tcPr>
            <w:tcW w:w="2877" w:type="dxa"/>
          </w:tcPr>
          <w:p w14:paraId="4F35BE6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DNS Views &amp; Service Profiles</w:t>
            </w:r>
          </w:p>
        </w:tc>
        <w:tc>
          <w:tcPr>
            <w:tcW w:w="2702" w:type="dxa"/>
          </w:tcPr>
          <w:p w14:paraId="5BD7034F"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DNS Configurations</w:t>
            </w:r>
          </w:p>
        </w:tc>
      </w:tr>
      <w:tr w:rsidR="00D65288" w:rsidRPr="00D65288" w14:paraId="7DB9D548" w14:textId="77777777" w:rsidTr="0008687A">
        <w:tc>
          <w:tcPr>
            <w:tcW w:w="2876" w:type="dxa"/>
          </w:tcPr>
          <w:p w14:paraId="34CE78F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SOC 2 (CC6.6)</w:t>
            </w:r>
          </w:p>
        </w:tc>
        <w:tc>
          <w:tcPr>
            <w:tcW w:w="2877" w:type="dxa"/>
          </w:tcPr>
          <w:p w14:paraId="70032F2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Per-Tenant Logging to SIEM</w:t>
            </w:r>
          </w:p>
        </w:tc>
        <w:tc>
          <w:tcPr>
            <w:tcW w:w="2702" w:type="dxa"/>
          </w:tcPr>
          <w:p w14:paraId="45342D4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Audit Logs &amp; Reports</w:t>
            </w:r>
          </w:p>
        </w:tc>
      </w:tr>
      <w:tr w:rsidR="00D65288" w:rsidRPr="00D65288" w14:paraId="68589250" w14:textId="77777777" w:rsidTr="0008687A">
        <w:tc>
          <w:tcPr>
            <w:tcW w:w="2876" w:type="dxa"/>
          </w:tcPr>
          <w:p w14:paraId="5D3818D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800-57</w:t>
            </w:r>
          </w:p>
        </w:tc>
        <w:tc>
          <w:tcPr>
            <w:tcW w:w="2877" w:type="dxa"/>
          </w:tcPr>
          <w:p w14:paraId="4C1E3A09"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 Lifecycle Automation</w:t>
            </w:r>
          </w:p>
        </w:tc>
        <w:tc>
          <w:tcPr>
            <w:tcW w:w="2702" w:type="dxa"/>
          </w:tcPr>
          <w:p w14:paraId="3EA5591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Certificate Repository &amp; Rotation Policies</w:t>
            </w:r>
          </w:p>
        </w:tc>
      </w:tr>
    </w:tbl>
    <w:p w14:paraId="36BF81CB" w14:textId="77777777" w:rsidR="00DC19B3" w:rsidRDefault="00DC19B3" w:rsidP="00DC19B3">
      <w:pPr>
        <w:pStyle w:val="Heading2"/>
        <w:rPr>
          <w:rFonts w:ascii="Times New Roman" w:hAnsi="Times New Roman" w:cs="Times New Roman"/>
          <w:color w:val="000000" w:themeColor="text1"/>
        </w:rPr>
      </w:pPr>
    </w:p>
    <w:p w14:paraId="573ED40B" w14:textId="173D001B" w:rsidR="00DC19B3" w:rsidRPr="00DC19B3" w:rsidRDefault="00E51193" w:rsidP="00DC19B3">
      <w:pPr>
        <w:pStyle w:val="Heading2"/>
        <w:rPr>
          <w:rFonts w:ascii="Times New Roman" w:hAnsi="Times New Roman" w:cs="Times New Roman"/>
          <w:color w:val="000000" w:themeColor="text1"/>
        </w:rPr>
      </w:pPr>
      <w:r>
        <w:rPr>
          <w:rFonts w:ascii="Times New Roman" w:hAnsi="Times New Roman" w:cs="Times New Roman"/>
          <w:color w:val="000000" w:themeColor="text1"/>
        </w:rPr>
        <w:t>7</w:t>
      </w:r>
      <w:r w:rsidRPr="00934441">
        <w:rPr>
          <w:rFonts w:ascii="Times New Roman" w:hAnsi="Times New Roman" w:cs="Times New Roman"/>
          <w:color w:val="000000" w:themeColor="text1"/>
        </w:rPr>
        <w:t>. Deliverables</w:t>
      </w:r>
    </w:p>
    <w:p w14:paraId="64111B49" w14:textId="77777777" w:rsidR="0051480E"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br/>
        <w:t>1. High-Level and Low-Level Design (HLD/LLD) for all service patterns.</w:t>
      </w:r>
      <w:r w:rsidRPr="00D65288">
        <w:rPr>
          <w:rFonts w:ascii="Times New Roman" w:hAnsi="Times New Roman" w:cs="Times New Roman"/>
          <w:color w:val="000000" w:themeColor="text1"/>
        </w:rPr>
        <w:br/>
        <w:t>2. Terraform modules and OpenAPI specifications for automation.</w:t>
      </w:r>
      <w:r w:rsidRPr="00D65288">
        <w:rPr>
          <w:rFonts w:ascii="Times New Roman" w:hAnsi="Times New Roman" w:cs="Times New Roman"/>
          <w:color w:val="000000" w:themeColor="text1"/>
        </w:rPr>
        <w:br/>
        <w:t>3. Compliance Mapping Document (NIST, ISO, CIS).</w:t>
      </w:r>
      <w:r w:rsidRPr="00D65288">
        <w:rPr>
          <w:rFonts w:ascii="Times New Roman" w:hAnsi="Times New Roman" w:cs="Times New Roman"/>
          <w:color w:val="000000" w:themeColor="text1"/>
        </w:rPr>
        <w:br/>
        <w:t>4. Runbooks for PKI rotation, onboarding, and incident response.</w:t>
      </w:r>
      <w:r w:rsidRPr="00D65288">
        <w:rPr>
          <w:rFonts w:ascii="Times New Roman" w:hAnsi="Times New Roman" w:cs="Times New Roman"/>
          <w:color w:val="000000" w:themeColor="text1"/>
        </w:rPr>
        <w:br/>
        <w:t>5. Interoperability guides for Cisco, Palo Alto, Fortinet, Check Point, Arista, and strongSwan.</w:t>
      </w:r>
      <w:r w:rsidRPr="00D65288">
        <w:rPr>
          <w:rFonts w:ascii="Times New Roman" w:hAnsi="Times New Roman" w:cs="Times New Roman"/>
          <w:color w:val="000000" w:themeColor="text1"/>
        </w:rPr>
        <w:br/>
      </w:r>
    </w:p>
    <w:p w14:paraId="5D79809A" w14:textId="5BA3E34C" w:rsidR="00E51193" w:rsidRPr="00DC19B3" w:rsidRDefault="00F2400B" w:rsidP="00E51193">
      <w:pPr>
        <w:pStyle w:val="Heading2"/>
        <w:rPr>
          <w:rFonts w:ascii="Times New Roman" w:hAnsi="Times New Roman" w:cs="Times New Roman"/>
          <w:color w:val="000000" w:themeColor="text1"/>
        </w:rPr>
      </w:pPr>
      <w:r>
        <w:rPr>
          <w:rFonts w:ascii="Times New Roman" w:hAnsi="Times New Roman" w:cs="Times New Roman"/>
          <w:color w:val="000000" w:themeColor="text1"/>
        </w:rPr>
        <w:t>8</w:t>
      </w:r>
      <w:r w:rsidR="00E51193" w:rsidRPr="0093444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Appendix </w:t>
      </w:r>
    </w:p>
    <w:p w14:paraId="1E05BEE8" w14:textId="77777777" w:rsidR="00E51193" w:rsidRPr="00D65288" w:rsidRDefault="00E51193">
      <w:pPr>
        <w:rPr>
          <w:rFonts w:ascii="Times New Roman" w:hAnsi="Times New Roman" w:cs="Times New Roman"/>
          <w:color w:val="000000" w:themeColor="text1"/>
        </w:rPr>
      </w:pPr>
    </w:p>
    <w:sectPr w:rsidR="00E51193" w:rsidRPr="00D65288" w:rsidSect="00034616">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56AC" w14:textId="77777777" w:rsidR="00072754" w:rsidRDefault="00072754" w:rsidP="00144CED">
      <w:pPr>
        <w:spacing w:after="0" w:line="240" w:lineRule="auto"/>
      </w:pPr>
      <w:r>
        <w:separator/>
      </w:r>
    </w:p>
  </w:endnote>
  <w:endnote w:type="continuationSeparator" w:id="0">
    <w:p w14:paraId="5D53E9F3" w14:textId="77777777" w:rsidR="00072754" w:rsidRDefault="00072754" w:rsidP="00144CED">
      <w:pPr>
        <w:spacing w:after="0" w:line="240" w:lineRule="auto"/>
      </w:pPr>
      <w:r>
        <w:continuationSeparator/>
      </w:r>
    </w:p>
  </w:endnote>
  <w:endnote w:id="1">
    <w:p w14:paraId="0E4DF279" w14:textId="0536F10C" w:rsidR="00144CED" w:rsidRDefault="00144CED">
      <w:pPr>
        <w:pStyle w:val="EndnoteText"/>
      </w:pPr>
      <w:r>
        <w:rPr>
          <w:rStyle w:val="EndnoteReference"/>
        </w:rPr>
        <w:endnoteRef/>
      </w:r>
      <w:r>
        <w:t xml:space="preserve"> The platform must enforce Zero-Trust segmentation—no direct layer-3 access between remote and corporate networks—and align with NIST SP 800-207, ISO/IEC 27001:2022 A.5/A.8/A.12, and CIS Controls v8 #3 (Access Control).</w:t>
      </w:r>
      <w:r>
        <w:b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10B1" w14:textId="77777777" w:rsidR="00072754" w:rsidRDefault="00072754" w:rsidP="00144CED">
      <w:pPr>
        <w:spacing w:after="0" w:line="240" w:lineRule="auto"/>
      </w:pPr>
      <w:r>
        <w:separator/>
      </w:r>
    </w:p>
  </w:footnote>
  <w:footnote w:type="continuationSeparator" w:id="0">
    <w:p w14:paraId="4056BDB3" w14:textId="77777777" w:rsidR="00072754" w:rsidRDefault="00072754" w:rsidP="00144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BB50E6"/>
    <w:multiLevelType w:val="hybridMultilevel"/>
    <w:tmpl w:val="9AF4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B07706"/>
    <w:multiLevelType w:val="hybridMultilevel"/>
    <w:tmpl w:val="F47C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200F49"/>
    <w:multiLevelType w:val="hybridMultilevel"/>
    <w:tmpl w:val="35D2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465582">
    <w:abstractNumId w:val="8"/>
  </w:num>
  <w:num w:numId="2" w16cid:durableId="1614052184">
    <w:abstractNumId w:val="6"/>
  </w:num>
  <w:num w:numId="3" w16cid:durableId="598219183">
    <w:abstractNumId w:val="5"/>
  </w:num>
  <w:num w:numId="4" w16cid:durableId="101220181">
    <w:abstractNumId w:val="4"/>
  </w:num>
  <w:num w:numId="5" w16cid:durableId="1794595761">
    <w:abstractNumId w:val="7"/>
  </w:num>
  <w:num w:numId="6" w16cid:durableId="1364290075">
    <w:abstractNumId w:val="3"/>
  </w:num>
  <w:num w:numId="7" w16cid:durableId="885408307">
    <w:abstractNumId w:val="2"/>
  </w:num>
  <w:num w:numId="8" w16cid:durableId="244264768">
    <w:abstractNumId w:val="1"/>
  </w:num>
  <w:num w:numId="9" w16cid:durableId="135610423">
    <w:abstractNumId w:val="0"/>
  </w:num>
  <w:num w:numId="10" w16cid:durableId="1645356773">
    <w:abstractNumId w:val="11"/>
  </w:num>
  <w:num w:numId="11" w16cid:durableId="1186211032">
    <w:abstractNumId w:val="9"/>
  </w:num>
  <w:num w:numId="12" w16cid:durableId="1599212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7C"/>
    <w:rsid w:val="00034616"/>
    <w:rsid w:val="0006063C"/>
    <w:rsid w:val="00072754"/>
    <w:rsid w:val="0008687A"/>
    <w:rsid w:val="000F07D8"/>
    <w:rsid w:val="00144CED"/>
    <w:rsid w:val="00150041"/>
    <w:rsid w:val="0015074B"/>
    <w:rsid w:val="001A6226"/>
    <w:rsid w:val="00221381"/>
    <w:rsid w:val="0029639D"/>
    <w:rsid w:val="00326F90"/>
    <w:rsid w:val="00404ED4"/>
    <w:rsid w:val="0051480E"/>
    <w:rsid w:val="00554C20"/>
    <w:rsid w:val="00564754"/>
    <w:rsid w:val="006718CB"/>
    <w:rsid w:val="0077597F"/>
    <w:rsid w:val="009070DF"/>
    <w:rsid w:val="00934441"/>
    <w:rsid w:val="00AA1D8D"/>
    <w:rsid w:val="00B47730"/>
    <w:rsid w:val="00B73ED4"/>
    <w:rsid w:val="00BD6F06"/>
    <w:rsid w:val="00C548B1"/>
    <w:rsid w:val="00C853E9"/>
    <w:rsid w:val="00CB0664"/>
    <w:rsid w:val="00CD7BAB"/>
    <w:rsid w:val="00CE58D6"/>
    <w:rsid w:val="00CF7A6E"/>
    <w:rsid w:val="00D65288"/>
    <w:rsid w:val="00DC19B3"/>
    <w:rsid w:val="00E51193"/>
    <w:rsid w:val="00E54751"/>
    <w:rsid w:val="00E60327"/>
    <w:rsid w:val="00F0411A"/>
    <w:rsid w:val="00F24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EB70B"/>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144C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4CED"/>
    <w:rPr>
      <w:sz w:val="20"/>
      <w:szCs w:val="20"/>
    </w:rPr>
  </w:style>
  <w:style w:type="character" w:styleId="EndnoteReference">
    <w:name w:val="endnote reference"/>
    <w:basedOn w:val="DefaultParagraphFont"/>
    <w:uiPriority w:val="99"/>
    <w:semiHidden/>
    <w:unhideWhenUsed/>
    <w:rsid w:val="00144C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1574</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J</cp:lastModifiedBy>
  <cp:revision>3</cp:revision>
  <dcterms:created xsi:type="dcterms:W3CDTF">2025-10-31T03:54:00Z</dcterms:created>
  <dcterms:modified xsi:type="dcterms:W3CDTF">2025-10-31T12:34:00Z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2025-10-30T12:46:27Z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cf9af395-b906-49ac-81bf-312f1d9b3f31</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