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8ECD" w14:textId="77777777" w:rsidR="0051480E" w:rsidRDefault="00000000">
      <w:pPr>
        <w:pStyle w:val="Heading1"/>
      </w:pPr>
      <w:r>
        <w:t>Request for Proposal (RFP): Third-Party Landing Zone (3PLZ) for Segmented Site-to-Site Connectivity</w:t>
      </w:r>
    </w:p>
    <w:p w14:paraId="37D9004D" w14:textId="77777777" w:rsidR="0051480E" w:rsidRDefault="00000000">
      <w:pPr>
        <w:pStyle w:val="Heading2"/>
      </w:pPr>
      <w:r>
        <w:t>1. Executive Summary</w:t>
      </w:r>
    </w:p>
    <w:p w14:paraId="32B0AE96" w14:textId="348931F2" w:rsidR="0077597F" w:rsidRDefault="00000000">
      <w:r>
        <w:br/>
      </w:r>
      <w:r w:rsidR="0077597F">
        <w:t>Communication with our business partners is foundational to our success. Supporting this communication comes with some risk, this</w:t>
      </w:r>
      <w:r>
        <w:t xml:space="preserve"> RFP</w:t>
      </w:r>
      <w:r w:rsidR="0077597F">
        <w:t xml:space="preserve"> in partnership with our vendors, looks to manage this risk in a transformative approach to delivering a connectivity solution to deliver a</w:t>
      </w:r>
      <w:r>
        <w:t xml:space="preserve"> Third-Party Landing Zone (3PLZ) that enables secure, isolated, and auditable access between external vendors and enterprise applications. </w:t>
      </w:r>
      <w:r w:rsidR="0077597F">
        <w:t>This architecture</w:t>
      </w:r>
      <w:r w:rsidR="00144CED">
        <w:rPr>
          <w:rStyle w:val="EndnoteReference"/>
        </w:rPr>
        <w:endnoteReference w:id="1"/>
      </w:r>
      <w:r w:rsidR="0077597F">
        <w:t xml:space="preserve"> embraces </w:t>
      </w:r>
      <w:r w:rsidR="00144CED">
        <w:t xml:space="preserve">the best elements of network security best practice: least privilege, segmentation, intent, and identity. </w:t>
      </w:r>
    </w:p>
    <w:p w14:paraId="44E90CCD" w14:textId="77777777" w:rsidR="0077597F" w:rsidRDefault="0077597F"/>
    <w:p w14:paraId="1AED5BCC" w14:textId="22BB4446" w:rsidR="0051480E" w:rsidRDefault="00000000">
      <w:proofErr w:type="spellStart"/>
      <w:r>
        <w:t>Tharchitecture</w:t>
      </w:r>
      <w:proofErr w:type="spellEnd"/>
      <w:r>
        <w:t xml:space="preserve"> relies on a site-to-site VPN terminating in a no-access tenant (Virtual Landing Zone – VLZ), enforcing per-service connectivity through application-specific proxies governed by connectivity service profiles.</w:t>
      </w:r>
      <w:r>
        <w:br/>
      </w:r>
    </w:p>
    <w:p w14:paraId="1EE76213" w14:textId="77777777" w:rsidR="0051480E" w:rsidRDefault="00000000">
      <w:pPr>
        <w:pStyle w:val="Heading2"/>
      </w:pPr>
      <w:r>
        <w:t>2. Business Objectives &amp; Security Context</w:t>
      </w:r>
    </w:p>
    <w:p w14:paraId="2DAA38E3" w14:textId="77777777" w:rsidR="0051480E" w:rsidRDefault="00000000">
      <w:r>
        <w:br/>
        <w:t xml:space="preserve">The enterprise requires a repeatable, compliant, and automated approach for third-party access to SFTP, VDI, internal web apps, and external SaaS. </w:t>
      </w:r>
      <w:r>
        <w:br/>
        <w:t>This solution must maintain least privilege, auditable access while reducing operational overhead through automation and self-service onboarding.</w:t>
      </w:r>
      <w:r>
        <w:br/>
        <w:t>Key drivers include compliance with SOC 2 Type II, ISO 27001, and the NIST Cybersecurity Framework.</w:t>
      </w:r>
      <w:r>
        <w:br/>
      </w:r>
    </w:p>
    <w:p w14:paraId="765528F7" w14:textId="77777777" w:rsidR="0051480E" w:rsidRDefault="00000000">
      <w:pPr>
        <w:pStyle w:val="Heading2"/>
      </w:pPr>
      <w:r>
        <w:t>3. Architecture Overview and Technical Need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480E" w14:paraId="29A946B3" w14:textId="77777777">
        <w:tc>
          <w:tcPr>
            <w:tcW w:w="2880" w:type="dxa"/>
          </w:tcPr>
          <w:p w14:paraId="3C117707" w14:textId="77777777" w:rsidR="0051480E" w:rsidRDefault="00000000">
            <w:r>
              <w:t>Component</w:t>
            </w:r>
          </w:p>
        </w:tc>
        <w:tc>
          <w:tcPr>
            <w:tcW w:w="2880" w:type="dxa"/>
          </w:tcPr>
          <w:p w14:paraId="05102595" w14:textId="77777777" w:rsidR="0051480E" w:rsidRDefault="00000000">
            <w:r>
              <w:t>Technical Purpose</w:t>
            </w:r>
          </w:p>
        </w:tc>
        <w:tc>
          <w:tcPr>
            <w:tcW w:w="2880" w:type="dxa"/>
          </w:tcPr>
          <w:p w14:paraId="577E7708" w14:textId="77777777" w:rsidR="0051480E" w:rsidRDefault="00000000">
            <w:r>
              <w:t>Security &amp; Compliance Justification</w:t>
            </w:r>
          </w:p>
        </w:tc>
      </w:tr>
      <w:tr w:rsidR="0051480E" w14:paraId="21F9F378" w14:textId="77777777">
        <w:tc>
          <w:tcPr>
            <w:tcW w:w="2880" w:type="dxa"/>
          </w:tcPr>
          <w:p w14:paraId="5E09FDDE" w14:textId="77777777" w:rsidR="0051480E" w:rsidRDefault="00000000">
            <w:r>
              <w:t>IPsec IKEv2 Tunnel</w:t>
            </w:r>
          </w:p>
        </w:tc>
        <w:tc>
          <w:tcPr>
            <w:tcW w:w="2880" w:type="dxa"/>
          </w:tcPr>
          <w:p w14:paraId="405D1A5F" w14:textId="77777777" w:rsidR="0051480E" w:rsidRDefault="00000000">
            <w:r>
              <w:t>Creates authenticated encrypted tunnels between gateways.</w:t>
            </w:r>
          </w:p>
        </w:tc>
        <w:tc>
          <w:tcPr>
            <w:tcW w:w="2880" w:type="dxa"/>
          </w:tcPr>
          <w:p w14:paraId="4EC9777E" w14:textId="77777777" w:rsidR="0051480E" w:rsidRDefault="00000000">
            <w:r>
              <w:t>NIST SP 800-77, RFC 7296, FIPS 140-3 compliant encryption.</w:t>
            </w:r>
          </w:p>
        </w:tc>
      </w:tr>
      <w:tr w:rsidR="0051480E" w14:paraId="335C7A60" w14:textId="77777777">
        <w:tc>
          <w:tcPr>
            <w:tcW w:w="2880" w:type="dxa"/>
          </w:tcPr>
          <w:p w14:paraId="0CFDFC24" w14:textId="77777777" w:rsidR="0051480E" w:rsidRDefault="00000000">
            <w:r>
              <w:t>No-Access Tenant (VLZ)</w:t>
            </w:r>
          </w:p>
        </w:tc>
        <w:tc>
          <w:tcPr>
            <w:tcW w:w="2880" w:type="dxa"/>
          </w:tcPr>
          <w:p w14:paraId="06BEB7BD" w14:textId="77777777" w:rsidR="0051480E" w:rsidRDefault="00000000">
            <w:r>
              <w:t>Terminates tunnels without exposing internal networks.</w:t>
            </w:r>
          </w:p>
        </w:tc>
        <w:tc>
          <w:tcPr>
            <w:tcW w:w="2880" w:type="dxa"/>
          </w:tcPr>
          <w:p w14:paraId="5D9B8C26" w14:textId="77777777" w:rsidR="0051480E" w:rsidRDefault="00000000">
            <w:r>
              <w:t>NIST 800-207 Zero Trust principle; CIS Control 13 Segmentation.</w:t>
            </w:r>
          </w:p>
        </w:tc>
      </w:tr>
      <w:tr w:rsidR="0051480E" w14:paraId="74AD8186" w14:textId="77777777">
        <w:tc>
          <w:tcPr>
            <w:tcW w:w="2880" w:type="dxa"/>
          </w:tcPr>
          <w:p w14:paraId="7DCF9647" w14:textId="77777777" w:rsidR="0051480E" w:rsidRDefault="00000000">
            <w:r>
              <w:t xml:space="preserve">Application Proxy </w:t>
            </w:r>
            <w:r>
              <w:lastRenderedPageBreak/>
              <w:t>(Envoy/HAProxy)</w:t>
            </w:r>
          </w:p>
        </w:tc>
        <w:tc>
          <w:tcPr>
            <w:tcW w:w="2880" w:type="dxa"/>
          </w:tcPr>
          <w:p w14:paraId="1FC52718" w14:textId="77777777" w:rsidR="0051480E" w:rsidRDefault="00000000">
            <w:r>
              <w:lastRenderedPageBreak/>
              <w:t xml:space="preserve">Per-service gateway with </w:t>
            </w:r>
            <w:r>
              <w:lastRenderedPageBreak/>
              <w:t>mTLS enforcement.</w:t>
            </w:r>
          </w:p>
        </w:tc>
        <w:tc>
          <w:tcPr>
            <w:tcW w:w="2880" w:type="dxa"/>
          </w:tcPr>
          <w:p w14:paraId="69797C96" w14:textId="77777777" w:rsidR="0051480E" w:rsidRDefault="00000000">
            <w:r>
              <w:lastRenderedPageBreak/>
              <w:t xml:space="preserve">NIST AC-4 and ISO 27001 </w:t>
            </w:r>
            <w:r>
              <w:lastRenderedPageBreak/>
              <w:t>A.13.1.3 Network Segregation.</w:t>
            </w:r>
          </w:p>
        </w:tc>
      </w:tr>
      <w:tr w:rsidR="0051480E" w14:paraId="375D4173" w14:textId="77777777">
        <w:tc>
          <w:tcPr>
            <w:tcW w:w="2880" w:type="dxa"/>
          </w:tcPr>
          <w:p w14:paraId="3F4ED542" w14:textId="77777777" w:rsidR="0051480E" w:rsidRDefault="00000000">
            <w:r>
              <w:lastRenderedPageBreak/>
              <w:t>BGP Per-Service Routing</w:t>
            </w:r>
          </w:p>
        </w:tc>
        <w:tc>
          <w:tcPr>
            <w:tcW w:w="2880" w:type="dxa"/>
          </w:tcPr>
          <w:p w14:paraId="4E582E40" w14:textId="77777777" w:rsidR="0051480E" w:rsidRDefault="00000000">
            <w:r>
              <w:t>Advertises only service-specific prefixes.</w:t>
            </w:r>
          </w:p>
        </w:tc>
        <w:tc>
          <w:tcPr>
            <w:tcW w:w="2880" w:type="dxa"/>
          </w:tcPr>
          <w:p w14:paraId="27F32EF5" w14:textId="77777777" w:rsidR="0051480E" w:rsidRDefault="00000000">
            <w:r>
              <w:t>CIS Control 6 Least Privilege Access.</w:t>
            </w:r>
          </w:p>
        </w:tc>
      </w:tr>
      <w:tr w:rsidR="0051480E" w14:paraId="04BF7A7A" w14:textId="77777777">
        <w:tc>
          <w:tcPr>
            <w:tcW w:w="2880" w:type="dxa"/>
          </w:tcPr>
          <w:p w14:paraId="0FA4A775" w14:textId="77777777" w:rsidR="0051480E" w:rsidRDefault="00000000">
            <w:r>
              <w:t>Split-Horizon DNS</w:t>
            </w:r>
          </w:p>
        </w:tc>
        <w:tc>
          <w:tcPr>
            <w:tcW w:w="2880" w:type="dxa"/>
          </w:tcPr>
          <w:p w14:paraId="3AB8DC57" w14:textId="77777777" w:rsidR="0051480E" w:rsidRDefault="00000000">
            <w:r>
              <w:t>Resolves internal vs public paths via policy.</w:t>
            </w:r>
          </w:p>
        </w:tc>
        <w:tc>
          <w:tcPr>
            <w:tcW w:w="2880" w:type="dxa"/>
          </w:tcPr>
          <w:p w14:paraId="60E9CF38" w14:textId="77777777" w:rsidR="0051480E" w:rsidRDefault="00000000">
            <w:r>
              <w:t>NIST SI-4 Monitoring, RFC 8499 DNS Security.</w:t>
            </w:r>
          </w:p>
        </w:tc>
      </w:tr>
      <w:tr w:rsidR="0051480E" w14:paraId="6271F0D3" w14:textId="77777777">
        <w:tc>
          <w:tcPr>
            <w:tcW w:w="2880" w:type="dxa"/>
          </w:tcPr>
          <w:p w14:paraId="40CA59B6" w14:textId="77777777" w:rsidR="0051480E" w:rsidRDefault="00000000">
            <w:r>
              <w:t>PKI/mTLS Identity</w:t>
            </w:r>
          </w:p>
        </w:tc>
        <w:tc>
          <w:tcPr>
            <w:tcW w:w="2880" w:type="dxa"/>
          </w:tcPr>
          <w:p w14:paraId="2DE06838" w14:textId="77777777" w:rsidR="0051480E" w:rsidRDefault="00000000">
            <w:r>
              <w:t>Authenticates all connections using certificates.</w:t>
            </w:r>
          </w:p>
        </w:tc>
        <w:tc>
          <w:tcPr>
            <w:tcW w:w="2880" w:type="dxa"/>
          </w:tcPr>
          <w:p w14:paraId="150B02AA" w14:textId="77777777" w:rsidR="0051480E" w:rsidRDefault="00000000">
            <w:r>
              <w:t>NIST IA-2, ISO 27001 A.9.4 Access Control.</w:t>
            </w:r>
          </w:p>
        </w:tc>
      </w:tr>
      <w:tr w:rsidR="0051480E" w14:paraId="4946E9EA" w14:textId="77777777">
        <w:tc>
          <w:tcPr>
            <w:tcW w:w="2880" w:type="dxa"/>
          </w:tcPr>
          <w:p w14:paraId="4830A9EA" w14:textId="77777777" w:rsidR="0051480E" w:rsidRDefault="00000000">
            <w:r>
              <w:t>Automation &amp; API</w:t>
            </w:r>
          </w:p>
        </w:tc>
        <w:tc>
          <w:tcPr>
            <w:tcW w:w="2880" w:type="dxa"/>
          </w:tcPr>
          <w:p w14:paraId="0DF358FE" w14:textId="77777777" w:rsidR="0051480E" w:rsidRDefault="00000000">
            <w:r>
              <w:t>Enables Terraform/IaC provisioning.</w:t>
            </w:r>
          </w:p>
        </w:tc>
        <w:tc>
          <w:tcPr>
            <w:tcW w:w="2880" w:type="dxa"/>
          </w:tcPr>
          <w:p w14:paraId="4BA9B9BA" w14:textId="77777777" w:rsidR="0051480E" w:rsidRDefault="00000000">
            <w:r>
              <w:t>NIST SP 800-218 DevSecOps and CIS Control 4.</w:t>
            </w:r>
          </w:p>
        </w:tc>
      </w:tr>
      <w:tr w:rsidR="0051480E" w14:paraId="4916B748" w14:textId="77777777">
        <w:tc>
          <w:tcPr>
            <w:tcW w:w="2880" w:type="dxa"/>
          </w:tcPr>
          <w:p w14:paraId="40888B94" w14:textId="77777777" w:rsidR="0051480E" w:rsidRDefault="00000000">
            <w:r>
              <w:t>Observability &amp; Logging</w:t>
            </w:r>
          </w:p>
        </w:tc>
        <w:tc>
          <w:tcPr>
            <w:tcW w:w="2880" w:type="dxa"/>
          </w:tcPr>
          <w:p w14:paraId="515F70E0" w14:textId="77777777" w:rsidR="0051480E" w:rsidRDefault="00000000">
            <w:r>
              <w:t>Exports per-tenant logs and metrics to SIEM.</w:t>
            </w:r>
          </w:p>
        </w:tc>
        <w:tc>
          <w:tcPr>
            <w:tcW w:w="2880" w:type="dxa"/>
          </w:tcPr>
          <w:p w14:paraId="557A1F7C" w14:textId="77777777" w:rsidR="0051480E" w:rsidRDefault="00000000">
            <w:r>
              <w:t>NIST AU-12, ISO 27001 A.12.4 Logging and Monitoring.</w:t>
            </w:r>
          </w:p>
        </w:tc>
      </w:tr>
    </w:tbl>
    <w:p w14:paraId="078219D4" w14:textId="77777777" w:rsidR="0051480E" w:rsidRDefault="00000000">
      <w:pPr>
        <w:pStyle w:val="Heading2"/>
      </w:pPr>
      <w:r>
        <w:t>4. Use Case Scenarios and Best-Practice Alignment</w:t>
      </w:r>
    </w:p>
    <w:p w14:paraId="2525973C" w14:textId="77777777" w:rsidR="0051480E" w:rsidRDefault="00000000">
      <w:pPr>
        <w:pStyle w:val="Heading3"/>
      </w:pPr>
      <w:r>
        <w:t>Secure File Transfer (SFTP/Sterling)</w:t>
      </w:r>
    </w:p>
    <w:p w14:paraId="2E279BA2" w14:textId="77777777" w:rsidR="0051480E" w:rsidRDefault="00000000">
      <w:r>
        <w:t>Use Case: Vendors exchange files via SFTP or IBM Sterling with PKI-secured sessions.</w:t>
      </w:r>
    </w:p>
    <w:p w14:paraId="408A7097" w14:textId="77777777" w:rsidR="0051480E" w:rsidRDefault="00000000">
      <w:r>
        <w:t>Relevant Standards: NIST SP 800-171 3.13, CIS Control 14, FIPS-compliant encryption.</w:t>
      </w:r>
    </w:p>
    <w:p w14:paraId="1A0E296C" w14:textId="77777777" w:rsidR="0051480E" w:rsidRDefault="00000000">
      <w:pPr>
        <w:pStyle w:val="Heading3"/>
      </w:pPr>
      <w:r>
        <w:t>Collaboration Platform Access (M365, eShare, Slack)</w:t>
      </w:r>
    </w:p>
    <w:p w14:paraId="2C57E289" w14:textId="77777777" w:rsidR="0051480E" w:rsidRDefault="00000000">
      <w:r>
        <w:t>Use Case: External users access collaboration tools through proxied, audited channels.</w:t>
      </w:r>
    </w:p>
    <w:p w14:paraId="429A747E" w14:textId="77777777" w:rsidR="0051480E" w:rsidRDefault="00000000">
      <w:r>
        <w:t>Relevant Standards: ISO 27001 A.13.2.1, NIST AC-2 Account Management.</w:t>
      </w:r>
    </w:p>
    <w:p w14:paraId="3A73CDA1" w14:textId="77777777" w:rsidR="0051480E" w:rsidRDefault="00000000">
      <w:pPr>
        <w:pStyle w:val="Heading3"/>
      </w:pPr>
      <w:r>
        <w:t>Virtual Desktop Infrastructure (VDI)</w:t>
      </w:r>
    </w:p>
    <w:p w14:paraId="07A47AC0" w14:textId="77777777" w:rsidR="0051480E" w:rsidRDefault="00000000">
      <w:r>
        <w:t>Use Case: Third-party workers use Citrix/Microsoft VDI via per-tenant mTLS proxies.</w:t>
      </w:r>
    </w:p>
    <w:p w14:paraId="4C05C262" w14:textId="77777777" w:rsidR="0051480E" w:rsidRDefault="00000000">
      <w:r>
        <w:t>Relevant Standards: NIST 800-207 ZTNA, ISO 27001 A.9.2, CIS Control 5.</w:t>
      </w:r>
    </w:p>
    <w:p w14:paraId="13FF1101" w14:textId="77777777" w:rsidR="0051480E" w:rsidRDefault="00000000">
      <w:pPr>
        <w:pStyle w:val="Heading3"/>
      </w:pPr>
      <w:r>
        <w:t>API Integration for External Applications</w:t>
      </w:r>
    </w:p>
    <w:p w14:paraId="3B3C2051" w14:textId="77777777" w:rsidR="0051480E" w:rsidRDefault="00000000">
      <w:r>
        <w:t>Use Case: External apps integrate securely with enterprise APIs via mTLS and JWT.</w:t>
      </w:r>
    </w:p>
    <w:p w14:paraId="0CB08BCF" w14:textId="77777777" w:rsidR="0051480E" w:rsidRDefault="00000000">
      <w:r>
        <w:t>Relevant Standards: NIST SP 800-95, OWASP API Top 10, CIS Control 16.</w:t>
      </w:r>
    </w:p>
    <w:p w14:paraId="6BF04981" w14:textId="77777777" w:rsidR="0051480E" w:rsidRDefault="00000000">
      <w:pPr>
        <w:pStyle w:val="Heading3"/>
      </w:pPr>
      <w:r>
        <w:t>Firewall Governance &amp; Legacy Cleanup</w:t>
      </w:r>
    </w:p>
    <w:p w14:paraId="7C40DABD" w14:textId="77777777" w:rsidR="0051480E" w:rsidRDefault="00000000">
      <w:r>
        <w:t>Use Case: Automated validation and cleanup of legacy VPN/MPLS connections.</w:t>
      </w:r>
    </w:p>
    <w:p w14:paraId="5F146EAF" w14:textId="77777777" w:rsidR="0051480E" w:rsidRDefault="00000000">
      <w:r>
        <w:t>Relevant Standards: NIST CM-3 Change Control, ISO 27001 A.12.1.2 Change Management.</w:t>
      </w:r>
    </w:p>
    <w:p w14:paraId="2DE70A50" w14:textId="77777777" w:rsidR="0051480E" w:rsidRDefault="00000000">
      <w:pPr>
        <w:pStyle w:val="Heading2"/>
      </w:pPr>
      <w:r>
        <w:lastRenderedPageBreak/>
        <w:t>5. Security Best Practices and Control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480E" w14:paraId="3086BCAB" w14:textId="77777777">
        <w:tc>
          <w:tcPr>
            <w:tcW w:w="2880" w:type="dxa"/>
          </w:tcPr>
          <w:p w14:paraId="138377A1" w14:textId="77777777" w:rsidR="0051480E" w:rsidRDefault="00000000">
            <w:r>
              <w:t>Framework Control</w:t>
            </w:r>
          </w:p>
        </w:tc>
        <w:tc>
          <w:tcPr>
            <w:tcW w:w="2880" w:type="dxa"/>
          </w:tcPr>
          <w:p w14:paraId="359129CA" w14:textId="77777777" w:rsidR="0051480E" w:rsidRDefault="00000000">
            <w:r>
              <w:t>Implementation in 3PLZ</w:t>
            </w:r>
          </w:p>
        </w:tc>
        <w:tc>
          <w:tcPr>
            <w:tcW w:w="2880" w:type="dxa"/>
          </w:tcPr>
          <w:p w14:paraId="1CFCFD1B" w14:textId="77777777" w:rsidR="0051480E" w:rsidRDefault="00000000">
            <w:r>
              <w:t>Evidence / Artifact</w:t>
            </w:r>
          </w:p>
        </w:tc>
      </w:tr>
      <w:tr w:rsidR="0051480E" w14:paraId="7C7DE5A9" w14:textId="77777777">
        <w:tc>
          <w:tcPr>
            <w:tcW w:w="2880" w:type="dxa"/>
          </w:tcPr>
          <w:p w14:paraId="3C00A704" w14:textId="77777777" w:rsidR="0051480E" w:rsidRDefault="00000000">
            <w:r>
              <w:t>NIST 800-207 (ZTNA)</w:t>
            </w:r>
          </w:p>
        </w:tc>
        <w:tc>
          <w:tcPr>
            <w:tcW w:w="2880" w:type="dxa"/>
          </w:tcPr>
          <w:p w14:paraId="00141574" w14:textId="77777777" w:rsidR="0051480E" w:rsidRDefault="00000000">
            <w:r>
              <w:t>VLZ No-Access Model &amp; Service Proxies</w:t>
            </w:r>
          </w:p>
        </w:tc>
        <w:tc>
          <w:tcPr>
            <w:tcW w:w="2880" w:type="dxa"/>
          </w:tcPr>
          <w:p w14:paraId="1D87C42E" w14:textId="77777777" w:rsidR="0051480E" w:rsidRDefault="00000000">
            <w:r>
              <w:t>Network Design Documents</w:t>
            </w:r>
          </w:p>
        </w:tc>
      </w:tr>
      <w:tr w:rsidR="0051480E" w14:paraId="240E6040" w14:textId="77777777">
        <w:tc>
          <w:tcPr>
            <w:tcW w:w="2880" w:type="dxa"/>
          </w:tcPr>
          <w:p w14:paraId="04E080C8" w14:textId="77777777" w:rsidR="0051480E" w:rsidRDefault="00000000">
            <w:r>
              <w:t>ISO 27001 A.13.1.3</w:t>
            </w:r>
          </w:p>
        </w:tc>
        <w:tc>
          <w:tcPr>
            <w:tcW w:w="2880" w:type="dxa"/>
          </w:tcPr>
          <w:p w14:paraId="33B919DA" w14:textId="77777777" w:rsidR="0051480E" w:rsidRDefault="00000000">
            <w:r>
              <w:t>BGP Per-Service Routing</w:t>
            </w:r>
          </w:p>
        </w:tc>
        <w:tc>
          <w:tcPr>
            <w:tcW w:w="2880" w:type="dxa"/>
          </w:tcPr>
          <w:p w14:paraId="5F218594" w14:textId="77777777" w:rsidR="0051480E" w:rsidRDefault="00000000">
            <w:r>
              <w:t>Routing Policies &amp; LLDs</w:t>
            </w:r>
          </w:p>
        </w:tc>
      </w:tr>
      <w:tr w:rsidR="0051480E" w14:paraId="62A6D1E0" w14:textId="77777777">
        <w:tc>
          <w:tcPr>
            <w:tcW w:w="2880" w:type="dxa"/>
          </w:tcPr>
          <w:p w14:paraId="568F36CA" w14:textId="77777777" w:rsidR="0051480E" w:rsidRDefault="00000000">
            <w:r>
              <w:t>CIS Control 6</w:t>
            </w:r>
          </w:p>
        </w:tc>
        <w:tc>
          <w:tcPr>
            <w:tcW w:w="2880" w:type="dxa"/>
          </w:tcPr>
          <w:p w14:paraId="4F35BE6C" w14:textId="77777777" w:rsidR="0051480E" w:rsidRDefault="00000000">
            <w:r>
              <w:t>DNS Views &amp; Service Profiles</w:t>
            </w:r>
          </w:p>
        </w:tc>
        <w:tc>
          <w:tcPr>
            <w:tcW w:w="2880" w:type="dxa"/>
          </w:tcPr>
          <w:p w14:paraId="5BD7034F" w14:textId="77777777" w:rsidR="0051480E" w:rsidRDefault="00000000">
            <w:r>
              <w:t>DNS Configurations</w:t>
            </w:r>
          </w:p>
        </w:tc>
      </w:tr>
      <w:tr w:rsidR="0051480E" w14:paraId="7DB9D548" w14:textId="77777777">
        <w:tc>
          <w:tcPr>
            <w:tcW w:w="2880" w:type="dxa"/>
          </w:tcPr>
          <w:p w14:paraId="34CE78F5" w14:textId="77777777" w:rsidR="0051480E" w:rsidRDefault="00000000">
            <w:r>
              <w:t>SOC 2 (CC6.6)</w:t>
            </w:r>
          </w:p>
        </w:tc>
        <w:tc>
          <w:tcPr>
            <w:tcW w:w="2880" w:type="dxa"/>
          </w:tcPr>
          <w:p w14:paraId="70032F22" w14:textId="77777777" w:rsidR="0051480E" w:rsidRDefault="00000000">
            <w:r>
              <w:t>Per-Tenant Logging to SIEM</w:t>
            </w:r>
          </w:p>
        </w:tc>
        <w:tc>
          <w:tcPr>
            <w:tcW w:w="2880" w:type="dxa"/>
          </w:tcPr>
          <w:p w14:paraId="45342D47" w14:textId="77777777" w:rsidR="0051480E" w:rsidRDefault="00000000">
            <w:r>
              <w:t>Audit Logs &amp; Reports</w:t>
            </w:r>
          </w:p>
        </w:tc>
      </w:tr>
      <w:tr w:rsidR="0051480E" w14:paraId="68589250" w14:textId="77777777">
        <w:tc>
          <w:tcPr>
            <w:tcW w:w="2880" w:type="dxa"/>
          </w:tcPr>
          <w:p w14:paraId="5D3818DA" w14:textId="77777777" w:rsidR="0051480E" w:rsidRDefault="00000000">
            <w:r>
              <w:t>NIST SP 800-57</w:t>
            </w:r>
          </w:p>
        </w:tc>
        <w:tc>
          <w:tcPr>
            <w:tcW w:w="2880" w:type="dxa"/>
          </w:tcPr>
          <w:p w14:paraId="4C1E3A09" w14:textId="77777777" w:rsidR="0051480E" w:rsidRDefault="00000000">
            <w:r>
              <w:t>PKI Lifecycle Automation</w:t>
            </w:r>
          </w:p>
        </w:tc>
        <w:tc>
          <w:tcPr>
            <w:tcW w:w="2880" w:type="dxa"/>
          </w:tcPr>
          <w:p w14:paraId="3EA5591D" w14:textId="77777777" w:rsidR="0051480E" w:rsidRDefault="00000000">
            <w:r>
              <w:t>Certificate Repository &amp; Rotation Policies</w:t>
            </w:r>
          </w:p>
        </w:tc>
      </w:tr>
    </w:tbl>
    <w:p w14:paraId="28F1ECAB" w14:textId="77777777" w:rsidR="0051480E" w:rsidRDefault="00000000">
      <w:pPr>
        <w:pStyle w:val="Heading2"/>
      </w:pPr>
      <w:r>
        <w:t>6. Deliverables</w:t>
      </w:r>
    </w:p>
    <w:p w14:paraId="64111B49" w14:textId="77777777" w:rsidR="0051480E" w:rsidRDefault="00000000">
      <w:r>
        <w:br/>
        <w:t>1. High-Level and Low-Level Design (HLD/LLD) for all service patterns.</w:t>
      </w:r>
      <w:r>
        <w:br/>
        <w:t>2. Terraform modules and OpenAPI specifications for automation.</w:t>
      </w:r>
      <w:r>
        <w:br/>
        <w:t>3. Compliance Mapping Document (NIST, ISO, CIS).</w:t>
      </w:r>
      <w:r>
        <w:br/>
        <w:t>4. Runbooks for PKI rotation, onboarding, and incident response.</w:t>
      </w:r>
      <w:r>
        <w:br/>
        <w:t>5. Interoperability guides for Cisco, Palo Alto, Fortinet, Check Point, Arista, and strongSwan.</w:t>
      </w:r>
      <w:r>
        <w:br/>
      </w:r>
    </w:p>
    <w:sectPr w:rsidR="0051480E" w:rsidSect="00034616">
      <w:endnotePr>
        <w:numFmt w:val="decimal"/>
      </w:end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C6F7E" w14:textId="77777777" w:rsidR="00545430" w:rsidRDefault="00545430" w:rsidP="00144CED">
      <w:pPr>
        <w:spacing w:after="0" w:line="240" w:lineRule="auto"/>
      </w:pPr>
      <w:r>
        <w:separator/>
      </w:r>
    </w:p>
  </w:endnote>
  <w:endnote w:type="continuationSeparator" w:id="0">
    <w:p w14:paraId="3E74E9FF" w14:textId="77777777" w:rsidR="00545430" w:rsidRDefault="00545430" w:rsidP="00144CED">
      <w:pPr>
        <w:spacing w:after="0" w:line="240" w:lineRule="auto"/>
      </w:pPr>
      <w:r>
        <w:continuationSeparator/>
      </w:r>
    </w:p>
  </w:endnote>
  <w:endnote w:id="1">
    <w:p w14:paraId="0E4DF279" w14:textId="0536F10C" w:rsidR="00144CED" w:rsidRDefault="00144CED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>The platform must enforce Zero-Trust segmentation—no direct layer-3 access between remote and corporate networks—and align with NIST SP 800-207, ISO/IEC 27001:2022 A.5/A.8/A.12, and CIS Controls v8 #3 (Access Control).</w:t>
      </w:r>
      <w:r>
        <w:b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435DA" w14:textId="77777777" w:rsidR="00545430" w:rsidRDefault="00545430" w:rsidP="00144CED">
      <w:pPr>
        <w:spacing w:after="0" w:line="240" w:lineRule="auto"/>
      </w:pPr>
      <w:r>
        <w:separator/>
      </w:r>
    </w:p>
  </w:footnote>
  <w:footnote w:type="continuationSeparator" w:id="0">
    <w:p w14:paraId="741EE1E1" w14:textId="77777777" w:rsidR="00545430" w:rsidRDefault="00545430" w:rsidP="00144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465582">
    <w:abstractNumId w:val="8"/>
  </w:num>
  <w:num w:numId="2" w16cid:durableId="1614052184">
    <w:abstractNumId w:val="6"/>
  </w:num>
  <w:num w:numId="3" w16cid:durableId="598219183">
    <w:abstractNumId w:val="5"/>
  </w:num>
  <w:num w:numId="4" w16cid:durableId="101220181">
    <w:abstractNumId w:val="4"/>
  </w:num>
  <w:num w:numId="5" w16cid:durableId="1794595761">
    <w:abstractNumId w:val="7"/>
  </w:num>
  <w:num w:numId="6" w16cid:durableId="1364290075">
    <w:abstractNumId w:val="3"/>
  </w:num>
  <w:num w:numId="7" w16cid:durableId="885408307">
    <w:abstractNumId w:val="2"/>
  </w:num>
  <w:num w:numId="8" w16cid:durableId="244264768">
    <w:abstractNumId w:val="1"/>
  </w:num>
  <w:num w:numId="9" w16cid:durableId="13561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CED"/>
    <w:rsid w:val="00150041"/>
    <w:rsid w:val="0015074B"/>
    <w:rsid w:val="0029639D"/>
    <w:rsid w:val="00326F90"/>
    <w:rsid w:val="0051480E"/>
    <w:rsid w:val="00545430"/>
    <w:rsid w:val="007759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EB70B"/>
  <w14:defaultImageDpi w14:val="300"/>
  <w15:docId w15:val="{D1BF49D5-E560-2541-8794-C10EB90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44CE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44CE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44C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J</cp:lastModifiedBy>
  <cp:revision>2</cp:revision>
  <dcterms:created xsi:type="dcterms:W3CDTF">2013-12-23T23:15:00Z</dcterms:created>
  <dcterms:modified xsi:type="dcterms:W3CDTF">2025-10-30T12:46:00Z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2025-10-30T12:46:27Z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cf9af395-b906-49ac-81bf-312f1d9b3f31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