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i w:val="false"/>
          <w:iCs w:val="false"/>
          <w:strike w:val="false"/>
          <w:color w:val="0F2744"/>
          <w:sz w:val="80"/>
          <w:szCs w:val="80"/>
        </w:rPr>
        <w:t xml:space="preserve">GW Platform</w:t>
      </w:r>
    </w:p>
    <w:p>
      <w:pPr>
        <w:spacing w:before="0" w:after="80"/>
      </w:pPr>
      <w:r>
        <w:rPr>
          <w:rFonts w:ascii="Arial" w:cs="Arial" w:eastAsia="Arial" w:hAnsi="Arial"/>
          <w:b/>
          <w:bCs/>
          <w:i w:val="false"/>
          <w:iCs w:val="false"/>
          <w:strike w:val="false"/>
          <w:color w:val="0A5A4E"/>
          <w:sz w:val="40"/>
          <w:szCs w:val="40"/>
        </w:rPr>
        <w:t xml:space="preserve">RC3 — Full Architecture Reference</w:t>
      </w:r>
    </w:p>
    <w:p>
      <w:pPr>
        <w:spacing w:before="0" w:after="600"/>
      </w:pPr>
      <w:r>
        <w:rPr>
          <w:rFonts w:ascii="Arial" w:cs="Arial" w:eastAsia="Arial" w:hAnsi="Arial"/>
          <w:b w:val="false"/>
          <w:bCs w:val="false"/>
          <w:i/>
          <w:iCs/>
          <w:strike w:val="false"/>
          <w:color w:val="555555"/>
          <w:sz w:val="24"/>
          <w:szCs w:val="24"/>
        </w:rPr>
        <w:t xml:space="preserve">Secure Access Edge for Legacy Application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Classification</w:t>
            </w:r>
          </w:p>
        </w:tc>
        <w:tc>
          <w:tcPr>
            <w:tcW w:type="dxa" w:w="69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Confidential</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Version</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RC3.3 — STABLE</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Audience</w:t>
            </w:r>
          </w:p>
        </w:tc>
        <w:tc>
          <w:tcPr>
            <w:tcW w:type="dxa" w:w="6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Architecture, Engineering, Operations</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Roadmap</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RC3.4 add-ons  |  RC3.5 managed access + DNS  |  RC4 containers</w:t>
            </w:r>
          </w:p>
        </w:tc>
      </w:tr>
    </w:tbl>
    <w:p>
      <w:pPr>
        <w:spacing w:before="0" w:after="600"/>
      </w:pPr>
      <w:r>
        <w:t xml:space="preserv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1. Overview</w:t>
      </w:r>
    </w:p>
    <w:p>
      <w:pPr>
        <w:spacing w:before="60" w:after="80"/>
        <w:jc w:val="left"/>
      </w:pPr>
      <w:r>
        <w:rPr>
          <w:rFonts w:ascii="Arial" w:cs="Arial" w:eastAsia="Arial" w:hAnsi="Arial"/>
          <w:b w:val="false"/>
          <w:bCs w:val="false"/>
          <w:i w:val="false"/>
          <w:iCs w:val="false"/>
          <w:strike w:val="false"/>
          <w:color w:val="1A1A2E"/>
          <w:sz w:val="20"/>
          <w:szCs w:val="20"/>
        </w:rPr>
        <w:t xml:space="preserve">GW Platform RC3.3 is a governed, deterministic, horizontally scalable multi-tenant secure access edge. It interposes a proxy layer in front of legacy enterprise applications, delivering SSH and HTTPS mTLS connectivity, namespace-driven access control with DNS rewriting, and transactional behaviour analytics — without requiring any modification to the applications it protects.</w:t>
      </w:r>
    </w:p>
    <w:p>
      <w:pPr>
        <w:spacing w:before="0" w:after="80"/>
      </w:pPr>
      <w:r>
        <w:t xml:space="preserve"/>
      </w:r>
    </w:p>
    <w:p>
      <w:pPr>
        <w:spacing w:before="60" w:after="80"/>
        <w:jc w:val="left"/>
      </w:pPr>
      <w:r>
        <w:rPr>
          <w:rFonts w:ascii="Arial" w:cs="Arial" w:eastAsia="Arial" w:hAnsi="Arial"/>
          <w:b w:val="false"/>
          <w:bCs w:val="false"/>
          <w:i w:val="false"/>
          <w:iCs w:val="false"/>
          <w:strike w:val="false"/>
          <w:color w:val="1A1A2E"/>
          <w:sz w:val="20"/>
          <w:szCs w:val="20"/>
        </w:rPr>
        <w:t xml:space="preserve">The registry is the single source of truth. All tenant state is manifest-derived. No manual per-node configuration is permitted after initial installation.</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1.1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Component</w:t>
            </w:r>
          </w:p>
        </w:tc>
        <w:tc>
          <w:tcPr>
            <w:tcW w:type="dxa" w:w="144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Version</w:t>
            </w:r>
          </w:p>
        </w:tc>
        <w:tc>
          <w:tcPr>
            <w:tcW w:type="dxa" w:w="552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Role</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gw-registry</w:t>
            </w:r>
          </w:p>
        </w:tc>
        <w:tc>
          <w:tcPr>
            <w:tcW w:type="dxa" w:w="14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v0.1.1-RC1</w:t>
            </w:r>
          </w:p>
        </w:tc>
        <w:tc>
          <w:tcPr>
            <w:tcW w:type="dxa" w:w="55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Source of truth — SQLite+WAL, gwreg CLI</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gw-builder</w:t>
            </w:r>
          </w:p>
        </w:tc>
        <w:tc>
          <w:tcPr>
            <w:tcW w:type="dxa" w:w="14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v1.1.3-RC1</w:t>
            </w:r>
          </w:p>
        </w:tc>
        <w:tc>
          <w:tcPr>
            <w:tcW w:type="dxa" w:w="55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 node control plane — gwctl CLI, manifest apply</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gw-admin-portal</w:t>
            </w:r>
          </w:p>
        </w:tc>
        <w:tc>
          <w:tcPr>
            <w:tcW w:type="dxa" w:w="14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v0.2.2-RC3</w:t>
            </w:r>
          </w:p>
        </w:tc>
        <w:tc>
          <w:tcPr>
            <w:tcW w:type="dxa" w:w="55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Management plane, bastion wrappers, key rotation</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gw-perfmon</w:t>
            </w:r>
          </w:p>
        </w:tc>
        <w:tc>
          <w:tcPr>
            <w:tcW w:type="dxa" w:w="14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v0.1.0</w:t>
            </w:r>
          </w:p>
        </w:tc>
        <w:tc>
          <w:tcPr>
            <w:tcW w:type="dxa" w:w="55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Advisory placement scoring — weighted composite load metrics</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gw-sshproxy</w:t>
            </w:r>
          </w:p>
        </w:tc>
        <w:tc>
          <w:tcPr>
            <w:tcW w:type="dxa" w:w="14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v0.1.2</w:t>
            </w:r>
          </w:p>
        </w:tc>
        <w:tc>
          <w:tcPr>
            <w:tcW w:type="dxa" w:w="55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Per-tenant SSH/SFTP TCP passthrough proxy (HAProxy)</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gw-inspection</w:t>
            </w:r>
          </w:p>
        </w:tc>
        <w:tc>
          <w:tcPr>
            <w:tcW w:type="dxa" w:w="14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v0.1.1</w:t>
            </w:r>
          </w:p>
        </w:tc>
        <w:tc>
          <w:tcPr>
            <w:tcW w:type="dxa" w:w="55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Per-tenant traffic tap and ERSPAN/VXLAN mirror export</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gw-builder-pki-tools</w:t>
            </w:r>
          </w:p>
        </w:tc>
        <w:tc>
          <w:tcPr>
            <w:tcW w:type="dxa" w:w="14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v1.1.1-RC1</w:t>
            </w:r>
          </w:p>
        </w:tc>
        <w:tc>
          <w:tcPr>
            <w:tcW w:type="dxa" w:w="55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mTLS, IPsec, and client certificate lifecycle tooling</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1.2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Release</w:t>
            </w:r>
          </w:p>
        </w:tc>
        <w:tc>
          <w:tcPr>
            <w:tcW w:type="dxa" w:w="69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Scope</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RC3.3  —  STABLE</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Core platform: registry, manifest, PKI, SSH proxy, perfmon, inspection, TOTP admin</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RC3.4  —  Add-ons</w:t>
            </w:r>
          </w:p>
        </w:tc>
        <w:tc>
          <w:tcPr>
            <w:tcW w:type="dxa" w:w="6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GW-Platform-RC3.4-CertDeliver: per-tenant mTLS client certificate delivery
GW-Platform-RC3.4-AdminTOTP: admin portal TOTP enrollment UX (terminal QR, any TOTP app)</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RC3.5  —  Planned</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Managed SSH/SFTP access proxy with TOTP auth and transparent credential injection
Per-tenant DNS listener, conditional forwarding, and rewrite rule management</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RC4  —  Planned</w:t>
            </w:r>
          </w:p>
        </w:tc>
        <w:tc>
          <w:tcPr>
            <w:tcW w:type="dxa" w:w="6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Container-based per-tenant service model (VRF-framed, own network namespace)</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2. Problem Statement and Design Goals</w:t>
      </w:r>
    </w:p>
    <w:p>
      <w:pPr>
        <w:pStyle w:val="Heading2"/>
        <w:spacing w:before="280" w:after="100"/>
      </w:pPr>
      <w:r>
        <w:rPr>
          <w:rFonts w:ascii="Arial" w:cs="Arial" w:eastAsia="Arial" w:hAnsi="Arial"/>
          <w:b/>
          <w:bCs/>
          <w:i w:val="false"/>
          <w:iCs w:val="false"/>
          <w:strike w:val="false"/>
          <w:color w:val="0A5A4E"/>
          <w:sz w:val="26"/>
          <w:szCs w:val="26"/>
        </w:rPr>
        <w:t xml:space="preserve">2.1 The Legacy Application Security Gap</w:t>
      </w:r>
    </w:p>
    <w:p>
      <w:pPr>
        <w:spacing w:before="60" w:after="80"/>
        <w:jc w:val="left"/>
      </w:pPr>
      <w:r>
        <w:rPr>
          <w:rFonts w:ascii="Arial" w:cs="Arial" w:eastAsia="Arial" w:hAnsi="Arial"/>
          <w:b w:val="false"/>
          <w:bCs w:val="false"/>
          <w:i w:val="false"/>
          <w:iCs w:val="false"/>
          <w:strike w:val="false"/>
          <w:color w:val="1A1A2E"/>
          <w:sz w:val="20"/>
          <w:szCs w:val="20"/>
        </w:rPr>
        <w:t xml:space="preserve">Enterprise legacy applications represent a persistent challenge in the delivery of secure third-party partner access. They were designed for perimeter-based security models and have no native capability to assert cryptographic identity, participate in policy-based access control, or support the primitives modern zero-trust frameworks depend on.</w:t>
      </w:r>
    </w:p>
    <w:p>
      <w:pPr>
        <w:spacing w:before="0" w:after="80"/>
      </w:pPr>
      <w:r>
        <w:t xml:space="preserve"/>
      </w:r>
    </w:p>
    <w:p>
      <w:pPr>
        <w:spacing w:before="60" w:after="80"/>
        <w:jc w:val="left"/>
      </w:pPr>
      <w:r>
        <w:rPr>
          <w:rFonts w:ascii="Arial" w:cs="Arial" w:eastAsia="Arial" w:hAnsi="Arial"/>
          <w:b w:val="false"/>
          <w:bCs w:val="false"/>
          <w:i w:val="false"/>
          <w:iCs w:val="false"/>
          <w:strike w:val="false"/>
          <w:color w:val="1A1A2E"/>
          <w:sz w:val="20"/>
          <w:szCs w:val="20"/>
        </w:rPr>
        <w:t xml:space="preserve">Replacing or refactoring these applications is often commercially and operationally impractical. GW Platform solves this without touching the application — it interposes a dual-stack proxy layer that delivers ZTNA-equivalent controls at the access edge, invisible to the application.</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2.2 Why Existing Approaches Fall Short</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Approach</w:t>
            </w:r>
          </w:p>
        </w:tc>
        <w:tc>
          <w:tcPr>
            <w:tcW w:type="dxa" w:w="3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Limitation</w:t>
            </w:r>
          </w:p>
        </w:tc>
        <w:tc>
          <w:tcPr>
            <w:tcW w:type="dxa" w:w="296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Impact</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Application re-engineering</w:t>
            </w:r>
          </w:p>
        </w:tc>
        <w:tc>
          <w:tcPr>
            <w:tcW w:type="dxa" w:w="3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Cost and risk prohibitive for embedded systems</w:t>
            </w:r>
          </w:p>
        </w:tc>
        <w:tc>
          <w:tcPr>
            <w:tcW w:type="dxa" w:w="2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Not commercially viable</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VPN-based partner access</w:t>
            </w:r>
          </w:p>
        </w:tc>
        <w:tc>
          <w:tcPr>
            <w:tcW w:type="dxa" w:w="3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 application-layer isolation; lateral movement risk</w:t>
            </w:r>
          </w:p>
        </w:tc>
        <w:tc>
          <w:tcPr>
            <w:tcW w:type="dxa" w:w="2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Over-privileged access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API gateway wrapping</w:t>
            </w:r>
          </w:p>
        </w:tc>
        <w:tc>
          <w:tcPr>
            <w:tcW w:type="dxa" w:w="3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Not applicable to SSH/legacy protocol applications</w:t>
            </w:r>
          </w:p>
        </w:tc>
        <w:tc>
          <w:tcPr>
            <w:tcW w:type="dxa" w:w="2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Protocol mismatch</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Cloud-delivered ZTNA</w:t>
            </w:r>
          </w:p>
        </w:tc>
        <w:tc>
          <w:tcPr>
            <w:tcW w:type="dxa" w:w="3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Requires application participation in identity plane</w:t>
            </w:r>
          </w:p>
        </w:tc>
        <w:tc>
          <w:tcPr>
            <w:tcW w:type="dxa" w:w="2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Breaks on legacy apps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Network micro-segmentation</w:t>
            </w:r>
          </w:p>
        </w:tc>
        <w:tc>
          <w:tcPr>
            <w:tcW w:type="dxa" w:w="3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Controls network layer only; no application semantics</w:t>
            </w:r>
          </w:p>
        </w:tc>
        <w:tc>
          <w:tcPr>
            <w:tcW w:type="dxa" w:w="2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 behaviour visibility</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2.3 Design Goals</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Deliver ZTNA-equivalent access controls without modifying legacy applications</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Support third-party partner connectivity as isolated, named tenants</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Provide SSH and HTTPS mTLS dual proxy capability at the access edge</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Implement namespace-driven connectivity with DNS rewriting for application addressing</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Introduce transactional behaviour analytics to detect application anomalies</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Demonstrate horizontal scalability as a proof-of-concept for enterprise deployment</w:t>
      </w:r>
    </w:p>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3. Control Plane — Admin Portal Node</w:t>
      </w:r>
    </w:p>
    <w:p>
      <w:pPr>
        <w:spacing w:before="60" w:after="80"/>
        <w:jc w:val="left"/>
      </w:pPr>
      <w:r>
        <w:rPr>
          <w:rFonts w:ascii="Arial" w:cs="Arial" w:eastAsia="Arial" w:hAnsi="Arial"/>
          <w:b w:val="false"/>
          <w:bCs w:val="false"/>
          <w:i w:val="false"/>
          <w:iCs w:val="false"/>
          <w:strike w:val="false"/>
          <w:color w:val="1A1A2E"/>
          <w:sz w:val="20"/>
          <w:szCs w:val="20"/>
        </w:rPr>
        <w:t xml:space="preserve">The Admin Portal is a dedicated Rocky Linux 9 node running the management plane. It is the authoritative source of all tenant state, the GPS-disciplined Stratum 1 NTP source for all gateway nodes, and the bastion through which all administrative SSH access is channelled. The portal is not in the data path — all partner traffic terminates directly on assigned gateway nodes.</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3.1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Service</w:t>
            </w:r>
          </w:p>
        </w:tc>
        <w:tc>
          <w:tcPr>
            <w:tcW w:type="dxa" w:w="69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Role</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gw-registry</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Registry API + SQLite database (WAL mode). Single source of truth for all tenant state.</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gw-admin-portal</w:t>
            </w:r>
          </w:p>
        </w:tc>
        <w:tc>
          <w:tcPr>
            <w:tcW w:type="dxa" w:w="6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Bastion shell, key rotation, network management wrappers</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gw-perfmon</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Placement advisory polling — SSH to GW nodes every 60 seconds, stores in registry.db</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chronyd</w:t>
            </w:r>
          </w:p>
        </w:tc>
        <w:tc>
          <w:tcPr>
            <w:tcW w:type="dxa" w:w="6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GPS receiver + PPS — Stratum 1 NTP source, serves all GW nodes on mgmt subnet</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nfs-server</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Read-only seed export to GW nodes (mgmt subnet only)</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3.2 Registry Resilience</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WAL journal mode — per-write durability, no data loss on process crash</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gwreg-safe — wraps all mutating gwreg commands with an automatic pre-write backup</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gwreg-rollback — time-window restore (5m to 24h), Python-parsed timestamps, interactive confirmation</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Backup retention — 30-day rolling window, 2 GB cap enforced by gwreg-retention cron</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3.3 Registry Governance</w:t>
      </w:r>
    </w:p>
    <w:p>
      <w:pPr>
        <w:spacing w:before="60" w:after="80"/>
        <w:jc w:val="left"/>
      </w:pPr>
      <w:r>
        <w:rPr>
          <w:rFonts w:ascii="Arial" w:cs="Arial" w:eastAsia="Arial" w:hAnsi="Arial"/>
          <w:b w:val="false"/>
          <w:bCs w:val="false"/>
          <w:i w:val="false"/>
          <w:iCs w:val="false"/>
          <w:strike w:val="false"/>
          <w:color w:val="1A1A2E"/>
          <w:sz w:val="20"/>
          <w:szCs w:val="20"/>
        </w:rPr>
        <w:t xml:space="preserve">The registry governs all tenant resource allocation. All allocations are enforced for uniqueness — no two tenants share a VLAN, VNI, loopback VIP, or SNAT identity.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Registry Resource</w:t>
            </w:r>
          </w:p>
        </w:tc>
        <w:tc>
          <w:tcPr>
            <w:tcW w:type="dxa" w:w="61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Description</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 VRF</w:t>
            </w:r>
          </w:p>
        </w:tc>
        <w:tc>
          <w:tcPr>
            <w:tcW w:type="dxa" w:w="61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Unique VRF name per tenant — vrf-&lt;tenant&gt;</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VLAN ID</w:t>
            </w:r>
          </w:p>
        </w:tc>
        <w:tc>
          <w:tcPr>
            <w:tcW w:type="dxa" w:w="61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Assigned at allocation, unique across all tenants</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VXLAN VNI</w:t>
            </w:r>
          </w:p>
        </w:tc>
        <w:tc>
          <w:tcPr>
            <w:tcW w:type="dxa" w:w="61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Assigned at allocation, unique across all tenants</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Loopback VIP</w:t>
            </w:r>
          </w:p>
        </w:tc>
        <w:tc>
          <w:tcPr>
            <w:tcW w:type="dxa" w:w="61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Per-tenant IP — activated on primary node only</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Primary / Backup assignment</w:t>
            </w:r>
          </w:p>
        </w:tc>
        <w:tc>
          <w:tcPr>
            <w:tcW w:type="dxa" w:w="61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Which GW nodes serve primary and backup roles for this tenant</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Manifest history</w:t>
            </w:r>
          </w:p>
        </w:tc>
        <w:tc>
          <w:tcPr>
            <w:tcW w:type="dxa" w:w="61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All rendered tenant manifests retained</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4. Gateway Nodes</w:t>
      </w:r>
    </w:p>
    <w:p>
      <w:pPr>
        <w:spacing w:before="60" w:after="80"/>
        <w:jc w:val="left"/>
      </w:pPr>
      <w:r>
        <w:rPr>
          <w:rFonts w:ascii="Arial" w:cs="Arial" w:eastAsia="Arial" w:hAnsi="Arial"/>
          <w:b w:val="false"/>
          <w:bCs w:val="false"/>
          <w:i w:val="false"/>
          <w:iCs w:val="false"/>
          <w:strike w:val="false"/>
          <w:color w:val="1A1A2E"/>
          <w:sz w:val="20"/>
          <w:szCs w:val="20"/>
        </w:rPr>
        <w:t xml:space="preserve">Gateway nodes are Rocky Linux 9 hosts that terminate IPsec tunnels, run the per-tenant VRF and VXLAN overlay fabric, establish BGP sessions, and host optional per-tenant services. All configuration is applied via manifest push from the Admin Portal. Gateway nodes operate autonomously from their local seed if the portal is unreachable.</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4.1 Interface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Interface</w:t>
            </w:r>
          </w:p>
        </w:tc>
        <w:tc>
          <w:tcPr>
            <w:tcW w:type="dxa" w:w="69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Role</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eth0  (WAN)</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IPsec tunnel termination, BGP peering with upstream</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eth1  (LAN)</w:t>
            </w:r>
          </w:p>
        </w:tc>
        <w:tc>
          <w:tcPr>
            <w:tcW w:type="dxa" w:w="6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VXLAN overlay fabric, tenant VRF services, management subnet</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4.2 Per-Tenant Node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Resource</w:t>
            </w:r>
          </w:p>
        </w:tc>
        <w:tc>
          <w:tcPr>
            <w:tcW w:type="dxa" w:w="328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Primary Node</w:t>
            </w:r>
          </w:p>
        </w:tc>
        <w:tc>
          <w:tcPr>
            <w:tcW w:type="dxa" w:w="328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Backup Node</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Loopback VIP</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Active — tenant VIP assigned and advertised</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Staged — NOT activated</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IPsec tunnel</w:t>
            </w:r>
          </w:p>
        </w:tc>
        <w:tc>
          <w:tcPr>
            <w:tcW w:type="dxa" w:w="328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Established and active</w:t>
            </w:r>
          </w:p>
        </w:tc>
        <w:tc>
          <w:tcPr>
            <w:tcW w:type="dxa" w:w="328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Config staged — NOT established</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BGP session</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Active — routes advertised</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Config staged — NOT peered</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SSH proxy (if enabled)</w:t>
            </w:r>
          </w:p>
        </w:tc>
        <w:tc>
          <w:tcPr>
            <w:tcW w:type="dxa" w:w="328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Active — HAProxy listening on VIP:22</w:t>
            </w:r>
          </w:p>
        </w:tc>
        <w:tc>
          <w:tcPr>
            <w:tcW w:type="dxa" w:w="328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NOT active</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Access proxy (RC3.5)</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Active — per-tenant process on VIP:22</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NOT active</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VXLAN overlay</w:t>
            </w:r>
          </w:p>
        </w:tc>
        <w:tc>
          <w:tcPr>
            <w:tcW w:type="dxa" w:w="328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Active — tenant fabric operational</w:t>
            </w:r>
          </w:p>
        </w:tc>
        <w:tc>
          <w:tcPr>
            <w:tcW w:type="dxa" w:w="328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Active — tenant fabric operational</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Manifest config</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Applied</w:t>
            </w:r>
          </w:p>
        </w:tc>
        <w:tc>
          <w:tcPr>
            <w:tcW w:type="dxa" w:w="328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Applied (full config staged and ready)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5A4E" w:sz="16"/>
              <w:bottom w:val="none" w:color="FFFFFF" w:sz="0"/>
              <w:right w:val="none" w:color="FFFFFF" w:sz="0"/>
            </w:tcBorders>
            <w:shd w:fill="EAF4F2" w:val="clear"/>
            <w:tcMar>
              <w:top w:type="dxa" w:w="100"/>
              <w:left w:type="dxa" w:w="180"/>
              <w:bottom w:type="dxa" w:w="100"/>
              <w:right w:type="dxa" w:w="120"/>
            </w:tcMar>
          </w:tcPr>
          <w:p>
            <w:pPr>
              <w:spacing w:before="0" w:after="0"/>
            </w:pPr>
            <w:r>
              <w:rPr>
                <w:rFonts w:ascii="Arial" w:cs="Arial" w:eastAsia="Arial" w:hAnsi="Arial"/>
                <w:b w:val="false"/>
                <w:bCs w:val="false"/>
                <w:i/>
                <w:iCs/>
                <w:strike w:val="false"/>
                <w:color w:val="1A1A2E"/>
                <w:sz w:val="19"/>
                <w:szCs w:val="19"/>
              </w:rPr>
              <w:t xml:space="preserve">Design principle: the backup node carries full tenant configuration but activates nothing. Promotion moves the VIP, re-establishes IPsec, restarts BGP, and transfers any active per-tenant services. No additional configuration is required at promotion time.</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4.3 Promotion Workflow</w:t>
      </w:r>
    </w:p>
    <w:p>
      <w:pPr>
        <w:spacing w:before="60" w:after="80"/>
        <w:jc w:val="left"/>
      </w:pPr>
      <w:r>
        <w:rPr>
          <w:rFonts w:ascii="Arial" w:cs="Arial" w:eastAsia="Arial" w:hAnsi="Arial"/>
          <w:b w:val="false"/>
          <w:bCs w:val="false"/>
          <w:i w:val="false"/>
          <w:iCs w:val="false"/>
          <w:strike w:val="false"/>
          <w:color w:val="1A1A2E"/>
          <w:sz w:val="20"/>
          <w:szCs w:val="20"/>
        </w:rPr>
        <w:t xml:space="preserve">Promotion moves the active role from the current primary to the backup node. It is lock-protected to prevent dual-active VIP scenarios.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Step</w:t>
            </w:r>
          </w:p>
        </w:tc>
        <w:tc>
          <w:tcPr>
            <w:tcW w:type="dxa" w:w="864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Action</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1</w:t>
            </w:r>
          </w:p>
        </w:tc>
        <w:tc>
          <w:tcPr>
            <w:tcW w:type="dxa" w:w="86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gwctl-promote acquires promote-lock (registry state='promoting' + portal lockfile)</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2</w:t>
            </w:r>
          </w:p>
        </w:tc>
        <w:tc>
          <w:tcPr>
            <w:tcW w:type="dxa" w:w="86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Registry updates placement — primary/backup swap recorded as authoritative state</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3</w:t>
            </w:r>
          </w:p>
        </w:tc>
        <w:tc>
          <w:tcPr>
            <w:tcW w:type="dxa" w:w="86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Manifest re-rendered from updated registry state</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4</w:t>
            </w:r>
          </w:p>
        </w:tc>
        <w:tc>
          <w:tcPr>
            <w:tcW w:type="dxa" w:w="86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Updated manifest pushed to both nodes (gw-manifest-push, validates JSON first)</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5</w:t>
            </w:r>
          </w:p>
        </w:tc>
        <w:tc>
          <w:tcPr>
            <w:tcW w:type="dxa" w:w="86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gwctl tenant-apply executed on both nodes</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6</w:t>
            </w:r>
          </w:p>
        </w:tc>
        <w:tc>
          <w:tcPr>
            <w:tcW w:type="dxa" w:w="86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Loopback VIP transferred to new primary — old primary deactivates</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7</w:t>
            </w:r>
          </w:p>
        </w:tc>
        <w:tc>
          <w:tcPr>
            <w:tcW w:type="dxa" w:w="86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IPsec tunnel re-established on new primary</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8</w:t>
            </w:r>
          </w:p>
        </w:tc>
        <w:tc>
          <w:tcPr>
            <w:tcW w:type="dxa" w:w="86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BGP session re-established on new primary</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9</w:t>
            </w:r>
          </w:p>
        </w:tc>
        <w:tc>
          <w:tcPr>
            <w:tcW w:type="dxa" w:w="86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SSH proxy (and RC3.5 access proxy) transferred to new primary</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10</w:t>
            </w:r>
          </w:p>
        </w:tc>
        <w:tc>
          <w:tcPr>
            <w:tcW w:type="dxa" w:w="86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Promote-lock released via EXIT trap — guaranteed even on crash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4E00" w:sz="16"/>
              <w:bottom w:val="none" w:color="FFFFFF" w:sz="0"/>
              <w:right w:val="none" w:color="FFFFFF" w:sz="0"/>
            </w:tcBorders>
            <w:shd w:fill="FFF8EC" w:val="clear"/>
            <w:tcMar>
              <w:top w:type="dxa" w:w="100"/>
              <w:left w:type="dxa" w:w="180"/>
              <w:bottom w:type="dxa" w:w="100"/>
              <w:right w:type="dxa" w:w="120"/>
            </w:tcMar>
          </w:tcPr>
          <w:p>
            <w:pPr>
              <w:spacing w:before="0" w:after="0"/>
            </w:pPr>
            <w:r>
              <w:rPr>
                <w:rFonts w:ascii="Arial" w:cs="Arial" w:eastAsia="Arial" w:hAnsi="Arial"/>
                <w:b w:val="false"/>
                <w:bCs w:val="false"/>
                <w:i/>
                <w:iCs/>
                <w:strike w:val="false"/>
                <w:color w:val="1A1A2E"/>
                <w:sz w:val="19"/>
                <w:szCs w:val="19"/>
              </w:rPr>
              <w:t xml:space="preserve">Failure handling: lock is released by EXIT trap on any failure. Registry auto-rollback applies. Stale locks auto-clear after PROMOTE_LOCK_TIMEOUT (default 5 min). Emergency clear: gwreg-promote-lock release-all</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5. Dual Proxy Stack</w:t>
      </w:r>
    </w:p>
    <w:p>
      <w:pPr>
        <w:spacing w:before="60" w:after="80"/>
        <w:jc w:val="left"/>
      </w:pPr>
      <w:r>
        <w:rPr>
          <w:rFonts w:ascii="Arial" w:cs="Arial" w:eastAsia="Arial" w:hAnsi="Arial"/>
          <w:b w:val="false"/>
          <w:bCs w:val="false"/>
          <w:i w:val="false"/>
          <w:iCs w:val="false"/>
          <w:strike w:val="false"/>
          <w:color w:val="1A1A2E"/>
          <w:sz w:val="20"/>
          <w:szCs w:val="20"/>
        </w:rPr>
        <w:t xml:space="preserve">The dual proxy stack is the core capability that enables ZTNA-equivalent access controls in front of applications that have no native ZTNA support. Two proxy types are provided because legacy enterprise environments commonly expose services over both SSH-based administrative access and HTTPS-based application interfaces.</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5.1 SSH Reverse Proxy (gw-sshproxy)</w:t>
      </w:r>
    </w:p>
    <w:p>
      <w:pPr>
        <w:spacing w:before="60" w:after="80"/>
        <w:jc w:val="left"/>
      </w:pPr>
      <w:r>
        <w:rPr>
          <w:rFonts w:ascii="Arial" w:cs="Arial" w:eastAsia="Arial" w:hAnsi="Arial"/>
          <w:b w:val="false"/>
          <w:bCs w:val="false"/>
          <w:i w:val="false"/>
          <w:iCs w:val="false"/>
          <w:strike w:val="false"/>
          <w:color w:val="1A1A2E"/>
          <w:sz w:val="20"/>
          <w:szCs w:val="20"/>
        </w:rPr>
        <w:t xml:space="preserve">The SSH proxy is a per-tenant optional add-on providing a TCP-layer reverse proxy on the tenant loopback VIP. HAProxy operates in TCP mode — the SSH session remains end-to-end encrypted between the remote client and the upstream host. The proxy does not terminate or inspect the SSH session content.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Property</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Detail</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Transport</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HAProxy TCP passthrough — SSH session not decrypted at the proxy</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VIP binding</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HAProxy frontend bound to tenant loopback VIP — unique per tenant</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Egress guard</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SSH_PROXY_EGRESS_IF required — apply fails loudly if absent; nftables enforces egress to correct interface</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Session timeout</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Configurable per tenant, default 4 hours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Promotion</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SSH proxy transfers to new primary automatically on every promotion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4E00" w:sz="16"/>
              <w:bottom w:val="none" w:color="FFFFFF" w:sz="0"/>
              <w:right w:val="none" w:color="FFFFFF" w:sz="0"/>
            </w:tcBorders>
            <w:shd w:fill="FFF8EC" w:val="clear"/>
            <w:tcMar>
              <w:top w:type="dxa" w:w="100"/>
              <w:left w:type="dxa" w:w="180"/>
              <w:bottom w:type="dxa" w:w="100"/>
              <w:right w:type="dxa" w:w="120"/>
            </w:tcMar>
          </w:tcPr>
          <w:p>
            <w:pPr>
              <w:spacing w:before="0" w:after="0"/>
            </w:pPr>
            <w:r>
              <w:rPr>
                <w:rFonts w:ascii="Arial" w:cs="Arial" w:eastAsia="Arial" w:hAnsi="Arial"/>
                <w:b w:val="false"/>
                <w:bCs w:val="false"/>
                <w:i/>
                <w:iCs/>
                <w:strike w:val="false"/>
                <w:color w:val="1A1A2E"/>
                <w:sz w:val="19"/>
                <w:szCs w:val="19"/>
              </w:rPr>
              <w:t xml:space="preserve">RC3.5 introduces gw-accessproxy — a separate terminating proxy with TOTP authentication, per-service ACL, and transparent credential injection. It runs alongside gw-sshproxy; neither replaces the other.</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5.2 HTTPS mTLS Proxy</w:t>
      </w:r>
    </w:p>
    <w:p>
      <w:pPr>
        <w:spacing w:before="60" w:after="80"/>
        <w:jc w:val="left"/>
      </w:pPr>
      <w:r>
        <w:rPr>
          <w:rFonts w:ascii="Arial" w:cs="Arial" w:eastAsia="Arial" w:hAnsi="Arial"/>
          <w:b w:val="false"/>
          <w:bCs w:val="false"/>
          <w:i w:val="false"/>
          <w:iCs w:val="false"/>
          <w:strike w:val="false"/>
          <w:color w:val="1A1A2E"/>
          <w:sz w:val="20"/>
          <w:szCs w:val="20"/>
        </w:rPr>
        <w:t xml:space="preserve">The HTTPS mTLS proxy provides mutual TLS termination for partner access to legacy HTTPS application endpoints. The platform issues per-tenant certificates from a managed CA. The partner presents their certificate; the gateway validates it against the tenant's expected certificate profile before proxying the request.</w:t>
      </w:r>
    </w:p>
    <w:p>
      <w:pPr>
        <w:spacing w:before="0" w:after="80"/>
      </w:pPr>
      <w:r>
        <w:t xml:space="preserve"/>
      </w:r>
    </w:p>
    <w:p>
      <w:pPr>
        <w:spacing w:before="60" w:after="80"/>
        <w:jc w:val="left"/>
      </w:pPr>
      <w:r>
        <w:rPr>
          <w:rFonts w:ascii="Arial" w:cs="Arial" w:eastAsia="Arial" w:hAnsi="Arial"/>
          <w:b w:val="false"/>
          <w:bCs w:val="false"/>
          <w:i w:val="false"/>
          <w:iCs w:val="false"/>
          <w:strike w:val="false"/>
          <w:color w:val="1A1A2E"/>
          <w:sz w:val="20"/>
          <w:szCs w:val="20"/>
        </w:rPr>
        <w:t xml:space="preserve">Legacy applications that speak only HTTP internally receive plain HTTP from the gateway's backend connection. The mTLS security model is entirely contained within the gateway layer — the application is unaware that mutual authentication has occurred.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Property</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Detail</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Client authentication</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Mutual TLS — partner certificate validated against tenant CA</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Backend protocol</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HTTP or HTTPS (configurable per-service) — legacy apps can remain on plain HTTP internally</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Certificate management</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Per-tenant CA via gw-builder-pki-tools — issuance, renewal, revocation via Admin Portal</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Namespace binding</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mTLS endpoint addresses resolved within tenant DNS namespace — no enterprise addressing exposed</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6. Namespace-Driven Connectivity</w:t>
      </w:r>
    </w:p>
    <w:p>
      <w:pPr>
        <w:pStyle w:val="Heading2"/>
        <w:spacing w:before="280" w:after="100"/>
      </w:pPr>
      <w:r>
        <w:rPr>
          <w:rFonts w:ascii="Arial" w:cs="Arial" w:eastAsia="Arial" w:hAnsi="Arial"/>
          <w:b/>
          <w:bCs/>
          <w:i w:val="false"/>
          <w:iCs w:val="false"/>
          <w:strike w:val="false"/>
          <w:color w:val="0A5A4E"/>
          <w:sz w:val="26"/>
          <w:szCs w:val="26"/>
        </w:rPr>
        <w:t xml:space="preserve">6.1 Tenant Namespace Model</w:t>
      </w:r>
    </w:p>
    <w:p>
      <w:pPr>
        <w:spacing w:before="60" w:after="80"/>
        <w:jc w:val="left"/>
      </w:pPr>
      <w:r>
        <w:rPr>
          <w:rFonts w:ascii="Arial" w:cs="Arial" w:eastAsia="Arial" w:hAnsi="Arial"/>
          <w:b w:val="false"/>
          <w:bCs w:val="false"/>
          <w:i w:val="false"/>
          <w:iCs w:val="false"/>
          <w:strike w:val="false"/>
          <w:color w:val="1A1A2E"/>
          <w:sz w:val="20"/>
          <w:szCs w:val="20"/>
        </w:rPr>
        <w:t xml:space="preserve">Each tenant is assigned a dedicated namespace implemented as a VRF on the gateway node. VRF isolation ensures that a tenant's routing table, address space, and DNS context are entirely separate from other tenants and from the enterprise management fabric.</w:t>
      </w:r>
    </w:p>
    <w:p>
      <w:pPr>
        <w:spacing w:before="0" w:after="80"/>
      </w:pPr>
      <w:r>
        <w:t xml:space="preserve"/>
      </w:r>
    </w:p>
    <w:p>
      <w:pPr>
        <w:spacing w:before="60" w:after="80"/>
        <w:jc w:val="left"/>
      </w:pPr>
      <w:r>
        <w:rPr>
          <w:rFonts w:ascii="Arial" w:cs="Arial" w:eastAsia="Arial" w:hAnsi="Arial"/>
          <w:b w:val="false"/>
          <w:bCs w:val="false"/>
          <w:i w:val="false"/>
          <w:iCs w:val="false"/>
          <w:strike w:val="false"/>
          <w:color w:val="1A1A2E"/>
          <w:sz w:val="20"/>
          <w:szCs w:val="20"/>
        </w:rPr>
        <w:t xml:space="preserve">This isolation is enforced at the kernel networking layer — it is not dependent on application-layer access controls alone. A misconfigured or compromised tenant cannot reach another tenant's resources or traverse to the enterprise fabric.</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6.2 DNS Rewriting</w:t>
      </w:r>
    </w:p>
    <w:p>
      <w:pPr>
        <w:spacing w:before="60" w:after="80"/>
        <w:jc w:val="left"/>
      </w:pPr>
      <w:r>
        <w:rPr>
          <w:rFonts w:ascii="Arial" w:cs="Arial" w:eastAsia="Arial" w:hAnsi="Arial"/>
          <w:b w:val="false"/>
          <w:bCs w:val="false"/>
          <w:i w:val="false"/>
          <w:iCs w:val="false"/>
          <w:strike w:val="false"/>
          <w:color w:val="1A1A2E"/>
          <w:sz w:val="20"/>
          <w:szCs w:val="20"/>
        </w:rPr>
        <w:t xml:space="preserve">Partner-facing application endpoints are published under a tenant-scoped DNS zone. When a partner resolves an application hostname, they receive an address within their namespace's Virtual IP space. The gateway handles the translation between tenant-namespace addresses and enterprise-internal application addresses transparently.</w:t>
      </w:r>
    </w:p>
    <w:p>
      <w:pPr>
        <w:spacing w:before="0" w:after="80"/>
      </w:pPr>
      <w:r>
        <w:t xml:space="preserve"/>
      </w:r>
    </w:p>
    <w:p>
      <w:pPr>
        <w:spacing w:before="60" w:after="80"/>
        <w:jc w:val="left"/>
      </w:pPr>
      <w:r>
        <w:rPr>
          <w:rFonts w:ascii="Arial" w:cs="Arial" w:eastAsia="Arial" w:hAnsi="Arial"/>
          <w:b w:val="false"/>
          <w:bCs w:val="false"/>
          <w:i w:val="false"/>
          <w:iCs w:val="false"/>
          <w:strike w:val="false"/>
          <w:color w:val="1A1A2E"/>
          <w:sz w:val="20"/>
          <w:szCs w:val="20"/>
        </w:rPr>
        <w:t xml:space="preserve">DNS rewriting is a load-bearing dependency — it is the mechanism that makes name-based connectivity function within the addressing model. Partners see a consistent, isolated naming universe. Enterprise internal addressing is never exposed.</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6.3 Overlay Fabric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Property</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Detail</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Encryption</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IPsec ESP — cryptographic separation of all inter-node tenant traffic</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Encapsulation</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VXLAN within IPsec tunnel — preserves tenant namespace boundaries across physical nodes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Routing</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BGP between gateway nodes, per-tenant VRF route exchange — static peers (RC3)</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Failover</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VIP migration on promote — overlay re-established automatically on new primary</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7. Application Behaviour Analytics</w:t>
      </w:r>
    </w:p>
    <w:p>
      <w:pPr>
        <w:spacing w:before="60" w:after="80"/>
        <w:jc w:val="left"/>
      </w:pPr>
      <w:r>
        <w:rPr>
          <w:rFonts w:ascii="Arial" w:cs="Arial" w:eastAsia="Arial" w:hAnsi="Arial"/>
          <w:b w:val="false"/>
          <w:bCs w:val="false"/>
          <w:i w:val="false"/>
          <w:iCs w:val="false"/>
          <w:strike w:val="false"/>
          <w:color w:val="1A1A2E"/>
          <w:sz w:val="20"/>
          <w:szCs w:val="20"/>
        </w:rPr>
        <w:t xml:space="preserve">Identity-based controls answer one question: is this the expected partner? They do not answer an equally important question: is this partner doing what it normally does? GW Platform introduces transactional behaviour analytics as a second layer of detection.</w:t>
      </w:r>
    </w:p>
    <w:p>
      <w:pPr>
        <w:spacing w:before="0" w:after="80"/>
      </w:pPr>
      <w:r>
        <w:t xml:space="preserve"/>
      </w:r>
    </w:p>
    <w:p>
      <w:pPr>
        <w:spacing w:before="60" w:after="80"/>
        <w:jc w:val="left"/>
      </w:pPr>
      <w:r>
        <w:rPr>
          <w:rFonts w:ascii="Arial" w:cs="Arial" w:eastAsia="Arial" w:hAnsi="Arial"/>
          <w:b w:val="false"/>
          <w:bCs w:val="false"/>
          <w:i w:val="false"/>
          <w:iCs w:val="false"/>
          <w:strike w:val="false"/>
          <w:color w:val="1A1A2E"/>
          <w:sz w:val="20"/>
          <w:szCs w:val="20"/>
        </w:rPr>
        <w:t xml:space="preserve">Metrics are collected at the proxy level — request rates, session duration distributions, command/method distributions for SSH and HTTP respectively, response characteristic profiles, and inter-arrival time patterns. Over an operational baselining period, normal behaviour ranges are established per tenant and per application endpoint.</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7.1 Analytics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Dimension</w:t>
            </w:r>
          </w:p>
        </w:tc>
        <w:tc>
          <w:tcPr>
            <w:tcW w:type="dxa" w:w="61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What It Detects</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Transaction rate deviation</w:t>
            </w:r>
          </w:p>
        </w:tc>
        <w:tc>
          <w:tcPr>
            <w:tcW w:type="dxa" w:w="61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Automated scraping, bulk data extraction, credential stuffing relay</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Session duration anomaly</w:t>
            </w:r>
          </w:p>
        </w:tc>
        <w:tc>
          <w:tcPr>
            <w:tcW w:type="dxa" w:w="61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Unusually long-lived sessions; persistent connection abuse</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Command / method distribution shift</w:t>
            </w:r>
          </w:p>
        </w:tc>
        <w:tc>
          <w:tcPr>
            <w:tcW w:type="dxa" w:w="61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Unexpected SSH command sequences; unusual HTTP method usage</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Response profile change</w:t>
            </w:r>
          </w:p>
        </w:tc>
        <w:tc>
          <w:tcPr>
            <w:tcW w:type="dxa" w:w="61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Application returning unexpected response codes at scale</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Inter-arrival time pattern</w:t>
            </w:r>
          </w:p>
        </w:tc>
        <w:tc>
          <w:tcPr>
            <w:tcW w:type="dxa" w:w="61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Bot-like regularity in session initiation; scripted access patterns</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Tenant-to-tenant behavioural drift</w:t>
            </w:r>
          </w:p>
        </w:tc>
        <w:tc>
          <w:tcPr>
            <w:tcW w:type="dxa" w:w="61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One tenant's traffic pattern diverging from established baseline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A5A4E" w:sz="16"/>
              <w:bottom w:val="none" w:color="FFFFFF" w:sz="0"/>
              <w:right w:val="none" w:color="FFFFFF" w:sz="0"/>
            </w:tcBorders>
            <w:shd w:fill="EAF4F2" w:val="clear"/>
            <w:tcMar>
              <w:top w:type="dxa" w:w="100"/>
              <w:left w:type="dxa" w:w="180"/>
              <w:bottom w:type="dxa" w:w="100"/>
              <w:right w:type="dxa" w:w="120"/>
            </w:tcMar>
          </w:tcPr>
          <w:p>
            <w:pPr>
              <w:spacing w:before="0" w:after="0"/>
            </w:pPr>
            <w:r>
              <w:rPr>
                <w:rFonts w:ascii="Arial" w:cs="Arial" w:eastAsia="Arial" w:hAnsi="Arial"/>
                <w:b w:val="false"/>
                <w:bCs w:val="false"/>
                <w:i/>
                <w:iCs/>
                <w:strike w:val="false"/>
                <w:color w:val="1A1A2E"/>
                <w:sz w:val="19"/>
                <w:szCs w:val="19"/>
              </w:rPr>
              <w:t xml:space="preserve">Design intent: anomaly detection surfaces visibility, not automated blocking. Legacy application environments often have legitimate but irregular operational patterns. The analytics layer provides visibility that no existing control in the environment provides.</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8. Security Model</w:t>
      </w:r>
    </w:p>
    <w:p>
      <w:pPr>
        <w:pStyle w:val="Heading2"/>
        <w:spacing w:before="280" w:after="100"/>
      </w:pPr>
      <w:r>
        <w:rPr>
          <w:rFonts w:ascii="Arial" w:cs="Arial" w:eastAsia="Arial" w:hAnsi="Arial"/>
          <w:b/>
          <w:bCs/>
          <w:i w:val="false"/>
          <w:iCs w:val="false"/>
          <w:strike w:val="false"/>
          <w:color w:val="0A5A4E"/>
          <w:sz w:val="26"/>
          <w:szCs w:val="26"/>
        </w:rPr>
        <w:t xml:space="preserve">8.1 Defence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Layer</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Controls Applied</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Network perimeter</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nftables default-drop on all chains (input, forward, output). Table-scoped — add-on tables preserved across re-application. Explicit allow-list only.</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Transport</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IPsec ESP for all inter-node traffic. mTLS for partner HTTPS sessions. ed25519 for SSH sessions.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Identity</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Public key authentication (SSH). Mutual certificate authentication (HTTPS mTLS). TOTP second factor on all portal administrative access.</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Namespace</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VRF isolation per tenant. Inter-tenant routing explicitly absent. nftables forward chain default-drop with per-tenant egress guards.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Bastion access</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All GW node admin access via portal bastion wrappers only. StrictHostKeyChecking enforced. Session timeout 4 hours. SUDO_USER preserved.</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Key hygiene</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Automated daily ed25519 key rotation. Two-generation retention. Direct push to gateway nodes — no NFS delivery dependency.</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Operational integrity</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Promote-lock prevents dual-active VIP. Registry WAL mode with point-in-time rollback. Seed resilience for autonomous recovery.</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8.2 Admin Portal Authentication</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TOTP second factor enforced on all portal SSH logins (PAM + Google Authenticator)</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gw-totp-setup.sh provides full enrollment UX: ASCII QR rendered to terminal, manual key fallback, live code confirmation before finalising, 5 emergency scratch codes</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Compatible with any RFC 6238 TOTP app — Google Authenticator, Authy, Microsoft Authenticator, 1Password</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Both SSH public key AND TOTP required — neither factor alone is sufficient</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Admin TOTP is for internal engineers only — not tenant-facing</w:t>
      </w:r>
    </w:p>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9. PKI Architecture</w:t>
      </w:r>
    </w:p>
    <w:p>
      <w:pPr>
        <w:spacing w:before="60" w:after="80"/>
        <w:jc w:val="left"/>
      </w:pPr>
      <w:r>
        <w:rPr>
          <w:rFonts w:ascii="Arial" w:cs="Arial" w:eastAsia="Arial" w:hAnsi="Arial"/>
          <w:b w:val="false"/>
          <w:bCs w:val="false"/>
          <w:i w:val="false"/>
          <w:iCs w:val="false"/>
          <w:strike w:val="false"/>
          <w:color w:val="1A1A2E"/>
          <w:sz w:val="20"/>
          <w:szCs w:val="20"/>
        </w:rPr>
        <w:t xml:space="preserve">The PKI hierarchy lives entirely on the Admin Portal at /etc/gateway/pki/. Private keys never leave the portal and are never included in the seed or NFS export. All certificate operations are performed on the portal and certificates are distributed to nodes via manifest push.</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9.1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Level</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Notes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Root CA</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/etc/gateway/pki/root/ — private key NEVER leaves portal. Backed up to GPG-encrypted USB only.</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 Intermediate CA</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/etc/gateway/pki/&lt;tenant&gt;/intermediate/ — one per tenant. Private key NEVER leaves portal.</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CRL (per tenant)</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Refreshed daily via systemd timer. NGINX CRL enforcement via ssl_crl directive.</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9.2 Certificate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Certificate Type</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Issued From / Purpose</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IPsec node certs</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 intermediate CA — IKEv2 authentication for tunnel establishment</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mTLS inter-node</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 intermediate CA — mutual TLS between platform components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mTLS client certs</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 intermediate CA — per-user P12 bundles (SAN=email), RC3.4 add-on delivery</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9.3 mTLS Client Certificate Delivery (RC3.4)</w:t>
      </w:r>
    </w:p>
    <w:p>
      <w:pPr>
        <w:spacing w:before="60" w:after="80"/>
        <w:jc w:val="left"/>
      </w:pPr>
      <w:r>
        <w:rPr>
          <w:rFonts w:ascii="Arial" w:cs="Arial" w:eastAsia="Arial" w:hAnsi="Arial"/>
          <w:b w:val="false"/>
          <w:bCs w:val="false"/>
          <w:i w:val="false"/>
          <w:iCs w:val="false"/>
          <w:strike w:val="false"/>
          <w:color w:val="1A1A2E"/>
          <w:sz w:val="20"/>
          <w:szCs w:val="20"/>
        </w:rPr>
        <w:t xml:space="preserve">gw-cert-deliver.sh issues per-user P12 bundles from the tenant intermediate CA and delivers them via a temporary HTTPS server (port 8443, self-signed TLS, isolated nftables table). Users authenticate with email address + one-time password. Download window: 3 attempts / 15 minutes. Auto-shutdown when all certs delivered.</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9.4 CA Key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4E00" w:sz="16"/>
              <w:bottom w:val="none" w:color="FFFFFF" w:sz="0"/>
              <w:right w:val="none" w:color="FFFFFF" w:sz="0"/>
            </w:tcBorders>
            <w:shd w:fill="FFF8EC" w:val="clear"/>
            <w:tcMar>
              <w:top w:type="dxa" w:w="100"/>
              <w:left w:type="dxa" w:w="180"/>
              <w:bottom w:type="dxa" w:w="100"/>
              <w:right w:type="dxa" w:w="120"/>
            </w:tcMar>
          </w:tcPr>
          <w:p>
            <w:pPr>
              <w:spacing w:before="0" w:after="0"/>
            </w:pPr>
            <w:r>
              <w:rPr>
                <w:rFonts w:ascii="Arial" w:cs="Arial" w:eastAsia="Arial" w:hAnsi="Arial"/>
                <w:b w:val="false"/>
                <w:bCs w:val="false"/>
                <w:i/>
                <w:iCs/>
                <w:strike w:val="false"/>
                <w:color w:val="1A1A2E"/>
                <w:sz w:val="19"/>
                <w:szCs w:val="19"/>
              </w:rPr>
              <w:t xml:space="preserve">CA key backup is mandatory before provisioning is considered complete. Loss of CA keys after a portal rebuild prevents all certificate issuance and renewal. The GPG passphrase must be stored SEPARATELY from the USB backup device.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Command</w:t>
            </w:r>
          </w:p>
        </w:tc>
        <w:tc>
          <w:tcPr>
            <w:tcW w:type="dxa" w:w="57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Action</w:t>
            </w:r>
          </w:p>
        </w:tc>
      </w:tr>
      <w:tr>
        <w:tc>
          <w:tcPr>
            <w:tcW w:type="dxa" w:w="3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gw-pki-backup.sh backup-root</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Backup root CA — GPG AES-256 encrypted to USB</w:t>
            </w:r>
          </w:p>
        </w:tc>
      </w:tr>
      <w:tr>
        <w:tc>
          <w:tcPr>
            <w:tcW w:type="dxa" w:w="3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gw-pki-backup.sh backup-tenant &lt;tenant&gt;</w:t>
            </w:r>
          </w:p>
        </w:tc>
        <w:tc>
          <w:tcPr>
            <w:tcW w:type="dxa" w:w="57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Backup one tenant intermediate CA</w:t>
            </w:r>
          </w:p>
        </w:tc>
      </w:tr>
      <w:tr>
        <w:tc>
          <w:tcPr>
            <w:tcW w:type="dxa" w:w="3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gw-pki-backup.sh backup</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Backup all CAs in one operation</w:t>
            </w:r>
          </w:p>
        </w:tc>
      </w:tr>
      <w:tr>
        <w:tc>
          <w:tcPr>
            <w:tcW w:type="dxa" w:w="3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gw-pki-backup.sh verify &lt;file&gt;</w:t>
            </w:r>
          </w:p>
        </w:tc>
        <w:tc>
          <w:tcPr>
            <w:tcW w:type="dxa" w:w="57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Integrity check without restore</w:t>
            </w:r>
          </w:p>
        </w:tc>
      </w:tr>
      <w:tr>
        <w:tc>
          <w:tcPr>
            <w:tcW w:type="dxa" w:w="3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gw-pki-backup.sh restore &lt;file&gt;</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Restore from encrypted archive</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10. Seed Architecture and Resilience</w:t>
      </w:r>
    </w:p>
    <w:p>
      <w:pPr>
        <w:spacing w:before="60" w:after="80"/>
        <w:jc w:val="left"/>
      </w:pPr>
      <w:r>
        <w:rPr>
          <w:rFonts w:ascii="Arial" w:cs="Arial" w:eastAsia="Arial" w:hAnsi="Arial"/>
          <w:b w:val="false"/>
          <w:bCs w:val="false"/>
          <w:i w:val="false"/>
          <w:iCs w:val="false"/>
          <w:strike w:val="false"/>
          <w:color w:val="1A1A2E"/>
          <w:sz w:val="20"/>
          <w:szCs w:val="20"/>
        </w:rPr>
        <w:t xml:space="preserve">The seed is a structured directory at /opt/gw-seed/ on the Admin Portal, exported read-only via NFS to all GW nodes. Each GW node maintains a persistent local copy refreshed every 5 minutes via cron. The seed ensures GW nodes can recover independently if the portal is unreachable.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Directory</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Contents</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seed/packages/</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All RC3 zip packages and RC3-packages.sha256 checksums</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seed/registry/</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Live registry DB snapshot — updated on every gwreg write</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seed/portal/</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Admin portal config and deployment scripts</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seed/pki/</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CA certificates and node certs — NO private keys ever included</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seed/manifests/</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Latest rendered tenant manifests</w:t>
            </w:r>
          </w:p>
        </w:tc>
      </w:tr>
    </w:tbl>
    <w:p>
      <w:pPr>
        <w:spacing w:before="0" w:after="80"/>
      </w:pPr>
      <w:r>
        <w:t xml:space="preserve"/>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GW nodes retain last-good seed state indefinitely if portal is unreachable</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gw-portal-redeploy --local — full portal rebuild from local GW node seed copy</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gw-seed-sync cron: rsync portal NFS shadow every 5 minutes; retains local copy silently if NFS unavailable</w:t>
      </w:r>
    </w:p>
    <w:p>
      <w:pPr>
        <w:pStyle w:val="ListParagraph"/>
        <w:numPr>
          <w:ilvl w:val="0"/>
          <w:numId w:val="2"/>
        </w:numPr>
        <w:spacing w:before="40" w:after="40"/>
      </w:pPr>
      <w:r>
        <w:rPr>
          <w:rFonts w:ascii="Arial" w:cs="Arial" w:eastAsia="Arial" w:hAnsi="Arial"/>
          <w:b w:val="false"/>
          <w:bCs w:val="false"/>
          <w:i w:val="false"/>
          <w:iCs w:val="false"/>
          <w:strike w:val="false"/>
          <w:color w:val="1A1A2E"/>
          <w:sz w:val="20"/>
          <w:szCs w:val="20"/>
        </w:rPr>
        <w:t xml:space="preserve">gw-seed-verify cron: daily SHA256 checksum verification and registry DB readability check</w:t>
      </w:r>
    </w:p>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11. Capacity Model and PerfMon</w:t>
      </w:r>
    </w:p>
    <w:p>
      <w:pPr>
        <w:spacing w:before="60" w:after="80"/>
        <w:jc w:val="left"/>
      </w:pPr>
      <w:r>
        <w:rPr>
          <w:rFonts w:ascii="Arial" w:cs="Arial" w:eastAsia="Arial" w:hAnsi="Arial"/>
          <w:b w:val="false"/>
          <w:bCs w:val="false"/>
          <w:i w:val="false"/>
          <w:iCs w:val="false"/>
          <w:strike w:val="false"/>
          <w:color w:val="1A1A2E"/>
          <w:sz w:val="20"/>
          <w:szCs w:val="20"/>
        </w:rPr>
        <w:t xml:space="preserve">PerfMon polls all GW nodes every 60 seconds via SSH and stores load metrics in the registry database. All scoring is advisory — the operator is responsible for respecting INELIGIBLE node status before allocating new tenants.</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11.1 Composite Load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c>
          <w:tcPr>
            <w:tcW w:type="dxa" w:w="32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Metric</w:t>
            </w:r>
          </w:p>
        </w:tc>
        <w:tc>
          <w:tcPr>
            <w:tcW w:type="dxa" w:w="144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Weight</w:t>
            </w:r>
          </w:p>
        </w:tc>
        <w:tc>
          <w:tcPr>
            <w:tcW w:type="dxa" w:w="472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Description</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Interface utilisation</w:t>
            </w:r>
          </w:p>
        </w:tc>
        <w:tc>
          <w:tcPr>
            <w:tcW w:type="dxa" w:w="14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40%</w:t>
            </w:r>
          </w:p>
        </w:tc>
        <w:tc>
          <w:tcPr>
            <w:tcW w:type="dxa" w:w="4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Primary capacity constraint for proxy-dominant workloads</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CPU utilisation</w:t>
            </w:r>
          </w:p>
        </w:tc>
        <w:tc>
          <w:tcPr>
            <w:tcW w:type="dxa" w:w="14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30%</w:t>
            </w:r>
          </w:p>
        </w:tc>
        <w:tc>
          <w:tcPr>
            <w:tcW w:type="dxa" w:w="4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Load from cryptographic operations (IPsec, TLS)</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 density</w:t>
            </w:r>
          </w:p>
        </w:tc>
        <w:tc>
          <w:tcPr>
            <w:tcW w:type="dxa" w:w="14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30%</w:t>
            </w:r>
          </w:p>
        </w:tc>
        <w:tc>
          <w:tcPr>
            <w:tcW w:type="dxa" w:w="4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Operational manageability factor</w:t>
            </w:r>
          </w:p>
        </w:tc>
      </w:tr>
    </w:tbl>
    <w:p>
      <w:pPr>
        <w:spacing w:before="0" w:after="80"/>
      </w:pPr>
      <w:r>
        <w:t xml:space="preserve"/>
      </w:r>
    </w:p>
    <w:p>
      <w:pPr>
        <w:spacing w:before="60" w:after="80"/>
        <w:jc w:val="left"/>
      </w:pPr>
      <w:r>
        <w:rPr>
          <w:rFonts w:ascii="Arial" w:cs="Arial" w:eastAsia="Arial" w:hAnsi="Arial"/>
          <w:b w:val="false"/>
          <w:bCs w:val="false"/>
          <w:i w:val="false"/>
          <w:iCs w:val="false"/>
          <w:strike w:val="false"/>
          <w:color w:val="1A1A2E"/>
          <w:sz w:val="20"/>
          <w:szCs w:val="20"/>
        </w:rPr>
        <w:t xml:space="preserve">composite_load = (0.40 × if_util) + (0.30 × cpu_util) + (0.30 × density)</w:t>
      </w:r>
    </w:p>
    <w:p>
      <w:pPr>
        <w:spacing w:before="60" w:after="80"/>
        <w:jc w:val="left"/>
      </w:pPr>
      <w:r>
        <w:rPr>
          <w:rFonts w:ascii="Arial" w:cs="Arial" w:eastAsia="Arial" w:hAnsi="Arial"/>
          <w:b w:val="false"/>
          <w:bCs w:val="false"/>
          <w:i w:val="false"/>
          <w:iCs w:val="false"/>
          <w:strike w:val="false"/>
          <w:color w:val="1A1A2E"/>
          <w:sz w:val="20"/>
          <w:szCs w:val="20"/>
        </w:rPr>
        <w:t xml:space="preserve">projected_load = composite_load × (1 + oversub_percent / 100)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Status</w:t>
            </w:r>
          </w:p>
        </w:tc>
        <w:tc>
          <w:tcPr>
            <w:tcW w:type="dxa" w:w="69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Condition</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OK</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projected_load ≤ cap</w:t>
            </w:r>
          </w:p>
        </w:tc>
      </w:tr>
      <w:tr>
        <w:tc>
          <w:tcPr>
            <w:tcW w:type="dxa" w:w="2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WARN</w:t>
            </w:r>
          </w:p>
        </w:tc>
        <w:tc>
          <w:tcPr>
            <w:tcW w:type="dxa" w:w="69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projected_load ≤ cap + 10%</w:t>
            </w:r>
          </w:p>
        </w:tc>
      </w:tr>
      <w:tr>
        <w:tc>
          <w:tcPr>
            <w:tcW w:type="dxa" w:w="2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INELIGIBLE</w:t>
            </w:r>
          </w:p>
        </w:tc>
        <w:tc>
          <w:tcPr>
            <w:tcW w:type="dxa" w:w="69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projected_load &gt; cap + 10%</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84E00" w:sz="16"/>
              <w:bottom w:val="none" w:color="FFFFFF" w:sz="0"/>
              <w:right w:val="none" w:color="FFFFFF" w:sz="0"/>
            </w:tcBorders>
            <w:shd w:fill="FFF8EC" w:val="clear"/>
            <w:tcMar>
              <w:top w:type="dxa" w:w="100"/>
              <w:left w:type="dxa" w:w="180"/>
              <w:bottom w:type="dxa" w:w="100"/>
              <w:right w:type="dxa" w:w="120"/>
            </w:tcMar>
          </w:tcPr>
          <w:p>
            <w:pPr>
              <w:spacing w:before="0" w:after="0"/>
            </w:pPr>
            <w:r>
              <w:rPr>
                <w:rFonts w:ascii="Arial" w:cs="Arial" w:eastAsia="Arial" w:hAnsi="Arial"/>
                <w:b w:val="false"/>
                <w:bCs w:val="false"/>
                <w:i/>
                <w:iCs/>
                <w:strike w:val="false"/>
                <w:color w:val="1A1A2E"/>
                <w:sz w:val="19"/>
                <w:szCs w:val="19"/>
              </w:rPr>
              <w:t xml:space="preserve">Known limitation (RC3): gwreg tenant alloc will succeed even if the target node scores INELIGIBLE. Always run gwperf-score report before allocating to a loaded node. Hard enforcement planned for v1.1.</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12. RC3.5 — Managed Access and DNS (Planned)</w:t>
      </w:r>
    </w:p>
    <w:p>
      <w:pPr>
        <w:spacing w:before="60" w:after="80"/>
        <w:jc w:val="left"/>
      </w:pPr>
      <w:r>
        <w:rPr>
          <w:rFonts w:ascii="Arial" w:cs="Arial" w:eastAsia="Arial" w:hAnsi="Arial"/>
          <w:b w:val="false"/>
          <w:bCs w:val="false"/>
          <w:i w:val="false"/>
          <w:iCs w:val="false"/>
          <w:strike w:val="false"/>
          <w:color w:val="1A1A2E"/>
          <w:sz w:val="20"/>
          <w:szCs w:val="20"/>
        </w:rPr>
        <w:t xml:space="preserve">RC3.5 introduces a fully managed remote user access layer and per-tenant DNS management. The design principle is consistent with the rest of the platform: every service and every listener has a tenant-specific IP — no shared central services. The per-tenant process model is designed to migrate directly to containers in RC4.</w:t>
      </w:r>
    </w:p>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12.1 Managed SSH/SFTP Access Proxy (gw-accessproxy)</w:t>
      </w:r>
    </w:p>
    <w:p>
      <w:pPr>
        <w:spacing w:before="60" w:after="80"/>
        <w:jc w:val="left"/>
      </w:pPr>
      <w:r>
        <w:rPr>
          <w:rFonts w:ascii="Arial" w:cs="Arial" w:eastAsia="Arial" w:hAnsi="Arial"/>
          <w:b w:val="false"/>
          <w:bCs w:val="false"/>
          <w:i w:val="false"/>
          <w:iCs w:val="false"/>
          <w:strike w:val="false"/>
          <w:color w:val="1A1A2E"/>
          <w:sz w:val="20"/>
          <w:szCs w:val="20"/>
        </w:rPr>
        <w:t xml:space="preserve">A native SSH/SFTP terminating proxy — completely separate from the existing gw-sshproxy TCP passthrough model. Each tenant gets a dedicated Python/paramiko process on its own VIP on the primary GW node. The proxy validates TOTP, checks per-service ACL, fetches downstream credentials from the GPG vault, and opens the outbound session transparently.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40"/>
        <w:gridCol w:w="6600"/>
      </w:tblGrid>
      <w:tr>
        <w:tc>
          <w:tcPr>
            <w:tcW w:type="dxa" w:w="72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Step</w:t>
            </w:r>
          </w:p>
        </w:tc>
        <w:tc>
          <w:tcPr>
            <w:tcW w:type="dxa" w:w="204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Actor</w:t>
            </w:r>
          </w:p>
        </w:tc>
        <w:tc>
          <w:tcPr>
            <w:tcW w:type="dxa" w:w="660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Action</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1</w:t>
            </w:r>
          </w:p>
        </w:tc>
        <w:tc>
          <w:tcPr>
            <w:tcW w:type="dxa" w:w="20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Remote user</w:t>
            </w:r>
          </w:p>
        </w:tc>
        <w:tc>
          <w:tcPr>
            <w:tcW w:type="dxa" w:w="6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HTTP GET &lt;tenant-VIP&gt;:8444/otp/&lt;email&gt; — retrieves current 6-digit OTP code</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2</w:t>
            </w:r>
          </w:p>
        </w:tc>
        <w:tc>
          <w:tcPr>
            <w:tcW w:type="dxa" w:w="20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Remote user</w:t>
            </w:r>
          </w:p>
        </w:tc>
        <w:tc>
          <w:tcPr>
            <w:tcW w:type="dxa" w:w="6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ssh &lt;email&gt;@&lt;tenant-VIP&gt; — password is the retrieved OTP code</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3</w:t>
            </w:r>
          </w:p>
        </w:tc>
        <w:tc>
          <w:tcPr>
            <w:tcW w:type="dxa" w:w="20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gw-accessproxy</w:t>
            </w:r>
          </w:p>
        </w:tc>
        <w:tc>
          <w:tcPr>
            <w:tcW w:type="dxa" w:w="6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Validates OTP against per-user TOTP secret (±1 window = 90s grace)</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4</w:t>
            </w:r>
          </w:p>
        </w:tc>
        <w:tc>
          <w:tcPr>
            <w:tcW w:type="dxa" w:w="20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gw-accessproxy</w:t>
            </w:r>
          </w:p>
        </w:tc>
        <w:tc>
          <w:tcPr>
            <w:tcW w:type="dxa" w:w="6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Checks email against per-service ACL — allow or reject</w:t>
            </w:r>
          </w:p>
        </w:tc>
      </w:tr>
      <w:tr>
        <w:tc>
          <w:tcPr>
            <w:tcW w:type="dxa" w:w="72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5</w:t>
            </w:r>
          </w:p>
        </w:tc>
        <w:tc>
          <w:tcPr>
            <w:tcW w:type="dxa" w:w="204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gw-accessproxy</w:t>
            </w:r>
          </w:p>
        </w:tc>
        <w:tc>
          <w:tcPr>
            <w:tcW w:type="dxa" w:w="6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Fetches downstream credentials from GPG-encrypted vault</w:t>
            </w:r>
          </w:p>
        </w:tc>
      </w:tr>
      <w:tr>
        <w:tc>
          <w:tcPr>
            <w:tcW w:type="dxa" w:w="72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6</w:t>
            </w:r>
          </w:p>
        </w:tc>
        <w:tc>
          <w:tcPr>
            <w:tcW w:type="dxa" w:w="204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gw-accessproxy</w:t>
            </w:r>
          </w:p>
        </w:tc>
        <w:tc>
          <w:tcPr>
            <w:tcW w:type="dxa" w:w="6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Opens new SSH session to internal host — user never sees internal credentials</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12.2 Per-Tenant DNS Architecture (gw-dnsctl)</w:t>
      </w:r>
    </w:p>
    <w:p>
      <w:pPr>
        <w:spacing w:before="60" w:after="80"/>
        <w:jc w:val="left"/>
      </w:pPr>
      <w:r>
        <w:rPr>
          <w:rFonts w:ascii="Arial" w:cs="Arial" w:eastAsia="Arial" w:hAnsi="Arial"/>
          <w:b w:val="false"/>
          <w:bCs w:val="false"/>
          <w:i w:val="false"/>
          <w:iCs w:val="false"/>
          <w:strike w:val="false"/>
          <w:color w:val="1A1A2E"/>
          <w:sz w:val="20"/>
          <w:szCs w:val="20"/>
        </w:rPr>
        <w:t xml:space="preserve">Every DNS listener runs on a tenant-specific VIP:53 — no shared DNS service. Each tenant gets its own dnsmasq process, systemd unit, nftables table, and configuration directory.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Model</w:t>
            </w:r>
          </w:p>
        </w:tc>
        <w:tc>
          <w:tcPr>
            <w:tcW w:type="dxa" w:w="21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Direction</w:t>
            </w:r>
          </w:p>
        </w:tc>
        <w:tc>
          <w:tcPr>
            <w:tcW w:type="dxa" w:w="540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Flow</w:t>
            </w:r>
          </w:p>
        </w:tc>
      </w:tr>
      <w:tr>
        <w:tc>
          <w:tcPr>
            <w:tcW w:type="dxa" w:w="1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Inbound</w:t>
            </w:r>
          </w:p>
        </w:tc>
        <w:tc>
          <w:tcPr>
            <w:tcW w:type="dxa" w:w="21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3rd party → internal</w:t>
            </w:r>
          </w:p>
        </w:tc>
        <w:tc>
          <w:tcPr>
            <w:tcW w:type="dxa" w:w="54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3rd party points conditional forwarder → tenant VIP:53. Listener forwards to internal DNS servers.</w:t>
            </w:r>
          </w:p>
        </w:tc>
      </w:tr>
      <w:tr>
        <w:tc>
          <w:tcPr>
            <w:tcW w:type="dxa" w:w="1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Outbound</w:t>
            </w:r>
          </w:p>
        </w:tc>
        <w:tc>
          <w:tcPr>
            <w:tcW w:type="dxa" w:w="21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Enterprise → 3rd party</w:t>
            </w:r>
          </w:p>
        </w:tc>
        <w:tc>
          <w:tcPr>
            <w:tcW w:type="dxa" w:w="54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Enterprise-facing listener on tenant VIP:53. Forwards to 3rd party DNS servers.</w:t>
            </w:r>
          </w:p>
        </w:tc>
      </w:tr>
    </w:tbl>
    <w:p>
      <w:pPr>
        <w:spacing w:before="0" w:after="80"/>
      </w:pPr>
      <w:r>
        <w:t xml:space="preserve"/>
      </w:r>
    </w:p>
    <w:p>
      <w:pPr>
        <w:pStyle w:val="Heading2"/>
        <w:spacing w:before="280" w:after="100"/>
      </w:pPr>
      <w:r>
        <w:rPr>
          <w:rFonts w:ascii="Arial" w:cs="Arial" w:eastAsia="Arial" w:hAnsi="Arial"/>
          <w:b/>
          <w:bCs/>
          <w:i w:val="false"/>
          <w:iCs w:val="false"/>
          <w:strike w:val="false"/>
          <w:color w:val="0A5A4E"/>
          <w:sz w:val="26"/>
          <w:szCs w:val="26"/>
        </w:rPr>
        <w:t xml:space="preserve">12.3 Per-Tenant Process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Process</w:t>
            </w:r>
          </w:p>
        </w:tc>
        <w:tc>
          <w:tcPr>
            <w:tcW w:type="dxa" w:w="33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Systemd Unit</w:t>
            </w:r>
          </w:p>
        </w:tc>
        <w:tc>
          <w:tcPr>
            <w:tcW w:type="dxa" w:w="280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nftables Table</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gw-accessproxy (SSH/SFTP proxy)</w:t>
            </w:r>
          </w:p>
        </w:tc>
        <w:tc>
          <w:tcPr>
            <w:tcW w:type="dxa" w:w="33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gw-accessproxy@&lt;tenant&gt;.service</w:t>
            </w:r>
          </w:p>
        </w:tc>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gw_accessproxy_&lt;tenant&gt;</w:t>
            </w:r>
          </w:p>
        </w:tc>
      </w:tr>
      <w:tr>
        <w:tc>
          <w:tcPr>
            <w:tcW w:type="dxa" w:w="32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gw-otpendpoint (OTP HTTP endpoint)</w:t>
            </w:r>
          </w:p>
        </w:tc>
        <w:tc>
          <w:tcPr>
            <w:tcW w:type="dxa" w:w="33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gw-otpendpoint@&lt;tenant&gt;.service</w:t>
            </w:r>
          </w:p>
        </w:tc>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gw_otp_&lt;tenant&gt;</w:t>
            </w:r>
          </w:p>
        </w:tc>
      </w:tr>
      <w:tr>
        <w:tc>
          <w:tcPr>
            <w:tcW w:type="dxa" w:w="32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gw-dnslistener (DNS listener)</w:t>
            </w:r>
          </w:p>
        </w:tc>
        <w:tc>
          <w:tcPr>
            <w:tcW w:type="dxa" w:w="33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gw-dnslistener@&lt;tenant&gt;.service</w:t>
            </w:r>
          </w:p>
        </w:tc>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gw_dns_&lt;tenant&gt;</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13. Horizontal Scalability</w:t>
      </w:r>
    </w:p>
    <w:p>
      <w:pPr>
        <w:spacing w:before="60" w:after="80"/>
        <w:jc w:val="left"/>
      </w:pPr>
      <w:r>
        <w:rPr>
          <w:rFonts w:ascii="Arial" w:cs="Arial" w:eastAsia="Arial" w:hAnsi="Arial"/>
          <w:b w:val="false"/>
          <w:bCs w:val="false"/>
          <w:i w:val="false"/>
          <w:iCs w:val="false"/>
          <w:strike w:val="false"/>
          <w:color w:val="1A1A2E"/>
          <w:sz w:val="20"/>
          <w:szCs w:val="20"/>
        </w:rPr>
        <w:t xml:space="preserve">The platform is designed for horizontal scale from the ground up. Gateway nodes are stateless with respect to tenant configuration — all authoritative state lives in the registry. Adding capacity means registering a new gateway node; existing tenants are not disrupted.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Scale Dimension</w:t>
            </w:r>
          </w:p>
        </w:tc>
        <w:tc>
          <w:tcPr>
            <w:tcW w:type="dxa" w:w="65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Mechanism</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Node addition</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Register via gwreg, enroll SSH keys, apply nftables and chrony baselines — eligible for placement immediately</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Tenant scale-out</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Allocated to highest-scoring eligible node per PerfMon weighted composite scoring</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Load rebalancing</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Promote operation migrates tenant primary to a less-loaded node; promote-lock prevents race conditions</w:t>
            </w:r>
          </w:p>
        </w:tc>
      </w:tr>
      <w:tr>
        <w:tc>
          <w:tcPr>
            <w:tcW w:type="dxa" w:w="28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Node decommission</w:t>
            </w:r>
          </w:p>
        </w:tc>
        <w:tc>
          <w:tcPr>
            <w:tcW w:type="dxa" w:w="65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gwreg node drain migrates all tenants off target node before deregistration</w:t>
            </w:r>
          </w:p>
        </w:tc>
      </w:tr>
      <w:tr>
        <w:tc>
          <w:tcPr>
            <w:tcW w:type="dxa" w:w="28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Capacity planning</w:t>
            </w:r>
          </w:p>
        </w:tc>
        <w:tc>
          <w:tcPr>
            <w:tcW w:type="dxa" w:w="65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gwperf-score report: real-time eligibility table with all three load dimensions</w:t>
            </w:r>
          </w:p>
        </w:tc>
      </w:tr>
    </w:tbl>
    <w:p>
      <w:r>
        <w:br w:type="page"/>
      </w:r>
    </w:p>
    <w:p>
      <w:pPr>
        <w:pStyle w:val="Heading1"/>
        <w:pBdr>
          <w:bottom w:val="single" w:color="0F2744" w:sz="8" w:space="6"/>
        </w:pBdr>
        <w:spacing w:before="400" w:after="160"/>
      </w:pPr>
      <w:r>
        <w:rPr>
          <w:rFonts w:ascii="Arial" w:cs="Arial" w:eastAsia="Arial" w:hAnsi="Arial"/>
          <w:b/>
          <w:bCs/>
          <w:i w:val="false"/>
          <w:iCs w:val="false"/>
          <w:strike w:val="false"/>
          <w:color w:val="0F2744"/>
          <w:sz w:val="32"/>
          <w:szCs w:val="32"/>
        </w:rPr>
        <w:t xml:space="preserve">14.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8CDD4" w:sz="1"/>
              <w:left w:val="single" w:color="C8CDD4" w:sz="1"/>
              <w:bottom w:val="single" w:color="C8CDD4" w:sz="1"/>
              <w:right w:val="single" w:color="C8CDD4" w:sz="1"/>
            </w:tcBorders>
            <w:shd w:fill="0F2744"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ID</w:t>
            </w:r>
          </w:p>
        </w:tc>
        <w:tc>
          <w:tcPr>
            <w:tcW w:type="dxa" w:w="5760"/>
            <w:tcBorders>
              <w:top w:val="single" w:color="C8CDD4" w:sz="1"/>
              <w:left w:val="single" w:color="C8CDD4" w:sz="1"/>
              <w:bottom w:val="single" w:color="C8CDD4" w:sz="1"/>
              <w:right w:val="single" w:color="C8CDD4" w:sz="1"/>
            </w:tcBorders>
            <w:shd w:fill="1A5EA8"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Description</w:t>
            </w:r>
          </w:p>
        </w:tc>
        <w:tc>
          <w:tcPr>
            <w:tcW w:type="dxa" w:w="1600"/>
            <w:tcBorders>
              <w:top w:val="single" w:color="C8CDD4" w:sz="1"/>
              <w:left w:val="single" w:color="C8CDD4" w:sz="1"/>
              <w:bottom w:val="single" w:color="C8CDD4" w:sz="1"/>
              <w:right w:val="single" w:color="C8CDD4" w:sz="1"/>
            </w:tcBorders>
            <w:shd w:fill="0A5A4E" w:val="clear"/>
            <w:tcMar>
              <w:top w:type="dxa" w:w="90"/>
              <w:left w:type="dxa" w:w="140"/>
              <w:bottom w:type="dxa" w:w="90"/>
              <w:right w:type="dxa" w:w="140"/>
            </w:tcMar>
            <w:vAlign w:val="top"/>
          </w:tcPr>
          <w:p>
            <w:pPr>
              <w:spacing w:before="0" w:after="0"/>
            </w:pPr>
            <w:r>
              <w:rPr>
                <w:rFonts w:ascii="Arial" w:cs="Arial" w:eastAsia="Arial" w:hAnsi="Arial"/>
                <w:b/>
                <w:bCs/>
                <w:i w:val="false"/>
                <w:iCs w:val="false"/>
                <w:strike w:val="false"/>
                <w:color w:val="FFFFFF"/>
                <w:sz w:val="18"/>
                <w:szCs w:val="18"/>
              </w:rPr>
              <w:t xml:space="preserve">Status</w:t>
            </w:r>
          </w:p>
        </w:tc>
      </w:tr>
      <w:tr>
        <w:tc>
          <w:tcPr>
            <w:tcW w:type="dxa" w:w="20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KL-1</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SELinux disabled. gw-selinux-setup.sh tooling available for future enforcement.</w:t>
            </w:r>
          </w:p>
        </w:tc>
        <w:tc>
          <w:tcPr>
            <w:tcW w:type="dxa" w:w="1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Deferred — not required for this deployment</w:t>
            </w:r>
          </w:p>
        </w:tc>
      </w:tr>
      <w:tr>
        <w:tc>
          <w:tcPr>
            <w:tcW w:type="dxa" w:w="20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KL-4</w:t>
            </w:r>
          </w:p>
        </w:tc>
        <w:tc>
          <w:tcPr>
            <w:tcW w:type="dxa" w:w="57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No hard tenant cap enforcement. gwreg tenant alloc succeeds even if node is INELIGIBLE.</w:t>
            </w:r>
          </w:p>
        </w:tc>
        <w:tc>
          <w:tcPr>
            <w:tcW w:type="dxa" w:w="1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Advisory only — v1.1 candidate</w:t>
            </w:r>
          </w:p>
        </w:tc>
      </w:tr>
      <w:tr>
        <w:tc>
          <w:tcPr>
            <w:tcW w:type="dxa" w:w="20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KL-5</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Manifest pull mode (mTLS API, cron-based, GW-node-initiated) designed but not implemented.</w:t>
            </w:r>
          </w:p>
        </w:tc>
        <w:tc>
          <w:tcPr>
            <w:tcW w:type="dxa" w:w="1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Deferred post-RC3</w:t>
            </w:r>
          </w:p>
        </w:tc>
      </w:tr>
      <w:tr>
        <w:tc>
          <w:tcPr>
            <w:tcW w:type="dxa" w:w="20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KL-7</w:t>
            </w:r>
          </w:p>
        </w:tc>
        <w:tc>
          <w:tcPr>
            <w:tcW w:type="dxa" w:w="57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BGP EVPN dynamic overlay deferred. Currently static VXLAN peers only.</w:t>
            </w:r>
          </w:p>
        </w:tc>
        <w:tc>
          <w:tcPr>
            <w:tcW w:type="dxa" w:w="1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Deferred post-RC3</w:t>
            </w:r>
          </w:p>
        </w:tc>
      </w:tr>
      <w:tr>
        <w:tc>
          <w:tcPr>
            <w:tcW w:type="dxa" w:w="20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KL-12</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Managed SSH/SFTP access proxy with TOTP auth and vault deferred to RC3.5.</w:t>
            </w:r>
          </w:p>
        </w:tc>
        <w:tc>
          <w:tcPr>
            <w:tcW w:type="dxa" w:w="1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Planned RC3.5</w:t>
            </w:r>
          </w:p>
        </w:tc>
      </w:tr>
      <w:tr>
        <w:tc>
          <w:tcPr>
            <w:tcW w:type="dxa" w:w="20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KL-13</w:t>
            </w:r>
          </w:p>
        </w:tc>
        <w:tc>
          <w:tcPr>
            <w:tcW w:type="dxa" w:w="57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Per-tenant DNS listener management deferred to RC3.5. Current DNS rewriting is engineer-configured manually.</w:t>
            </w:r>
          </w:p>
        </w:tc>
        <w:tc>
          <w:tcPr>
            <w:tcW w:type="dxa" w:w="1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Planned RC3.5</w:t>
            </w:r>
          </w:p>
        </w:tc>
      </w:tr>
      <w:tr>
        <w:tc>
          <w:tcPr>
            <w:tcW w:type="dxa" w:w="20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KL-14</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Per-service user ACL management and access audit logging deferred to RC3.5.</w:t>
            </w:r>
          </w:p>
        </w:tc>
        <w:tc>
          <w:tcPr>
            <w:tcW w:type="dxa" w:w="1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Planned RC3.5</w:t>
            </w:r>
          </w:p>
        </w:tc>
      </w:tr>
      <w:tr>
        <w:tc>
          <w:tcPr>
            <w:tcW w:type="dxa" w:w="20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RESOLVED — KL-2</w:t>
            </w:r>
          </w:p>
        </w:tc>
        <w:tc>
          <w:tcPr>
            <w:tcW w:type="dxa" w:w="57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Promote-lock implemented (gwreg-promote-lock + gwctl-promote).</w:t>
            </w:r>
          </w:p>
        </w:tc>
        <w:tc>
          <w:tcPr>
            <w:tcW w:type="dxa" w:w="1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Complete RC3.3</w:t>
            </w:r>
          </w:p>
        </w:tc>
      </w:tr>
      <w:tr>
        <w:tc>
          <w:tcPr>
            <w:tcW w:type="dxa" w:w="20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RESOLVED — KL-3</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Weighted composite PerfMon scoring implemented (gwperf-score).</w:t>
            </w:r>
          </w:p>
        </w:tc>
        <w:tc>
          <w:tcPr>
            <w:tcW w:type="dxa" w:w="1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Complete RC3.3</w:t>
            </w:r>
          </w:p>
        </w:tc>
      </w:tr>
      <w:tr>
        <w:tc>
          <w:tcPr>
            <w:tcW w:type="dxa" w:w="20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RESOLVED — KL-6</w:t>
            </w:r>
          </w:p>
        </w:tc>
        <w:tc>
          <w:tcPr>
            <w:tcW w:type="dxa" w:w="576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TOTP portal login implemented (gw-totp-setup.sh RC3.4, PAM + Google Authenticator).</w:t>
            </w:r>
          </w:p>
        </w:tc>
        <w:tc>
          <w:tcPr>
            <w:tcW w:type="dxa" w:w="1600"/>
            <w:tcBorders>
              <w:top w:val="single" w:color="C8CDD4" w:sz="1"/>
              <w:left w:val="single" w:color="C8CDD4" w:sz="1"/>
              <w:bottom w:val="single" w:color="C8CDD4" w:sz="1"/>
              <w:right w:val="single" w:color="C8CDD4" w:sz="1"/>
            </w:tcBorders>
            <w:shd w:fill="F2F4F7"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Complete RC3.4</w:t>
            </w:r>
          </w:p>
        </w:tc>
      </w:tr>
      <w:tr>
        <w:tc>
          <w:tcPr>
            <w:tcW w:type="dxa" w:w="20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RESOLVED — KL-8</w:t>
            </w:r>
          </w:p>
        </w:tc>
        <w:tc>
          <w:tcPr>
            <w:tcW w:type="dxa" w:w="576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SSHProxy VRF egress guard enforced (SSH_PROXY_EGRESS_IF required).</w:t>
            </w:r>
          </w:p>
        </w:tc>
        <w:tc>
          <w:tcPr>
            <w:tcW w:type="dxa" w:w="1600"/>
            <w:tcBorders>
              <w:top w:val="single" w:color="C8CDD4" w:sz="1"/>
              <w:left w:val="single" w:color="C8CDD4" w:sz="1"/>
              <w:bottom w:val="single" w:color="C8CDD4" w:sz="1"/>
              <w:right w:val="single" w:color="C8CDD4" w:sz="1"/>
            </w:tcBorders>
            <w:shd w:fill="FFFFFF" w:val="clear"/>
            <w:tcMar>
              <w:top w:type="dxa" w:w="90"/>
              <w:left w:type="dxa" w:w="140"/>
              <w:bottom w:type="dxa" w:w="90"/>
              <w:right w:type="dxa" w:w="140"/>
            </w:tcMar>
            <w:vAlign w:val="top"/>
          </w:tcPr>
          <w:p>
            <w:pPr>
              <w:spacing w:before="0" w:after="0"/>
            </w:pPr>
            <w:r>
              <w:rPr>
                <w:rFonts w:ascii="Arial" w:cs="Arial" w:eastAsia="Arial" w:hAnsi="Arial"/>
                <w:b w:val="false"/>
                <w:bCs w:val="false"/>
                <w:i w:val="false"/>
                <w:iCs w:val="false"/>
                <w:strike w:val="false"/>
                <w:color w:val="1A1A2E"/>
                <w:sz w:val="19"/>
                <w:szCs w:val="19"/>
              </w:rPr>
              <w:t xml:space="preserve">Complete RC3.3</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744" w:sz="4" w:space="4"/>
      </w:pBdr>
    </w:pPr>
    <w:r>
      <w:rPr>
        <w:rFonts w:ascii="Arial" w:cs="Arial" w:eastAsia="Arial" w:hAnsi="Arial"/>
        <w:b w:val="false"/>
        <w:bCs w:val="false"/>
        <w:i w:val="false"/>
        <w:iCs w:val="false"/>
        <w:strike w:val="false"/>
        <w:color w:val="888888"/>
        <w:sz w:val="16"/>
        <w:szCs w:val="16"/>
      </w:rPr>
      <w:t xml:space="preserve">GW Platform RC3.3  |  Internal Technical Reference    |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strike w:val="false"/>
        <w:color w:val="888888"/>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744" w:sz="4" w:space="4"/>
      </w:pBdr>
    </w:pPr>
    <w:r>
      <w:rPr>
        <w:rFonts w:ascii="Arial" w:cs="Arial" w:eastAsia="Arial" w:hAnsi="Arial"/>
        <w:b/>
        <w:bCs/>
        <w:i w:val="false"/>
        <w:iCs w:val="false"/>
        <w:strike w:val="false"/>
        <w:color w:val="0F2744"/>
        <w:sz w:val="18"/>
        <w:szCs w:val="18"/>
      </w:rPr>
      <w:t xml:space="preserve">GW Platform RC3 — Architecture Reference</w:t>
    </w:r>
    <w:r>
      <w:rPr>
        <w:rFonts w:ascii="Arial" w:cs="Arial" w:eastAsia="Arial" w:hAnsi="Arial"/>
        <w:b w:val="false"/>
        <w:bCs w:val="false"/>
        <w:i w:val="false"/>
        <w:iCs w:val="false"/>
        <w:strike w:val="false"/>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274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0A5A4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5E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2026-03-05T21:05:57.708Z</dcterms:created>
  <dcterms:modified xsi:type="dcterms:W3CDTF">2026-03-05T21:05:57.709Z</dcterms:modified>
</cp:coreProperties>
</file>

<file path=docProps/custom.xml><?xml version="1.0" encoding="utf-8"?>
<Properties xmlns="http://schemas.openxmlformats.org/officeDocument/2006/custom-properties" xmlns:vt="http://schemas.openxmlformats.org/officeDocument/2006/docPropsVTypes"/>
</file>