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sz w:val="36"/>
        </w:rPr>
        <w:t>CVS Health ZTNA-NAC Program</w:t>
      </w:r>
    </w:p>
    <w:p>
      <w:pPr>
        <w:pStyle w:val="Heading2"/>
      </w:pPr>
      <w:r>
        <w:rPr>
          <w:color w:val="1F3864"/>
        </w:rPr>
        <w:t>Executive Summary &amp; Senior Leader Briefing</w:t>
      </w:r>
    </w:p>
    <w:p>
      <w:pPr>
        <w:spacing w:after="120"/>
      </w:pPr>
      <w:r>
        <w:rPr>
          <w:b w:val="0"/>
          <w:i/>
          <w:sz w:val="18"/>
        </w:rPr>
        <w:t>Michael J. Martin, Lead Director, Information Security  |  April 2026  |  CONFIDENTIAL / INTERNAL</w:t>
      </w:r>
    </w:p>
    <w:p>
      <w:pPr>
        <w:pBdr>
          <w:bottom w:val="single" w:sz="6" w:space="1" w:color="1F3864"/>
        </w:pBdr>
        <w:spacing w:after="120"/>
      </w:pPr>
    </w:p>
    <w:p>
      <w:pPr>
        <w:pStyle w:val="Heading2"/>
      </w:pPr>
      <w:r>
        <w:rPr>
          <w:color w:val="1F3864"/>
        </w:rPr>
        <w:t>Program Purpose</w:t>
      </w:r>
    </w:p>
    <w:p>
      <w:pPr>
        <w:spacing w:after="120"/>
      </w:pPr>
      <w:r>
        <w:rPr>
          <w:b w:val="0"/>
          <w:i w:val="0"/>
          <w:sz w:val="20"/>
        </w:rPr>
        <w:t>The CVS Health ZTNA-NAC program is a fundamental re-architecture of the Forescout CounterACT platform — originally deployed in 2013 — into a purpose-built, constant validation and admission enforcement engine integrated with the CVS Health endpoint security stack.</w:t>
      </w:r>
    </w:p>
    <w:p>
      <w:pPr>
        <w:spacing w:after="120"/>
      </w:pPr>
      <w:r>
        <w:rPr>
          <w:b w:val="0"/>
          <w:i w:val="0"/>
          <w:sz w:val="20"/>
        </w:rPr>
        <w:t xml:space="preserve">The effort is </w:t>
      </w:r>
      <w:r>
        <w:rPr>
          <w:b/>
          <w:i w:val="0"/>
          <w:sz w:val="20"/>
        </w:rPr>
        <w:t>iterative by design</w:t>
      </w:r>
      <w:r>
        <w:rPr>
          <w:b w:val="0"/>
          <w:i w:val="0"/>
          <w:sz w:val="20"/>
        </w:rPr>
        <w:t>. The initial focus is end-point compute admission control — permitting managed systems, blocking non-managed systems, and restricting unrecognized IoT/OT devices from unrestricted network access. This establishes the enforcement foundation and validates the policy model before broader enforcement is introduced.</w:t>
      </w:r>
    </w:p>
    <w:p>
      <w:pPr>
        <w:spacing w:after="120"/>
      </w:pPr>
      <w:r>
        <w:rPr>
          <w:b w:val="0"/>
          <w:i w:val="0"/>
          <w:sz w:val="20"/>
        </w:rPr>
        <w:t>Building on the current CVS Health Business IoT security initiatives already underway, the program will collaborate with those teams to introduce IoT/OT compliance-based admission control in a subsequent phase. IoT device admission will be managed through location-based discovery and device profiling, coordinated with the enterprise IoT governance and strategy effort currently in progress.</w:t>
      </w:r>
    </w:p>
    <w:p>
      <w:pPr>
        <w:spacing w:after="120"/>
      </w:pPr>
      <w:r>
        <w:rPr>
          <w:b w:val="0"/>
          <w:i w:val="0"/>
          <w:sz w:val="20"/>
        </w:rPr>
        <w:t>This iterative approach ensures that enforcement decisions at every stage are grounded in validated policy models and authoritative device data — not assumptions — before being applied at scale across the enterprise.</w:t>
      </w:r>
    </w:p>
    <w:p>
      <w:pPr>
        <w:pBdr>
          <w:bottom w:val="single" w:sz="6" w:space="1" w:color="1F3864"/>
        </w:pBdr>
        <w:spacing w:after="120"/>
      </w:pPr>
    </w:p>
    <w:p>
      <w:pPr>
        <w:pStyle w:val="Heading2"/>
      </w:pPr>
      <w:r>
        <w:rPr>
          <w:color w:val="1F3864"/>
        </w:rPr>
        <w:t>Why We Are Doing This</w:t>
      </w:r>
    </w:p>
    <w:p>
      <w:pPr>
        <w:spacing w:after="120"/>
      </w:pPr>
      <w:r>
        <w:rPr>
          <w:b w:val="0"/>
          <w:i w:val="0"/>
          <w:sz w:val="20"/>
        </w:rPr>
        <w:t xml:space="preserve">In 2013, Forescout was performing its own host-based posture checking using Forescout's </w:t>
      </w:r>
      <w:r>
        <w:rPr>
          <w:b/>
          <w:i w:val="0"/>
          <w:sz w:val="20"/>
        </w:rPr>
        <w:t>baseline host check policy</w:t>
      </w:r>
      <w:r>
        <w:rPr>
          <w:b w:val="0"/>
          <w:i w:val="0"/>
          <w:sz w:val="20"/>
        </w:rPr>
        <w:t xml:space="preserve"> — engineered by Forescout to validate system health and endpoint client policy compliance — because CVS did not yet have a modern endpoint management and security stack. That was the right model for the time. Since then, CVS has deployed Intune, Jamf, CrowdStrike, Qualys, and Tanium — purpose-built tools that own compliance, patch management, EDR, and vulnerability posture. The 2026 re-architecture stops duplicating those functions through Forescout and instead has Forescout read and act on what those tools already know. Forescout becomes the </w:t>
      </w:r>
      <w:r>
        <w:rPr>
          <w:b/>
          <w:i w:val="0"/>
          <w:sz w:val="20"/>
        </w:rPr>
        <w:t>enforcement gate</w:t>
      </w:r>
      <w:r>
        <w:rPr>
          <w:b w:val="0"/>
          <w:i w:val="0"/>
          <w:sz w:val="20"/>
        </w:rPr>
        <w:t>, not the assessment engine.</w:t>
      </w:r>
    </w:p>
    <w:p>
      <w:pPr>
        <w:spacing w:after="120"/>
      </w:pPr>
      <w:r>
        <w:rPr>
          <w:b w:val="0"/>
          <w:i w:val="0"/>
          <w:sz w:val="20"/>
        </w:rPr>
        <w:t xml:space="preserve">Additionally, the 2013 model used </w:t>
      </w:r>
      <w:r>
        <w:rPr>
          <w:b/>
          <w:i w:val="0"/>
          <w:sz w:val="20"/>
        </w:rPr>
        <w:t>periodic validation driven by dynamic MAC filters tied to Active Directory group membership</w:t>
      </w:r>
      <w:r>
        <w:rPr>
          <w:b w:val="0"/>
          <w:i w:val="0"/>
          <w:sz w:val="20"/>
        </w:rPr>
        <w:t xml:space="preserve"> — confirming identity on a schedule, not security posture state in real time. The only non-compliant enforcement option was a remediation VLAN that would have severed the CVS management plane entirely. The 2026 model replaces that with continuous, real-time posture validation and L3 ACL enforcement applied to static VLANs in place — no VLAN changes, no management plane disruption, automated remediation without a help desk call.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Function</w:t>
            </w:r>
          </w:p>
        </w:tc>
        <w:tc>
          <w:tcPr>
            <w:tcW w:type="dxa" w:w="2880"/>
            <w:shd w:val="clear" w:color="auto" w:fill="1F3864"/>
          </w:tcPr>
          <w:p>
            <w:pPr>
              <w:jc w:val="center"/>
            </w:pPr>
            <w:r>
              <w:rPr>
                <w:b/>
                <w:color w:val="FFFFFF"/>
                <w:sz w:val="18"/>
              </w:rPr>
              <w:t>2013 Model</w:t>
            </w:r>
          </w:p>
        </w:tc>
        <w:tc>
          <w:tcPr>
            <w:tcW w:type="dxa" w:w="2880"/>
            <w:shd w:val="clear" w:color="auto" w:fill="1F3864"/>
          </w:tcPr>
          <w:p>
            <w:pPr>
              <w:jc w:val="center"/>
            </w:pPr>
            <w:r>
              <w:rPr>
                <w:b/>
                <w:color w:val="FFFFFF"/>
                <w:sz w:val="18"/>
              </w:rPr>
              <w:t>2026 Model</w:t>
            </w:r>
          </w:p>
        </w:tc>
      </w:tr>
      <w:tr>
        <w:tc>
          <w:tcPr>
            <w:tcW w:type="dxa" w:w="2880"/>
          </w:tcPr>
          <w:p>
            <w:r/>
            <w:r>
              <w:rPr>
                <w:sz w:val="18"/>
              </w:rPr>
              <w:t>Admission enforcement</w:t>
            </w:r>
          </w:p>
        </w:tc>
        <w:tc>
          <w:tcPr>
            <w:tcW w:type="dxa" w:w="2880"/>
          </w:tcPr>
          <w:p>
            <w:r/>
            <w:r>
              <w:rPr>
                <w:sz w:val="18"/>
              </w:rPr>
              <w:t>Dynamic MAC filter — AD group membership</w:t>
            </w:r>
          </w:p>
        </w:tc>
        <w:tc>
          <w:tcPr>
            <w:tcW w:type="dxa" w:w="2880"/>
          </w:tcPr>
          <w:p>
            <w:r/>
            <w:r>
              <w:rPr>
                <w:sz w:val="18"/>
              </w:rPr>
              <w:t>RADIUS MAB</w:t>
            </w:r>
          </w:p>
        </w:tc>
      </w:tr>
      <w:tr>
        <w:tc>
          <w:tcPr>
            <w:tcW w:type="dxa" w:w="2880"/>
            <w:shd w:val="clear" w:color="auto" w:fill="DCE6F1"/>
          </w:tcPr>
          <w:p>
            <w:r/>
            <w:r>
              <w:rPr>
                <w:sz w:val="18"/>
              </w:rPr>
              <w:t>Posture validation</w:t>
            </w:r>
          </w:p>
        </w:tc>
        <w:tc>
          <w:tcPr>
            <w:tcW w:type="dxa" w:w="2880"/>
            <w:shd w:val="clear" w:color="auto" w:fill="DCE6F1"/>
          </w:tcPr>
          <w:p>
            <w:r/>
            <w:r>
              <w:rPr>
                <w:sz w:val="18"/>
              </w:rPr>
              <w:t>Forescout baseline host check policy — periodic, scheduled</w:t>
            </w:r>
          </w:p>
        </w:tc>
        <w:tc>
          <w:tcPr>
            <w:tcW w:type="dxa" w:w="2880"/>
            <w:shd w:val="clear" w:color="auto" w:fill="DCE6F1"/>
          </w:tcPr>
          <w:p>
            <w:r/>
            <w:r>
              <w:rPr>
                <w:sz w:val="18"/>
              </w:rPr>
              <w:t>Continuous — real-time API query against endpoint security stack</w:t>
            </w:r>
          </w:p>
        </w:tc>
      </w:tr>
      <w:tr>
        <w:tc>
          <w:tcPr>
            <w:tcW w:type="dxa" w:w="2880"/>
          </w:tcPr>
          <w:p>
            <w:r/>
            <w:r>
              <w:rPr>
                <w:sz w:val="18"/>
              </w:rPr>
              <w:t>Posture assessment engine</w:t>
            </w:r>
          </w:p>
        </w:tc>
        <w:tc>
          <w:tcPr>
            <w:tcW w:type="dxa" w:w="2880"/>
          </w:tcPr>
          <w:p>
            <w:r/>
            <w:r>
              <w:rPr>
                <w:sz w:val="18"/>
              </w:rPr>
              <w:t>Forescout native host checks</w:t>
            </w:r>
          </w:p>
        </w:tc>
        <w:tc>
          <w:tcPr>
            <w:tcW w:type="dxa" w:w="2880"/>
          </w:tcPr>
          <w:p>
            <w:r/>
            <w:r>
              <w:rPr>
                <w:sz w:val="18"/>
              </w:rPr>
              <w:t>Intune, CrowdStrike, Qualys, Jamf, Tanium, SCCM — Forescout reads and enforces</w:t>
            </w:r>
          </w:p>
        </w:tc>
      </w:tr>
      <w:tr>
        <w:tc>
          <w:tcPr>
            <w:tcW w:type="dxa" w:w="2880"/>
            <w:shd w:val="clear" w:color="auto" w:fill="DCE6F1"/>
          </w:tcPr>
          <w:p>
            <w:r/>
            <w:r>
              <w:rPr>
                <w:sz w:val="18"/>
              </w:rPr>
              <w:t>Mid-session enforcement</w:t>
            </w:r>
          </w:p>
        </w:tc>
        <w:tc>
          <w:tcPr>
            <w:tcW w:type="dxa" w:w="2880"/>
            <w:shd w:val="clear" w:color="auto" w:fill="DCE6F1"/>
          </w:tcPr>
          <w:p>
            <w:r/>
            <w:r>
              <w:rPr>
                <w:sz w:val="18"/>
              </w:rPr>
              <w:t>No — next validation cycle only</w:t>
            </w:r>
          </w:p>
        </w:tc>
        <w:tc>
          <w:tcPr>
            <w:tcW w:type="dxa" w:w="2880"/>
            <w:shd w:val="clear" w:color="auto" w:fill="DCE6F1"/>
          </w:tcPr>
          <w:p>
            <w:r/>
            <w:r>
              <w:rPr>
                <w:sz w:val="18"/>
              </w:rPr>
              <w:t>Yes — L3 ACL updated on switch within P95 15 seconds</w:t>
            </w:r>
          </w:p>
        </w:tc>
      </w:tr>
      <w:tr>
        <w:tc>
          <w:tcPr>
            <w:tcW w:type="dxa" w:w="2880"/>
          </w:tcPr>
          <w:p>
            <w:r/>
            <w:r>
              <w:rPr>
                <w:sz w:val="18"/>
              </w:rPr>
              <w:t>Non-compliant state</w:t>
            </w:r>
          </w:p>
        </w:tc>
        <w:tc>
          <w:tcPr>
            <w:tcW w:type="dxa" w:w="2880"/>
          </w:tcPr>
          <w:p>
            <w:r/>
            <w:r>
              <w:rPr>
                <w:sz w:val="18"/>
              </w:rPr>
              <w:t>Remediation VLAN — severed management plane</w:t>
            </w:r>
          </w:p>
        </w:tc>
        <w:tc>
          <w:tcPr>
            <w:tcW w:type="dxa" w:w="2880"/>
          </w:tcPr>
          <w:p>
            <w:r/>
            <w:r>
              <w:rPr>
                <w:sz w:val="18"/>
              </w:rPr>
              <w:t>Tier 2 — L3 ACL on static VLAN, management plane preserved</w:t>
            </w:r>
          </w:p>
        </w:tc>
      </w:tr>
      <w:tr>
        <w:tc>
          <w:tcPr>
            <w:tcW w:type="dxa" w:w="2880"/>
            <w:shd w:val="clear" w:color="auto" w:fill="DCE6F1"/>
          </w:tcPr>
          <w:p>
            <w:r/>
            <w:r>
              <w:rPr>
                <w:sz w:val="18"/>
              </w:rPr>
              <w:t>VLAN assignment</w:t>
            </w:r>
          </w:p>
        </w:tc>
        <w:tc>
          <w:tcPr>
            <w:tcW w:type="dxa" w:w="2880"/>
            <w:shd w:val="clear" w:color="auto" w:fill="DCE6F1"/>
          </w:tcPr>
          <w:p>
            <w:r/>
            <w:r>
              <w:rPr>
                <w:sz w:val="18"/>
              </w:rPr>
              <w:t>Dynamic — moved to remediation VLAN</w:t>
            </w:r>
          </w:p>
        </w:tc>
        <w:tc>
          <w:tcPr>
            <w:tcW w:type="dxa" w:w="2880"/>
            <w:shd w:val="clear" w:color="auto" w:fill="DCE6F1"/>
          </w:tcPr>
          <w:p>
            <w:r/>
            <w:r>
              <w:rPr>
                <w:sz w:val="18"/>
              </w:rPr>
              <w:t>Static — device never leaves its VLAN</w:t>
            </w:r>
          </w:p>
        </w:tc>
      </w:tr>
      <w:tr>
        <w:tc>
          <w:tcPr>
            <w:tcW w:type="dxa" w:w="2880"/>
          </w:tcPr>
          <w:p>
            <w:r/>
            <w:r>
              <w:rPr>
                <w:sz w:val="18"/>
              </w:rPr>
              <w:t>Remediation</w:t>
            </w:r>
          </w:p>
        </w:tc>
        <w:tc>
          <w:tcPr>
            <w:tcW w:type="dxa" w:w="2880"/>
          </w:tcPr>
          <w:p>
            <w:r/>
            <w:r>
              <w:rPr>
                <w:sz w:val="18"/>
              </w:rPr>
              <w:t>Forescout workflows</w:t>
            </w:r>
          </w:p>
        </w:tc>
        <w:tc>
          <w:tcPr>
            <w:tcW w:type="dxa" w:w="2880"/>
          </w:tcPr>
          <w:p>
            <w:r/>
            <w:r>
              <w:rPr>
                <w:sz w:val="18"/>
              </w:rPr>
              <w:t>Intune / Jamf / CrowdStrike / SCCM</w:t>
            </w:r>
          </w:p>
        </w:tc>
      </w:tr>
    </w:tbl>
    <w:p/>
    <w:p>
      <w:pPr>
        <w:pBdr>
          <w:bottom w:val="single" w:sz="6" w:space="1" w:color="1F3864"/>
        </w:pBdr>
        <w:spacing w:after="120"/>
      </w:pPr>
    </w:p>
    <w:p>
      <w:pPr>
        <w:pStyle w:val="Heading2"/>
      </w:pPr>
      <w:r>
        <w:rPr>
          <w:color w:val="1F3864"/>
        </w:rPr>
        <w:t>Program Scope — By Business Function</w:t>
      </w:r>
    </w:p>
    <w:p>
      <w:pPr>
        <w:spacing w:after="120"/>
      </w:pPr>
      <w:r>
        <w:rPr>
          <w:b/>
          <w:i w:val="0"/>
          <w:sz w:val="20"/>
        </w:rPr>
        <w:t>Phase 1 — Core Corporate &amp; Back-Office (M1–M9)</w:t>
      </w:r>
    </w:p>
    <w:p>
      <w:pPr>
        <w:pStyle w:val="ListBullet"/>
        <w:spacing w:after="60"/>
      </w:pPr>
      <w:r>
        <w:rPr>
          <w:sz w:val="20"/>
        </w:rPr>
        <w:t>Corporate Administration</w:t>
      </w:r>
    </w:p>
    <w:p>
      <w:pPr>
        <w:pStyle w:val="ListBullet"/>
        <w:spacing w:after="60"/>
      </w:pPr>
      <w:r>
        <w:rPr>
          <w:sz w:val="20"/>
        </w:rPr>
        <w:t>Sales &amp; Back-Office</w:t>
      </w:r>
    </w:p>
    <w:p>
      <w:pPr>
        <w:pStyle w:val="ListBullet"/>
        <w:spacing w:after="60"/>
      </w:pPr>
      <w:r>
        <w:rPr>
          <w:sz w:val="20"/>
        </w:rPr>
        <w:t>Call Centers</w:t>
      </w:r>
    </w:p>
    <w:p>
      <w:pPr>
        <w:spacing w:after="120"/>
      </w:pPr>
      <w:r>
        <w:rPr>
          <w:b/>
          <w:i w:val="0"/>
          <w:sz w:val="20"/>
        </w:rPr>
        <w:t>Phase 2 — Specialty Expansion (M10–M24)</w:t>
      </w:r>
    </w:p>
    <w:p>
      <w:pPr>
        <w:pStyle w:val="ListBullet"/>
        <w:spacing w:after="60"/>
      </w:pPr>
      <w:r>
        <w:rPr>
          <w:sz w:val="20"/>
        </w:rPr>
        <w:t>Distribution Centers</w:t>
      </w:r>
    </w:p>
    <w:p>
      <w:pPr>
        <w:pStyle w:val="ListBullet"/>
        <w:spacing w:after="60"/>
      </w:pPr>
      <w:r>
        <w:rPr>
          <w:sz w:val="20"/>
        </w:rPr>
        <w:t>Specialty Pharmacy</w:t>
      </w:r>
    </w:p>
    <w:p>
      <w:pPr>
        <w:pStyle w:val="ListBullet"/>
        <w:spacing w:after="60"/>
      </w:pPr>
      <w:r>
        <w:rPr>
          <w:sz w:val="20"/>
        </w:rPr>
        <w:t>Mail Order Pharmacy</w:t>
      </w:r>
    </w:p>
    <w:p>
      <w:pPr>
        <w:spacing w:after="120"/>
      </w:pPr>
      <w:r>
        <w:rPr>
          <w:b/>
          <w:i w:val="0"/>
          <w:sz w:val="20"/>
        </w:rPr>
        <w:t>Looking Ahead</w:t>
      </w:r>
    </w:p>
    <w:p>
      <w:pPr>
        <w:spacing w:after="120"/>
      </w:pPr>
      <w:r>
        <w:rPr>
          <w:b w:val="0"/>
          <w:i w:val="0"/>
          <w:sz w:val="20"/>
        </w:rPr>
        <w:t>Upon the successful completion of this NAC transformation program, the team will return to leadership with a proposal for expanding the program to the remainder of the CVS Health enterprise — including business units and environments not covered under the current phase portfolio.</w:t>
      </w:r>
    </w:p>
    <w:p>
      <w:pPr>
        <w:pBdr>
          <w:bottom w:val="single" w:sz="6" w:space="1" w:color="1F3864"/>
        </w:pBdr>
        <w:spacing w:after="120"/>
      </w:pPr>
    </w:p>
    <w:p>
      <w:pPr>
        <w:pStyle w:val="Heading2"/>
      </w:pPr>
      <w:r>
        <w:rPr>
          <w:color w:val="1F3864"/>
        </w:rPr>
        <w:t>The Enforcement Architecture — RADIUS MAB + L3 Dynamic ACL</w:t>
      </w:r>
    </w:p>
    <w:p>
      <w:pPr>
        <w:spacing w:after="120"/>
      </w:pPr>
      <w:r>
        <w:rPr>
          <w:b w:val="0"/>
          <w:i w:val="0"/>
          <w:sz w:val="20"/>
        </w:rPr>
        <w:t>Every device connecting to a CVS Health wired port goes through the following admission flow:</w:t>
      </w:r>
    </w:p>
    <w:p>
      <w:pPr>
        <w:pStyle w:val="ListNumber"/>
        <w:spacing w:after="60"/>
      </w:pPr>
      <w:r>
        <w:rPr>
          <w:sz w:val="20"/>
        </w:rPr>
      </w:r>
      <w:r>
        <w:rPr>
          <w:b/>
          <w:sz w:val="20"/>
        </w:rPr>
        <w:t>Device connects</w:t>
      </w:r>
      <w:r>
        <w:rPr>
          <w:sz w:val="20"/>
        </w:rPr>
        <w:t xml:space="preserve"> to its static VLAN on the access layer switch</w:t>
      </w:r>
    </w:p>
    <w:p>
      <w:pPr>
        <w:pStyle w:val="ListNumber"/>
        <w:spacing w:after="60"/>
      </w:pPr>
      <w:r>
        <w:rPr>
          <w:sz w:val="20"/>
        </w:rPr>
      </w:r>
      <w:r>
        <w:rPr>
          <w:b/>
          <w:sz w:val="20"/>
        </w:rPr>
        <w:t>MAC address sent to Forescout</w:t>
      </w:r>
      <w:r>
        <w:rPr>
          <w:sz w:val="20"/>
        </w:rPr>
        <w:t xml:space="preserve"> — MAB authentication event</w:t>
      </w:r>
    </w:p>
    <w:p>
      <w:pPr>
        <w:pStyle w:val="ListNumber"/>
        <w:spacing w:after="60"/>
      </w:pPr>
      <w:r>
        <w:rPr>
          <w:sz w:val="20"/>
        </w:rPr>
      </w:r>
      <w:r>
        <w:rPr>
          <w:b/>
          <w:sz w:val="20"/>
        </w:rPr>
        <w:t>Forescout executes the compliance check</w:t>
      </w:r>
      <w:r>
        <w:rPr>
          <w:sz w:val="20"/>
        </w:rPr>
        <w:t xml:space="preserve"> — live API query against the endpoint security stack</w:t>
      </w:r>
    </w:p>
    <w:p>
      <w:pPr>
        <w:pStyle w:val="ListNumber"/>
        <w:spacing w:after="60"/>
      </w:pPr>
      <w:r>
        <w:rPr>
          <w:sz w:val="20"/>
        </w:rPr>
      </w:r>
      <w:r>
        <w:rPr>
          <w:b/>
          <w:sz w:val="20"/>
        </w:rPr>
        <w:t>Dynamic MAC filter updated</w:t>
      </w:r>
      <w:r>
        <w:rPr>
          <w:sz w:val="20"/>
        </w:rPr>
        <w:t xml:space="preserve"> — device identity confirmed</w:t>
      </w:r>
    </w:p>
    <w:p>
      <w:pPr>
        <w:pStyle w:val="ListNumber"/>
        <w:spacing w:after="60"/>
      </w:pPr>
      <w:r>
        <w:rPr>
          <w:sz w:val="20"/>
        </w:rPr>
      </w:r>
      <w:r>
        <w:rPr>
          <w:b/>
          <w:sz w:val="20"/>
        </w:rPr>
        <w:t>L3 dynamic ACL pushed to the switch</w:t>
      </w:r>
      <w:r>
        <w:rPr>
          <w:sz w:val="20"/>
        </w:rPr>
        <w:t xml:space="preserve"> by Forescout — enforcement applied to the static VLAN in place</w:t>
      </w:r>
    </w:p>
    <w:p>
      <w:pPr>
        <w:pStyle w:val="ListBullet"/>
        <w:spacing w:after="60"/>
      </w:pPr>
      <w:r>
        <w:rPr>
          <w:sz w:val="20"/>
        </w:rPr>
      </w:r>
      <w:r>
        <w:rPr>
          <w:b/>
          <w:sz w:val="20"/>
        </w:rPr>
        <w:t>Tier 1:</w:t>
      </w:r>
      <w:r>
        <w:rPr>
          <w:sz w:val="20"/>
        </w:rPr>
        <w:t xml:space="preserve"> ACL permits full network access</w:t>
      </w:r>
    </w:p>
    <w:p>
      <w:pPr>
        <w:pStyle w:val="ListBullet"/>
        <w:spacing w:after="60"/>
      </w:pPr>
      <w:r>
        <w:rPr>
          <w:sz w:val="20"/>
        </w:rPr>
      </w:r>
      <w:r>
        <w:rPr>
          <w:b/>
          <w:sz w:val="20"/>
        </w:rPr>
        <w:t>Tier 2:</w:t>
      </w:r>
      <w:r>
        <w:rPr>
          <w:sz w:val="20"/>
        </w:rPr>
        <w:t xml:space="preserve"> ACL permits limited access only — management plane destinations explicitly permitted, everything else blocked</w:t>
      </w:r>
    </w:p>
    <w:p>
      <w:pPr>
        <w:pStyle w:val="ListBullet"/>
        <w:spacing w:after="60"/>
      </w:pPr>
      <w:r>
        <w:rPr>
          <w:sz w:val="20"/>
        </w:rPr>
      </w:r>
      <w:r>
        <w:rPr>
          <w:b/>
          <w:sz w:val="20"/>
        </w:rPr>
        <w:t>Hard Block:</w:t>
      </w:r>
      <w:r>
        <w:rPr>
          <w:sz w:val="20"/>
        </w:rPr>
        <w:t xml:space="preserve"> ACL denies all access</w:t>
      </w:r>
    </w:p>
    <w:p>
      <w:pPr>
        <w:spacing w:after="120"/>
      </w:pPr>
      <w:r>
        <w:rPr>
          <w:b/>
          <w:i w:val="0"/>
          <w:sz w:val="20"/>
        </w:rPr>
        <w:t>Post-admission</w:t>
      </w:r>
      <w:r>
        <w:rPr>
          <w:b w:val="0"/>
          <w:i w:val="0"/>
          <w:sz w:val="20"/>
        </w:rPr>
        <w:t>, Forescout continuously re-evaluates posture via live API. A posture change mid-session triggers an immediate ACL update on the switch — demoting the device to Tier 2 within P95 15 seconds. No VLAN change. No human intervention. No help desk call.</w:t>
      </w:r>
    </w:p>
    <w:p>
      <w:pPr>
        <w:pBdr>
          <w:bottom w:val="single" w:sz="6" w:space="1" w:color="1F3864"/>
        </w:pBdr>
        <w:spacing w:after="120"/>
      </w:pPr>
    </w:p>
    <w:p>
      <w:pPr>
        <w:pStyle w:val="Heading2"/>
      </w:pPr>
      <w:r>
        <w:rPr>
          <w:color w:val="1F3864"/>
        </w:rPr>
        <w:t>Admission Outcomes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Device</w:t>
            </w:r>
          </w:p>
        </w:tc>
        <w:tc>
          <w:tcPr>
            <w:tcW w:type="dxa" w:w="2880"/>
            <w:shd w:val="clear" w:color="auto" w:fill="1F3864"/>
          </w:tcPr>
          <w:p>
            <w:pPr>
              <w:jc w:val="center"/>
            </w:pPr>
            <w:r>
              <w:rPr>
                <w:b/>
                <w:color w:val="FFFFFF"/>
                <w:sz w:val="18"/>
              </w:rPr>
              <w:t>Outcome</w:t>
            </w:r>
          </w:p>
        </w:tc>
        <w:tc>
          <w:tcPr>
            <w:tcW w:type="dxa" w:w="2880"/>
            <w:shd w:val="clear" w:color="auto" w:fill="1F3864"/>
          </w:tcPr>
          <w:p>
            <w:pPr>
              <w:jc w:val="center"/>
            </w:pPr>
            <w:r>
              <w:rPr>
                <w:b/>
                <w:color w:val="FFFFFF"/>
                <w:sz w:val="18"/>
              </w:rPr>
              <w:t>Enforcement Mechanism</w:t>
            </w:r>
          </w:p>
        </w:tc>
      </w:tr>
      <w:tr>
        <w:tc>
          <w:tcPr>
            <w:tcW w:type="dxa" w:w="2880"/>
          </w:tcPr>
          <w:p>
            <w:r/>
            <w:r>
              <w:rPr>
                <w:sz w:val="18"/>
              </w:rPr>
              <w:t>Unmanaged Windows/Mac — no agent, not in Intune</w:t>
            </w:r>
          </w:p>
        </w:tc>
        <w:tc>
          <w:tcPr>
            <w:tcW w:type="dxa" w:w="2880"/>
          </w:tcPr>
          <w:p>
            <w:r/>
            <w:r>
              <w:rPr>
                <w:sz w:val="18"/>
              </w:rPr>
            </w:r>
            <w:r>
              <w:rPr>
                <w:b/>
                <w:sz w:val="18"/>
              </w:rPr>
              <w:t>Hard Block</w:t>
            </w:r>
            <w:r>
              <w:rPr>
                <w:sz w:val="18"/>
              </w:rPr>
              <w:t xml:space="preserve"> — no network access</w:t>
            </w:r>
          </w:p>
        </w:tc>
        <w:tc>
          <w:tcPr>
            <w:tcW w:type="dxa" w:w="2880"/>
          </w:tcPr>
          <w:p>
            <w:r/>
            <w:r>
              <w:rPr>
                <w:sz w:val="18"/>
              </w:rPr>
              <w:t>RADIUS MAB deny + ACL deny</w:t>
            </w:r>
          </w:p>
        </w:tc>
      </w:tr>
      <w:tr>
        <w:tc>
          <w:tcPr>
            <w:tcW w:type="dxa" w:w="2880"/>
            <w:shd w:val="clear" w:color="auto" w:fill="DCE6F1"/>
          </w:tcPr>
          <w:p>
            <w:r/>
            <w:r>
              <w:rPr>
                <w:sz w:val="18"/>
              </w:rPr>
              <w:t>IoT/OT device</w:t>
            </w:r>
          </w:p>
        </w:tc>
        <w:tc>
          <w:tcPr>
            <w:tcW w:type="dxa" w:w="2880"/>
            <w:shd w:val="clear" w:color="auto" w:fill="DCE6F1"/>
          </w:tcPr>
          <w:p>
            <w:r/>
            <w:r>
              <w:rPr>
                <w:sz w:val="18"/>
              </w:rPr>
            </w:r>
            <w:r>
              <w:rPr>
                <w:b/>
                <w:sz w:val="18"/>
              </w:rPr>
              <w:t>Admitted — bounded L3 ACL per device class</w:t>
            </w:r>
            <w:r>
              <w:rPr>
                <w:sz w:val="18"/>
              </w:rPr>
            </w:r>
          </w:p>
        </w:tc>
        <w:tc>
          <w:tcPr>
            <w:tcW w:type="dxa" w:w="2880"/>
            <w:shd w:val="clear" w:color="auto" w:fill="DCE6F1"/>
          </w:tcPr>
          <w:p>
            <w:r/>
            <w:r>
              <w:rPr>
                <w:sz w:val="18"/>
              </w:rPr>
              <w:t>MAB classification + device-class ACL on static VLAN</w:t>
            </w:r>
          </w:p>
        </w:tc>
      </w:tr>
      <w:tr>
        <w:tc>
          <w:tcPr>
            <w:tcW w:type="dxa" w:w="2880"/>
          </w:tcPr>
          <w:p>
            <w:r/>
            <w:r>
              <w:rPr>
                <w:sz w:val="18"/>
              </w:rPr>
              <w:t>Managed — all checks pass</w:t>
            </w:r>
          </w:p>
        </w:tc>
        <w:tc>
          <w:tcPr>
            <w:tcW w:type="dxa" w:w="2880"/>
          </w:tcPr>
          <w:p>
            <w:r/>
            <w:r>
              <w:rPr>
                <w:sz w:val="18"/>
              </w:rPr>
            </w:r>
            <w:r>
              <w:rPr>
                <w:b/>
                <w:sz w:val="18"/>
              </w:rPr>
              <w:t>Tier 1</w:t>
            </w:r>
            <w:r>
              <w:rPr>
                <w:sz w:val="18"/>
              </w:rPr>
              <w:t xml:space="preserve"> — full network access</w:t>
            </w:r>
          </w:p>
        </w:tc>
        <w:tc>
          <w:tcPr>
            <w:tcW w:type="dxa" w:w="2880"/>
          </w:tcPr>
          <w:p>
            <w:r/>
            <w:r>
              <w:rPr>
                <w:sz w:val="18"/>
              </w:rPr>
              <w:t>Dynamic MAC admit + full-access ACL</w:t>
            </w:r>
          </w:p>
        </w:tc>
      </w:tr>
      <w:tr>
        <w:tc>
          <w:tcPr>
            <w:tcW w:type="dxa" w:w="2880"/>
            <w:shd w:val="clear" w:color="auto" w:fill="DCE6F1"/>
          </w:tcPr>
          <w:p>
            <w:r/>
            <w:r>
              <w:rPr>
                <w:sz w:val="18"/>
              </w:rPr>
              <w:t>Managed — one or more checks fail</w:t>
            </w:r>
          </w:p>
        </w:tc>
        <w:tc>
          <w:tcPr>
            <w:tcW w:type="dxa" w:w="2880"/>
            <w:shd w:val="clear" w:color="auto" w:fill="DCE6F1"/>
          </w:tcPr>
          <w:p>
            <w:r/>
            <w:r>
              <w:rPr>
                <w:sz w:val="18"/>
              </w:rPr>
            </w:r>
            <w:r>
              <w:rPr>
                <w:b/>
                <w:sz w:val="18"/>
              </w:rPr>
              <w:t>Tier 2</w:t>
            </w:r>
            <w:r>
              <w:rPr>
                <w:sz w:val="18"/>
              </w:rPr>
              <w:t xml:space="preserve"> — limited access; auto-promoted on remediation</w:t>
            </w:r>
          </w:p>
        </w:tc>
        <w:tc>
          <w:tcPr>
            <w:tcW w:type="dxa" w:w="2880"/>
            <w:shd w:val="clear" w:color="auto" w:fill="DCE6F1"/>
          </w:tcPr>
          <w:p>
            <w:r/>
            <w:r>
              <w:rPr>
                <w:sz w:val="18"/>
              </w:rPr>
              <w:t>Dynamic MAC admit + limited-access ACL</w:t>
            </w:r>
          </w:p>
        </w:tc>
      </w:tr>
    </w:tbl>
    <w:p/>
    <w:p>
      <w:pPr>
        <w:pBdr>
          <w:bottom w:val="single" w:sz="6" w:space="1" w:color="1F3864"/>
        </w:pBdr>
        <w:spacing w:after="120"/>
      </w:pPr>
    </w:p>
    <w:p>
      <w:pPr>
        <w:pStyle w:val="Heading2"/>
      </w:pPr>
      <w:r>
        <w:rPr>
          <w:color w:val="1F3864"/>
        </w:rPr>
        <w:t>Tier 2 Limited Access — L3 ACL Permit List</w:t>
      </w:r>
    </w:p>
    <w:p>
      <w:pPr>
        <w:spacing w:after="120"/>
      </w:pPr>
      <w:r>
        <w:rPr>
          <w:b w:val="0"/>
          <w:i w:val="0"/>
          <w:sz w:val="20"/>
        </w:rPr>
        <w:t>The device remains on its static VLAN. The L3 ACL pushed to the switch permits only the following — all other destinations blocked:</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Destination</w:t>
            </w:r>
          </w:p>
        </w:tc>
        <w:tc>
          <w:tcPr>
            <w:tcW w:type="dxa" w:w="4320"/>
            <w:shd w:val="clear" w:color="auto" w:fill="1F3864"/>
          </w:tcPr>
          <w:p>
            <w:pPr>
              <w:jc w:val="center"/>
            </w:pPr>
            <w:r>
              <w:rPr>
                <w:b/>
                <w:color w:val="FFFFFF"/>
                <w:sz w:val="18"/>
              </w:rPr>
              <w:t>Purpose</w:t>
            </w:r>
          </w:p>
        </w:tc>
      </w:tr>
      <w:tr>
        <w:tc>
          <w:tcPr>
            <w:tcW w:type="dxa" w:w="4320"/>
          </w:tcPr>
          <w:p>
            <w:r/>
            <w:r>
              <w:rPr>
                <w:sz w:val="18"/>
              </w:rPr>
              <w:t>Zscaler ZIA</w:t>
            </w:r>
          </w:p>
        </w:tc>
        <w:tc>
          <w:tcPr>
            <w:tcW w:type="dxa" w:w="4320"/>
          </w:tcPr>
          <w:p>
            <w:r/>
            <w:r>
              <w:rPr>
                <w:sz w:val="18"/>
              </w:rPr>
              <w:t>Internet egress</w:t>
            </w:r>
          </w:p>
        </w:tc>
      </w:tr>
      <w:tr>
        <w:tc>
          <w:tcPr>
            <w:tcW w:type="dxa" w:w="4320"/>
            <w:shd w:val="clear" w:color="auto" w:fill="DCE6F1"/>
          </w:tcPr>
          <w:p>
            <w:r/>
            <w:r>
              <w:rPr>
                <w:sz w:val="18"/>
              </w:rPr>
              <w:t>CrowdStrike</w:t>
            </w:r>
          </w:p>
        </w:tc>
        <w:tc>
          <w:tcPr>
            <w:tcW w:type="dxa" w:w="4320"/>
            <w:shd w:val="clear" w:color="auto" w:fill="DCE6F1"/>
          </w:tcPr>
          <w:p>
            <w:r/>
            <w:r>
              <w:rPr>
                <w:sz w:val="18"/>
              </w:rPr>
              <w:t>EDR telemetry and sensor management</w:t>
            </w:r>
          </w:p>
        </w:tc>
      </w:tr>
      <w:tr>
        <w:tc>
          <w:tcPr>
            <w:tcW w:type="dxa" w:w="4320"/>
          </w:tcPr>
          <w:p>
            <w:r/>
            <w:r>
              <w:rPr>
                <w:sz w:val="18"/>
              </w:rPr>
              <w:t>Microsoft Intune</w:t>
            </w:r>
          </w:p>
        </w:tc>
        <w:tc>
          <w:tcPr>
            <w:tcW w:type="dxa" w:w="4320"/>
          </w:tcPr>
          <w:p>
            <w:r/>
            <w:r>
              <w:rPr>
                <w:sz w:val="18"/>
              </w:rPr>
              <w:t>MDM compliance and policy delivery</w:t>
            </w:r>
          </w:p>
        </w:tc>
      </w:tr>
      <w:tr>
        <w:tc>
          <w:tcPr>
            <w:tcW w:type="dxa" w:w="4320"/>
            <w:shd w:val="clear" w:color="auto" w:fill="DCE6F1"/>
          </w:tcPr>
          <w:p>
            <w:r/>
            <w:r>
              <w:rPr>
                <w:sz w:val="18"/>
              </w:rPr>
              <w:t>Jamf Cloud</w:t>
            </w:r>
          </w:p>
        </w:tc>
        <w:tc>
          <w:tcPr>
            <w:tcW w:type="dxa" w:w="4320"/>
            <w:shd w:val="clear" w:color="auto" w:fill="DCE6F1"/>
          </w:tcPr>
          <w:p>
            <w:r/>
            <w:r>
              <w:rPr>
                <w:sz w:val="18"/>
              </w:rPr>
              <w:t>macOS/iOS MDM management</w:t>
            </w:r>
          </w:p>
        </w:tc>
      </w:tr>
      <w:tr>
        <w:tc>
          <w:tcPr>
            <w:tcW w:type="dxa" w:w="4320"/>
          </w:tcPr>
          <w:p>
            <w:r/>
            <w:r>
              <w:rPr>
                <w:sz w:val="18"/>
              </w:rPr>
              <w:t>SCCM / Configuration Manager</w:t>
            </w:r>
          </w:p>
        </w:tc>
        <w:tc>
          <w:tcPr>
            <w:tcW w:type="dxa" w:w="4320"/>
          </w:tcPr>
          <w:p>
            <w:r/>
            <w:r>
              <w:rPr>
                <w:sz w:val="18"/>
              </w:rPr>
              <w:t>Windows patch and software management</w:t>
            </w:r>
          </w:p>
        </w:tc>
      </w:tr>
      <w:tr>
        <w:tc>
          <w:tcPr>
            <w:tcW w:type="dxa" w:w="4320"/>
            <w:shd w:val="clear" w:color="auto" w:fill="DCE6F1"/>
          </w:tcPr>
          <w:p>
            <w:r/>
            <w:r>
              <w:rPr>
                <w:sz w:val="18"/>
              </w:rPr>
              <w:t>Azure AD / Microsoft Entra ID</w:t>
            </w:r>
          </w:p>
        </w:tc>
        <w:tc>
          <w:tcPr>
            <w:tcW w:type="dxa" w:w="4320"/>
            <w:shd w:val="clear" w:color="auto" w:fill="DCE6F1"/>
          </w:tcPr>
          <w:p>
            <w:r/>
            <w:r>
              <w:rPr>
                <w:sz w:val="18"/>
              </w:rPr>
              <w:t>Device authentication and identity</w:t>
            </w:r>
          </w:p>
        </w:tc>
      </w:tr>
    </w:tbl>
    <w:p/>
    <w:p>
      <w:pPr>
        <w:spacing w:after="120"/>
      </w:pPr>
      <w:r>
        <w:rPr>
          <w:b w:val="0"/>
          <w:i w:val="0"/>
          <w:sz w:val="20"/>
        </w:rPr>
        <w:t xml:space="preserve">The management plane remaining reachable is what enables </w:t>
      </w:r>
      <w:r>
        <w:rPr>
          <w:b/>
          <w:i w:val="0"/>
          <w:sz w:val="20"/>
        </w:rPr>
        <w:t>automated remediation without a help desk call</w:t>
      </w:r>
      <w:r>
        <w:rPr>
          <w:b w:val="0"/>
          <w:i w:val="0"/>
          <w:sz w:val="20"/>
        </w:rPr>
        <w:t xml:space="preserve"> — the endpoint tools self-remediate, and Forescout promotes the device back to Tier 1 via CoA once all checks pass.</w:t>
      </w:r>
    </w:p>
    <w:p>
      <w:pPr>
        <w:pBdr>
          <w:bottom w:val="single" w:sz="6" w:space="1" w:color="1F3864"/>
        </w:pBdr>
        <w:spacing w:after="120"/>
      </w:pPr>
    </w:p>
    <w:p>
      <w:pPr>
        <w:pStyle w:val="Heading2"/>
      </w:pPr>
      <w:r>
        <w:rPr>
          <w:color w:val="1F3864"/>
        </w:rPr>
        <w:t>Endpoint Posture Validation — The 2026 Check Policy</w:t>
      </w:r>
    </w:p>
    <w:p>
      <w:pPr>
        <w:spacing w:after="120"/>
      </w:pPr>
      <w:r>
        <w:rPr>
          <w:b w:val="0"/>
          <w:i w:val="0"/>
          <w:sz w:val="20"/>
        </w:rPr>
        <w:t xml:space="preserve">Forescout no longer performs its own host-based assessment. It reads the compliance and health state from each purpose-built tool via live API and enforces network access based on the combined result. All checks must pass for Tier 1. Any single failure = Tier 2. Evaluated at admission and </w:t>
      </w:r>
      <w:r>
        <w:rPr>
          <w:b/>
          <w:i w:val="0"/>
          <w:sz w:val="20"/>
        </w:rPr>
        <w:t>continuously re-evaluated post-admission.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w:t>
            </w:r>
          </w:p>
        </w:tc>
        <w:tc>
          <w:tcPr>
            <w:tcW w:type="dxa" w:w="2880"/>
            <w:shd w:val="clear" w:color="auto" w:fill="1F3864"/>
          </w:tcPr>
          <w:p>
            <w:pPr>
              <w:jc w:val="center"/>
            </w:pPr>
            <w:r>
              <w:rPr>
                <w:b/>
                <w:color w:val="FFFFFF"/>
                <w:sz w:val="18"/>
              </w:rPr>
              <w:t>Check</w:t>
            </w:r>
          </w:p>
        </w:tc>
        <w:tc>
          <w:tcPr>
            <w:tcW w:type="dxa" w:w="2880"/>
            <w:shd w:val="clear" w:color="auto" w:fill="1F3864"/>
          </w:tcPr>
          <w:p>
            <w:pPr>
              <w:jc w:val="center"/>
            </w:pPr>
            <w:r>
              <w:rPr>
                <w:b/>
                <w:color w:val="FFFFFF"/>
                <w:sz w:val="18"/>
              </w:rPr>
              <w:t>Tool</w:t>
            </w:r>
          </w:p>
        </w:tc>
      </w:tr>
      <w:tr>
        <w:tc>
          <w:tcPr>
            <w:tcW w:type="dxa" w:w="2880"/>
          </w:tcPr>
          <w:p>
            <w:r/>
            <w:r>
              <w:rPr>
                <w:sz w:val="18"/>
              </w:rPr>
              <w:t>1</w:t>
            </w:r>
          </w:p>
        </w:tc>
        <w:tc>
          <w:tcPr>
            <w:tcW w:type="dxa" w:w="2880"/>
          </w:tcPr>
          <w:p>
            <w:r/>
            <w:r>
              <w:rPr>
                <w:sz w:val="18"/>
              </w:rPr>
              <w:t>Forescout agent heartbeat active</w:t>
            </w:r>
          </w:p>
        </w:tc>
        <w:tc>
          <w:tcPr>
            <w:tcW w:type="dxa" w:w="2880"/>
          </w:tcPr>
          <w:p>
            <w:r/>
            <w:r>
              <w:rPr>
                <w:sz w:val="18"/>
              </w:rPr>
              <w:t>Forescout CounterACT</w:t>
            </w:r>
          </w:p>
        </w:tc>
      </w:tr>
      <w:tr>
        <w:tc>
          <w:tcPr>
            <w:tcW w:type="dxa" w:w="2880"/>
            <w:shd w:val="clear" w:color="auto" w:fill="DCE6F1"/>
          </w:tcPr>
          <w:p>
            <w:r/>
            <w:r>
              <w:rPr>
                <w:sz w:val="18"/>
              </w:rPr>
              <w:t>2</w:t>
            </w:r>
          </w:p>
        </w:tc>
        <w:tc>
          <w:tcPr>
            <w:tcW w:type="dxa" w:w="2880"/>
            <w:shd w:val="clear" w:color="auto" w:fill="DCE6F1"/>
          </w:tcPr>
          <w:p>
            <w:r/>
            <w:r>
              <w:rPr>
                <w:sz w:val="18"/>
              </w:rPr>
              <w:t>Intune enrollment — compliance = Compliant</w:t>
            </w:r>
          </w:p>
        </w:tc>
        <w:tc>
          <w:tcPr>
            <w:tcW w:type="dxa" w:w="2880"/>
            <w:shd w:val="clear" w:color="auto" w:fill="DCE6F1"/>
          </w:tcPr>
          <w:p>
            <w:r/>
            <w:r>
              <w:rPr>
                <w:sz w:val="18"/>
              </w:rPr>
              <w:t>Microsoft Intune API</w:t>
            </w:r>
          </w:p>
        </w:tc>
      </w:tr>
      <w:tr>
        <w:tc>
          <w:tcPr>
            <w:tcW w:type="dxa" w:w="2880"/>
          </w:tcPr>
          <w:p>
            <w:r/>
            <w:r>
              <w:rPr>
                <w:sz w:val="18"/>
              </w:rPr>
              <w:t>3</w:t>
            </w:r>
          </w:p>
        </w:tc>
        <w:tc>
          <w:tcPr>
            <w:tcW w:type="dxa" w:w="2880"/>
          </w:tcPr>
          <w:p>
            <w:r/>
            <w:r>
              <w:rPr>
                <w:sz w:val="18"/>
              </w:rPr>
              <w:t>Azure AD join confirmed</w:t>
            </w:r>
          </w:p>
        </w:tc>
        <w:tc>
          <w:tcPr>
            <w:tcW w:type="dxa" w:w="2880"/>
          </w:tcPr>
          <w:p>
            <w:r/>
            <w:r>
              <w:rPr>
                <w:sz w:val="18"/>
              </w:rPr>
              <w:t>Entra ID / Azure AD API</w:t>
            </w:r>
          </w:p>
        </w:tc>
      </w:tr>
      <w:tr>
        <w:tc>
          <w:tcPr>
            <w:tcW w:type="dxa" w:w="2880"/>
            <w:shd w:val="clear" w:color="auto" w:fill="DCE6F1"/>
          </w:tcPr>
          <w:p>
            <w:r/>
            <w:r>
              <w:rPr>
                <w:sz w:val="18"/>
              </w:rPr>
              <w:t>4</w:t>
            </w:r>
          </w:p>
        </w:tc>
        <w:tc>
          <w:tcPr>
            <w:tcW w:type="dxa" w:w="2880"/>
            <w:shd w:val="clear" w:color="auto" w:fill="DCE6F1"/>
          </w:tcPr>
          <w:p>
            <w:r/>
            <w:r>
              <w:rPr>
                <w:sz w:val="18"/>
              </w:rPr>
              <w:t>CrowdStrike sensor healthy, prevention policy active</w:t>
            </w:r>
          </w:p>
        </w:tc>
        <w:tc>
          <w:tcPr>
            <w:tcW w:type="dxa" w:w="2880"/>
            <w:shd w:val="clear" w:color="auto" w:fill="DCE6F1"/>
          </w:tcPr>
          <w:p>
            <w:r/>
            <w:r>
              <w:rPr>
                <w:sz w:val="18"/>
              </w:rPr>
              <w:t>CrowdStrike API</w:t>
            </w:r>
          </w:p>
        </w:tc>
      </w:tr>
      <w:tr>
        <w:tc>
          <w:tcPr>
            <w:tcW w:type="dxa" w:w="2880"/>
          </w:tcPr>
          <w:p>
            <w:r/>
            <w:r>
              <w:rPr>
                <w:sz w:val="18"/>
              </w:rPr>
              <w:t>5</w:t>
            </w:r>
          </w:p>
        </w:tc>
        <w:tc>
          <w:tcPr>
            <w:tcW w:type="dxa" w:w="2880"/>
          </w:tcPr>
          <w:p>
            <w:r/>
            <w:r>
              <w:rPr>
                <w:sz w:val="18"/>
              </w:rPr>
              <w:t>Qualys agent present, no critical unpatched CVEs</w:t>
            </w:r>
          </w:p>
        </w:tc>
        <w:tc>
          <w:tcPr>
            <w:tcW w:type="dxa" w:w="2880"/>
          </w:tcPr>
          <w:p>
            <w:r/>
            <w:r>
              <w:rPr>
                <w:sz w:val="18"/>
              </w:rPr>
              <w:t>Qualys API</w:t>
            </w:r>
          </w:p>
        </w:tc>
      </w:tr>
      <w:tr>
        <w:tc>
          <w:tcPr>
            <w:tcW w:type="dxa" w:w="2880"/>
            <w:shd w:val="clear" w:color="auto" w:fill="DCE6F1"/>
          </w:tcPr>
          <w:p>
            <w:r/>
            <w:r>
              <w:rPr>
                <w:sz w:val="18"/>
              </w:rPr>
              <w:t>6</w:t>
            </w:r>
          </w:p>
        </w:tc>
        <w:tc>
          <w:tcPr>
            <w:tcW w:type="dxa" w:w="2880"/>
            <w:shd w:val="clear" w:color="auto" w:fill="DCE6F1"/>
          </w:tcPr>
          <w:p>
            <w:r/>
            <w:r>
              <w:rPr>
                <w:sz w:val="18"/>
              </w:rPr>
              <w:t>Tanium agent online, check-in within threshold</w:t>
            </w:r>
          </w:p>
        </w:tc>
        <w:tc>
          <w:tcPr>
            <w:tcW w:type="dxa" w:w="2880"/>
            <w:shd w:val="clear" w:color="auto" w:fill="DCE6F1"/>
          </w:tcPr>
          <w:p>
            <w:r/>
            <w:r>
              <w:rPr>
                <w:sz w:val="18"/>
              </w:rPr>
              <w:t>Tanium API</w:t>
            </w:r>
          </w:p>
        </w:tc>
      </w:tr>
      <w:tr>
        <w:tc>
          <w:tcPr>
            <w:tcW w:type="dxa" w:w="2880"/>
          </w:tcPr>
          <w:p>
            <w:r/>
            <w:r>
              <w:rPr>
                <w:sz w:val="18"/>
              </w:rPr>
              <w:t>7</w:t>
            </w:r>
          </w:p>
        </w:tc>
        <w:tc>
          <w:tcPr>
            <w:tcW w:type="dxa" w:w="2880"/>
          </w:tcPr>
          <w:p>
            <w:r/>
            <w:r>
              <w:rPr>
                <w:sz w:val="18"/>
              </w:rPr>
              <w:t>Jamf (Mac) / SCCM (Windows) enrolled and compliant</w:t>
            </w:r>
          </w:p>
        </w:tc>
        <w:tc>
          <w:tcPr>
            <w:tcW w:type="dxa" w:w="2880"/>
          </w:tcPr>
          <w:p>
            <w:r/>
            <w:r>
              <w:rPr>
                <w:sz w:val="18"/>
              </w:rPr>
              <w:t>Jamf / SCCM API</w:t>
            </w:r>
          </w:p>
        </w:tc>
      </w:tr>
      <w:tr>
        <w:tc>
          <w:tcPr>
            <w:tcW w:type="dxa" w:w="2880"/>
            <w:shd w:val="clear" w:color="auto" w:fill="DCE6F1"/>
          </w:tcPr>
          <w:p>
            <w:r/>
            <w:r>
              <w:rPr>
                <w:sz w:val="18"/>
              </w:rPr>
              <w:t>8</w:t>
            </w:r>
          </w:p>
        </w:tc>
        <w:tc>
          <w:tcPr>
            <w:tcW w:type="dxa" w:w="2880"/>
            <w:shd w:val="clear" w:color="auto" w:fill="DCE6F1"/>
          </w:tcPr>
          <w:p>
            <w:r/>
            <w:r>
              <w:rPr>
                <w:sz w:val="18"/>
              </w:rPr>
              <w:t>Patch posture — no critical/high vulns beyond SLA</w:t>
            </w:r>
          </w:p>
        </w:tc>
        <w:tc>
          <w:tcPr>
            <w:tcW w:type="dxa" w:w="2880"/>
            <w:shd w:val="clear" w:color="auto" w:fill="DCE6F1"/>
          </w:tcPr>
          <w:p>
            <w:r/>
            <w:r>
              <w:rPr>
                <w:sz w:val="18"/>
              </w:rPr>
              <w:t>SCCM / Qualys</w:t>
            </w:r>
          </w:p>
        </w:tc>
      </w:tr>
    </w:tbl>
    <w:p/>
    <w:p>
      <w:pPr>
        <w:pBdr>
          <w:bottom w:val="single" w:sz="6" w:space="1" w:color="1F3864"/>
        </w:pBdr>
        <w:spacing w:after="120"/>
      </w:pPr>
    </w:p>
    <w:p>
      <w:pPr>
        <w:pStyle w:val="Heading2"/>
      </w:pPr>
      <w:r>
        <w:rPr>
          <w:color w:val="1F3864"/>
        </w:rPr>
        <w:t>Endpoint Security Integration Model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Tool</w:t>
            </w:r>
          </w:p>
        </w:tc>
        <w:tc>
          <w:tcPr>
            <w:tcW w:type="dxa" w:w="2880"/>
            <w:shd w:val="clear" w:color="auto" w:fill="1F3864"/>
          </w:tcPr>
          <w:p>
            <w:pPr>
              <w:jc w:val="center"/>
            </w:pPr>
            <w:r>
              <w:rPr>
                <w:b/>
                <w:color w:val="FFFFFF"/>
                <w:sz w:val="18"/>
              </w:rPr>
              <w:t>Role</w:t>
            </w:r>
          </w:p>
        </w:tc>
        <w:tc>
          <w:tcPr>
            <w:tcW w:type="dxa" w:w="2880"/>
            <w:shd w:val="clear" w:color="auto" w:fill="1F3864"/>
          </w:tcPr>
          <w:p>
            <w:pPr>
              <w:jc w:val="center"/>
            </w:pPr>
            <w:r>
              <w:rPr>
                <w:b/>
                <w:color w:val="FFFFFF"/>
                <w:sz w:val="18"/>
              </w:rPr>
              <w:t>Does Not Do</w:t>
            </w:r>
          </w:p>
        </w:tc>
      </w:tr>
      <w:tr>
        <w:tc>
          <w:tcPr>
            <w:tcW w:type="dxa" w:w="2880"/>
          </w:tcPr>
          <w:p>
            <w:r/>
            <w:r>
              <w:rPr>
                <w:sz w:val="18"/>
              </w:rPr>
              <w:t>Forescout CounterACT</w:t>
            </w:r>
          </w:p>
        </w:tc>
        <w:tc>
          <w:tcPr>
            <w:tcW w:type="dxa" w:w="2880"/>
          </w:tcPr>
          <w:p>
            <w:r/>
            <w:r>
              <w:rPr>
                <w:sz w:val="18"/>
              </w:rPr>
              <w:t>RADIUS MAB admission, dynamic MAC filter, L3 ACL enforcement, continuous posture validation, CoA</w:t>
            </w:r>
          </w:p>
        </w:tc>
        <w:tc>
          <w:tcPr>
            <w:tcW w:type="dxa" w:w="2880"/>
          </w:tcPr>
          <w:p>
            <w:r/>
            <w:r>
              <w:rPr>
                <w:sz w:val="18"/>
              </w:rPr>
              <w:t>Remediation, host-based assessment, OT scanning</w:t>
            </w:r>
          </w:p>
        </w:tc>
      </w:tr>
      <w:tr>
        <w:tc>
          <w:tcPr>
            <w:tcW w:type="dxa" w:w="2880"/>
            <w:shd w:val="clear" w:color="auto" w:fill="DCE6F1"/>
          </w:tcPr>
          <w:p>
            <w:r/>
            <w:r>
              <w:rPr>
                <w:sz w:val="18"/>
              </w:rPr>
              <w:t>Intune / Jamf / SCCM</w:t>
            </w:r>
          </w:p>
        </w:tc>
        <w:tc>
          <w:tcPr>
            <w:tcW w:type="dxa" w:w="2880"/>
            <w:shd w:val="clear" w:color="auto" w:fill="DCE6F1"/>
          </w:tcPr>
          <w:p>
            <w:r/>
            <w:r>
              <w:rPr>
                <w:sz w:val="18"/>
              </w:rPr>
              <w:t>MDM enrollment, compliance policy, patch delivery</w:t>
            </w:r>
          </w:p>
        </w:tc>
        <w:tc>
          <w:tcPr>
            <w:tcW w:type="dxa" w:w="2880"/>
            <w:shd w:val="clear" w:color="auto" w:fill="DCE6F1"/>
          </w:tcPr>
          <w:p>
            <w:r/>
            <w:r>
              <w:rPr>
                <w:sz w:val="18"/>
              </w:rPr>
              <w:t>Network admission</w:t>
            </w:r>
          </w:p>
        </w:tc>
      </w:tr>
      <w:tr>
        <w:tc>
          <w:tcPr>
            <w:tcW w:type="dxa" w:w="2880"/>
          </w:tcPr>
          <w:p>
            <w:r/>
            <w:r>
              <w:rPr>
                <w:sz w:val="18"/>
              </w:rPr>
              <w:t>CrowdStrike</w:t>
            </w:r>
          </w:p>
        </w:tc>
        <w:tc>
          <w:tcPr>
            <w:tcW w:type="dxa" w:w="2880"/>
          </w:tcPr>
          <w:p>
            <w:r/>
            <w:r>
              <w:rPr>
                <w:sz w:val="18"/>
              </w:rPr>
              <w:t>EDR telemetry, sensor health — posture input to check #4</w:t>
            </w:r>
          </w:p>
        </w:tc>
        <w:tc>
          <w:tcPr>
            <w:tcW w:type="dxa" w:w="2880"/>
          </w:tcPr>
          <w:p>
            <w:r/>
            <w:r>
              <w:rPr>
                <w:sz w:val="18"/>
              </w:rPr>
              <w:t>Network admission</w:t>
            </w:r>
          </w:p>
        </w:tc>
      </w:tr>
      <w:tr>
        <w:tc>
          <w:tcPr>
            <w:tcW w:type="dxa" w:w="2880"/>
            <w:shd w:val="clear" w:color="auto" w:fill="DCE6F1"/>
          </w:tcPr>
          <w:p>
            <w:r/>
            <w:r>
              <w:rPr>
                <w:sz w:val="18"/>
              </w:rPr>
              <w:t>Qualys / Tanium</w:t>
            </w:r>
          </w:p>
        </w:tc>
        <w:tc>
          <w:tcPr>
            <w:tcW w:type="dxa" w:w="2880"/>
            <w:shd w:val="clear" w:color="auto" w:fill="DCE6F1"/>
          </w:tcPr>
          <w:p>
            <w:r/>
            <w:r>
              <w:rPr>
                <w:sz w:val="18"/>
              </w:rPr>
              <w:t>Vulnerability posture, agent presence — posture inputs #5, #6</w:t>
            </w:r>
          </w:p>
        </w:tc>
        <w:tc>
          <w:tcPr>
            <w:tcW w:type="dxa" w:w="2880"/>
            <w:shd w:val="clear" w:color="auto" w:fill="DCE6F1"/>
          </w:tcPr>
          <w:p>
            <w:r/>
            <w:r>
              <w:rPr>
                <w:sz w:val="18"/>
              </w:rPr>
              <w:t>Network admission</w:t>
            </w:r>
          </w:p>
        </w:tc>
      </w:tr>
    </w:tbl>
    <w:p/>
    <w:p>
      <w:pPr>
        <w:pBdr>
          <w:bottom w:val="single" w:sz="6" w:space="1" w:color="1F3864"/>
        </w:pBdr>
        <w:spacing w:after="120"/>
      </w:pPr>
    </w:p>
    <w:p>
      <w:pPr>
        <w:pStyle w:val="Heading2"/>
      </w:pPr>
      <w:r>
        <w:rPr>
          <w:color w:val="1F3864"/>
        </w:rPr>
        <w:t>Deployment Sequencing — Validation-First Model</w:t>
      </w:r>
    </w:p>
    <w:p>
      <w:pPr>
        <w:spacing w:after="120"/>
      </w:pPr>
      <w:r>
        <w:rPr>
          <w:b w:val="0"/>
          <w:i w:val="0"/>
          <w:sz w:val="20"/>
        </w:rPr>
        <w:t xml:space="preserve">The program does not proceed to broad deployment until </w:t>
      </w:r>
      <w:r>
        <w:rPr>
          <w:b/>
          <w:i w:val="0"/>
          <w:sz w:val="20"/>
        </w:rPr>
        <w:t>three enforcement models have been independently validated.</w:t>
      </w:r>
    </w:p>
    <w:p>
      <w:pPr>
        <w:spacing w:after="120"/>
      </w:pPr>
      <w:r>
        <w:rPr>
          <w:b/>
          <w:i w:val="0"/>
          <w:sz w:val="20"/>
        </w:rPr>
        <w:t>Validation 1 — Corporate Campus + Distribution Center</w:t>
      </w:r>
    </w:p>
    <w:p>
      <w:pPr>
        <w:pStyle w:val="ListBullet"/>
        <w:spacing w:after="60"/>
      </w:pPr>
      <w:r>
        <w:rPr>
          <w:sz w:val="20"/>
        </w:rPr>
        <w:t>POC at the RI corporate campus</w:t>
      </w:r>
    </w:p>
    <w:p>
      <w:pPr>
        <w:pStyle w:val="ListBullet"/>
        <w:spacing w:after="60"/>
      </w:pPr>
      <w:r>
        <w:rPr>
          <w:sz w:val="20"/>
        </w:rPr>
      </w:r>
      <w:r>
        <w:rPr>
          <w:b/>
          <w:sz w:val="20"/>
        </w:rPr>
        <w:t>Validates the corporate workstation enforcement model</w:t>
      </w:r>
      <w:r>
        <w:rPr>
          <w:sz w:val="20"/>
        </w:rPr>
        <w:t xml:space="preserve"> and the </w:t>
      </w:r>
      <w:r>
        <w:rPr>
          <w:b/>
          <w:sz w:val="20"/>
        </w:rPr>
        <w:t>Distribution Center enforcement model</w:t>
      </w:r>
      <w:r>
        <w:rPr>
          <w:sz w:val="20"/>
        </w:rPr>
        <w:t xml:space="preserve"> simultaneously</w:t>
      </w:r>
    </w:p>
    <w:p>
      <w:pPr>
        <w:pStyle w:val="ListBullet"/>
        <w:spacing w:after="60"/>
      </w:pPr>
      <w:r>
        <w:rPr>
          <w:sz w:val="20"/>
        </w:rPr>
        <w:t>Confirms: API posture check policy, dynamic MAC filter, L3 ACL on static VLAN, Tier 1/Tier 2 outcomes, CoA mid-session enforcement, P95 15-second latency target</w:t>
      </w:r>
    </w:p>
    <w:p>
      <w:pPr>
        <w:spacing w:after="120"/>
      </w:pPr>
      <w:r>
        <w:rPr>
          <w:b/>
          <w:i w:val="0"/>
          <w:sz w:val="20"/>
        </w:rPr>
        <w:t>Validation 2 — Distribution Center Model Confirmed</w:t>
      </w:r>
    </w:p>
    <w:p>
      <w:pPr>
        <w:pStyle w:val="ListBullet"/>
        <w:spacing w:after="60"/>
      </w:pPr>
      <w:r>
        <w:rPr>
          <w:sz w:val="20"/>
        </w:rPr>
        <w:t>DC enforcement model signed off as deployment-ready based on Validation 1 results</w:t>
      </w:r>
    </w:p>
    <w:p>
      <w:pPr>
        <w:pStyle w:val="ListBullet"/>
        <w:spacing w:after="60"/>
      </w:pPr>
      <w:r>
        <w:rPr>
          <w:sz w:val="20"/>
        </w:rPr>
        <w:t>Accounts for DC device profile — higher IoT/OT density, operational technology presence, different workstation population</w:t>
      </w:r>
    </w:p>
    <w:p>
      <w:pPr>
        <w:spacing w:after="120"/>
      </w:pPr>
      <w:r>
        <w:rPr>
          <w:b/>
          <w:i w:val="0"/>
          <w:sz w:val="20"/>
        </w:rPr>
        <w:t>Validation 3 — Mail Order Pharmacy</w:t>
      </w:r>
    </w:p>
    <w:p>
      <w:pPr>
        <w:pStyle w:val="ListBullet"/>
        <w:spacing w:after="60"/>
      </w:pPr>
      <w:r>
        <w:rPr>
          <w:sz w:val="20"/>
        </w:rPr>
        <w:t>Site TBD</w:t>
      </w:r>
    </w:p>
    <w:p>
      <w:pPr>
        <w:pStyle w:val="ListBullet"/>
        <w:spacing w:after="60"/>
      </w:pPr>
      <w:r>
        <w:rPr>
          <w:sz w:val="20"/>
        </w:rPr>
        <w:t xml:space="preserve">Validates the </w:t>
      </w:r>
      <w:r>
        <w:rPr>
          <w:b/>
          <w:sz w:val="20"/>
        </w:rPr>
        <w:t>Mail Order enforcement model</w:t>
      </w:r>
      <w:r>
        <w:rPr>
          <w:sz w:val="20"/>
        </w:rPr>
        <w:t xml:space="preserve"> — regulated pharmacy environment, distinct device mix and operational profile</w:t>
      </w:r>
    </w:p>
    <w:p>
      <w:pPr>
        <w:spacing w:after="120"/>
      </w:pPr>
      <w:r>
        <w:rPr>
          <w:b/>
          <w:i w:val="0"/>
          <w:sz w:val="20"/>
        </w:rPr>
        <w:t>Wider Deployment</w:t>
      </w:r>
    </w:p>
    <w:p>
      <w:pPr>
        <w:pStyle w:val="ListBullet"/>
        <w:spacing w:after="60"/>
      </w:pPr>
      <w:r>
        <w:rPr>
          <w:sz w:val="20"/>
        </w:rPr>
        <w:t>Phase 1 and Phase 2 broad rollout proceeds only after all three models are validated and signed off</w:t>
      </w:r>
    </w:p>
    <w:p>
      <w:pPr>
        <w:pStyle w:val="ListBullet"/>
        <w:spacing w:after="60"/>
      </w:pPr>
      <w:r>
        <w:rPr>
          <w:sz w:val="20"/>
        </w:rPr>
        <w:t>Any policy model issue surfaced during validation must be resolved before the broader schedule proceeds</w:t>
      </w:r>
    </w:p>
    <w:p>
      <w:pPr>
        <w:pBdr>
          <w:bottom w:val="single" w:sz="6" w:space="1" w:color="1F3864"/>
        </w:pBdr>
        <w:spacing w:after="120"/>
      </w:pPr>
    </w:p>
    <w:p>
      <w:pPr>
        <w:pStyle w:val="Heading2"/>
      </w:pPr>
      <w:r>
        <w:rPr>
          <w:color w:val="1F3864"/>
        </w:rPr>
        <w:t>Six Implementation Workstreams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w:t>
            </w:r>
          </w:p>
        </w:tc>
        <w:tc>
          <w:tcPr>
            <w:tcW w:type="dxa" w:w="2880"/>
            <w:shd w:val="clear" w:color="auto" w:fill="1F3864"/>
          </w:tcPr>
          <w:p>
            <w:pPr>
              <w:jc w:val="center"/>
            </w:pPr>
            <w:r>
              <w:rPr>
                <w:b/>
                <w:color w:val="FFFFFF"/>
                <w:sz w:val="18"/>
              </w:rPr>
              <w:t>Workstream</w:t>
            </w:r>
          </w:p>
        </w:tc>
        <w:tc>
          <w:tcPr>
            <w:tcW w:type="dxa" w:w="2880"/>
            <w:shd w:val="clear" w:color="auto" w:fill="1F3864"/>
          </w:tcPr>
          <w:p>
            <w:pPr>
              <w:jc w:val="center"/>
            </w:pPr>
            <w:r>
              <w:rPr>
                <w:b/>
                <w:color w:val="FFFFFF"/>
                <w:sz w:val="18"/>
              </w:rPr>
              <w:t>Gates</w:t>
            </w:r>
          </w:p>
        </w:tc>
      </w:tr>
      <w:tr>
        <w:tc>
          <w:tcPr>
            <w:tcW w:type="dxa" w:w="2880"/>
          </w:tcPr>
          <w:p>
            <w:r/>
            <w:r>
              <w:rPr>
                <w:sz w:val="18"/>
              </w:rPr>
              <w:t>1</w:t>
            </w:r>
          </w:p>
        </w:tc>
        <w:tc>
          <w:tcPr>
            <w:tcW w:type="dxa" w:w="2880"/>
          </w:tcPr>
          <w:p>
            <w:r/>
            <w:r>
              <w:rPr>
                <w:sz w:val="18"/>
              </w:rPr>
            </w:r>
            <w:r>
              <w:rPr>
                <w:b/>
                <w:sz w:val="18"/>
              </w:rPr>
              <w:t>Forescout Infrastructure Refresh</w:t>
            </w:r>
            <w:r>
              <w:rPr>
                <w:sz w:val="18"/>
              </w:rPr>
              <w:t xml:space="preserve"> — EOL/EOS hardware replacement</w:t>
            </w:r>
          </w:p>
        </w:tc>
        <w:tc>
          <w:tcPr>
            <w:tcW w:type="dxa" w:w="2880"/>
          </w:tcPr>
          <w:p>
            <w:r/>
            <w:r>
              <w:rPr>
                <w:sz w:val="18"/>
              </w:rPr>
              <w:t>Gates everything</w:t>
            </w:r>
          </w:p>
        </w:tc>
      </w:tr>
      <w:tr>
        <w:tc>
          <w:tcPr>
            <w:tcW w:type="dxa" w:w="2880"/>
            <w:shd w:val="clear" w:color="auto" w:fill="DCE6F1"/>
          </w:tcPr>
          <w:p>
            <w:r/>
            <w:r>
              <w:rPr>
                <w:sz w:val="18"/>
              </w:rPr>
              <w:t>2</w:t>
            </w:r>
          </w:p>
        </w:tc>
        <w:tc>
          <w:tcPr>
            <w:tcW w:type="dxa" w:w="2880"/>
            <w:shd w:val="clear" w:color="auto" w:fill="DCE6F1"/>
          </w:tcPr>
          <w:p>
            <w:r/>
            <w:r>
              <w:rPr>
                <w:sz w:val="18"/>
              </w:rPr>
            </w:r>
            <w:r>
              <w:rPr>
                <w:b/>
                <w:sz w:val="18"/>
              </w:rPr>
              <w:t>RADIUS MAB Implementation</w:t>
            </w:r>
            <w:r>
              <w:rPr>
                <w:sz w:val="18"/>
              </w:rPr>
              <w:t xml:space="preserve"> — HA per region, MAB policies, Tier 2 ACL permit list, CoA validation end-to-end</w:t>
            </w:r>
          </w:p>
        </w:tc>
        <w:tc>
          <w:tcPr>
            <w:tcW w:type="dxa" w:w="2880"/>
            <w:shd w:val="clear" w:color="auto" w:fill="DCE6F1"/>
          </w:tcPr>
          <w:p>
            <w:r/>
            <w:r>
              <w:rPr>
                <w:sz w:val="18"/>
              </w:rPr>
              <w:t>Gates WS 4 &amp; 5</w:t>
            </w:r>
          </w:p>
        </w:tc>
      </w:tr>
      <w:tr>
        <w:tc>
          <w:tcPr>
            <w:tcW w:type="dxa" w:w="2880"/>
          </w:tcPr>
          <w:p>
            <w:r/>
            <w:r>
              <w:rPr>
                <w:sz w:val="18"/>
              </w:rPr>
              <w:t>3</w:t>
            </w:r>
          </w:p>
        </w:tc>
        <w:tc>
          <w:tcPr>
            <w:tcW w:type="dxa" w:w="2880"/>
          </w:tcPr>
          <w:p>
            <w:r/>
            <w:r>
              <w:rPr>
                <w:sz w:val="18"/>
              </w:rPr>
            </w:r>
            <w:r>
              <w:rPr>
                <w:b/>
                <w:sz w:val="18"/>
              </w:rPr>
              <w:t>Endpoint API Integration</w:t>
            </w:r>
            <w:r>
              <w:rPr>
                <w:sz w:val="18"/>
              </w:rPr>
              <w:t xml:space="preserve"> — Connect Forescout to Intune, CrowdStrike, Qualys, Jamf, Tanium, SCCM, Azure AD; validate all posture data feeds</w:t>
            </w:r>
          </w:p>
        </w:tc>
        <w:tc>
          <w:tcPr>
            <w:tcW w:type="dxa" w:w="2880"/>
          </w:tcPr>
          <w:p>
            <w:r/>
            <w:r>
              <w:rPr>
                <w:sz w:val="18"/>
              </w:rPr>
              <w:t>Gates WS 6</w:t>
            </w:r>
          </w:p>
        </w:tc>
      </w:tr>
      <w:tr>
        <w:tc>
          <w:tcPr>
            <w:tcW w:type="dxa" w:w="2880"/>
            <w:shd w:val="clear" w:color="auto" w:fill="DCE6F1"/>
          </w:tcPr>
          <w:p>
            <w:r/>
            <w:r>
              <w:rPr>
                <w:sz w:val="18"/>
              </w:rPr>
              <w:t>4</w:t>
            </w:r>
          </w:p>
        </w:tc>
        <w:tc>
          <w:tcPr>
            <w:tcW w:type="dxa" w:w="2880"/>
            <w:shd w:val="clear" w:color="auto" w:fill="DCE6F1"/>
          </w:tcPr>
          <w:p>
            <w:r/>
            <w:r>
              <w:rPr>
                <w:sz w:val="18"/>
              </w:rPr>
            </w:r>
            <w:r>
              <w:rPr>
                <w:b/>
                <w:sz w:val="18"/>
              </w:rPr>
              <w:t>Site Switching Integration</w:t>
            </w:r>
            <w:r>
              <w:rPr>
                <w:sz w:val="18"/>
              </w:rPr>
              <w:t xml:space="preserve"> — MAB on access layer switches per site, DHCP integration, ACL capability validation</w:t>
            </w:r>
          </w:p>
        </w:tc>
        <w:tc>
          <w:tcPr>
            <w:tcW w:type="dxa" w:w="2880"/>
            <w:shd w:val="clear" w:color="auto" w:fill="DCE6F1"/>
          </w:tcPr>
          <w:p>
            <w:r/>
            <w:r>
              <w:rPr>
                <w:sz w:val="18"/>
              </w:rPr>
              <w:t>Gates enforcement activation</w:t>
            </w:r>
          </w:p>
        </w:tc>
      </w:tr>
      <w:tr>
        <w:tc>
          <w:tcPr>
            <w:tcW w:type="dxa" w:w="2880"/>
          </w:tcPr>
          <w:p>
            <w:r/>
            <w:r>
              <w:rPr>
                <w:sz w:val="18"/>
              </w:rPr>
              <w:t>5</w:t>
            </w:r>
          </w:p>
        </w:tc>
        <w:tc>
          <w:tcPr>
            <w:tcW w:type="dxa" w:w="2880"/>
          </w:tcPr>
          <w:p>
            <w:r/>
            <w:r>
              <w:rPr>
                <w:sz w:val="18"/>
              </w:rPr>
            </w:r>
            <w:r>
              <w:rPr>
                <w:b/>
                <w:sz w:val="18"/>
              </w:rPr>
              <w:t>Policy Scope Rebuild</w:t>
            </w:r>
            <w:r>
              <w:rPr>
                <w:sz w:val="18"/>
              </w:rPr>
              <w:t xml:space="preserve"> — Rebuild from scratch on new infrastructure; no migration from EOL config</w:t>
            </w:r>
          </w:p>
        </w:tc>
        <w:tc>
          <w:tcPr>
            <w:tcW w:type="dxa" w:w="2880"/>
          </w:tcPr>
          <w:p>
            <w:r/>
            <w:r>
              <w:rPr>
                <w:sz w:val="18"/>
              </w:rPr>
              <w:t>Gates enforcement activation</w:t>
            </w:r>
          </w:p>
        </w:tc>
      </w:tr>
      <w:tr>
        <w:tc>
          <w:tcPr>
            <w:tcW w:type="dxa" w:w="2880"/>
            <w:shd w:val="clear" w:color="auto" w:fill="DCE6F1"/>
          </w:tcPr>
          <w:p>
            <w:r/>
            <w:r>
              <w:rPr>
                <w:sz w:val="18"/>
              </w:rPr>
              <w:t>6</w:t>
            </w:r>
          </w:p>
        </w:tc>
        <w:tc>
          <w:tcPr>
            <w:tcW w:type="dxa" w:w="2880"/>
            <w:shd w:val="clear" w:color="auto" w:fill="DCE6F1"/>
          </w:tcPr>
          <w:p>
            <w:r/>
            <w:r>
              <w:rPr>
                <w:sz w:val="18"/>
              </w:rPr>
            </w:r>
            <w:r>
              <w:rPr>
                <w:b/>
                <w:sz w:val="18"/>
              </w:rPr>
              <w:t>Posture Check Policy Build &amp; Validation</w:t>
            </w:r>
            <w:r>
              <w:rPr>
                <w:sz w:val="18"/>
              </w:rPr>
              <w:t xml:space="preserve"> — Build API-driven check policy, 30–60 day monitor-only baseline before any enforcement activates</w:t>
            </w:r>
          </w:p>
        </w:tc>
        <w:tc>
          <w:tcPr>
            <w:tcW w:type="dxa" w:w="2880"/>
            <w:shd w:val="clear" w:color="auto" w:fill="DCE6F1"/>
          </w:tcPr>
          <w:p>
            <w:r/>
            <w:r>
              <w:rPr>
                <w:sz w:val="18"/>
              </w:rPr>
              <w:t>Gates enforcement activation</w:t>
            </w:r>
          </w:p>
        </w:tc>
      </w:tr>
    </w:tbl>
    <w:p/>
    <w:p>
      <w:pPr>
        <w:pBdr>
          <w:bottom w:val="single" w:sz="6" w:space="1" w:color="1F3864"/>
        </w:pBdr>
        <w:spacing w:after="120"/>
      </w:pPr>
    </w:p>
    <w:p>
      <w:pPr>
        <w:pStyle w:val="Heading2"/>
      </w:pPr>
      <w:r>
        <w:rPr>
          <w:color w:val="1F3864"/>
        </w:rPr>
        <w:t>Forescout Refresh — Procurement Status</w:t>
      </w:r>
    </w:p>
    <w:p>
      <w:pPr>
        <w:spacing w:after="120"/>
      </w:pPr>
      <w:r>
        <w:rPr>
          <w:b w:val="0"/>
          <w:i w:val="0"/>
          <w:sz w:val="20"/>
        </w:rPr>
        <w:t xml:space="preserve">The hardware refresh — Workstream 1 and the gate for the entire program — experienced a </w:t>
      </w:r>
      <w:r>
        <w:rPr>
          <w:b/>
          <w:i w:val="0"/>
          <w:sz w:val="20"/>
        </w:rPr>
        <w:t>four-month procurement delay</w:t>
      </w:r>
      <w:r>
        <w:rPr>
          <w:b w:val="0"/>
          <w:i w:val="0"/>
          <w:sz w:val="20"/>
        </w:rPr>
        <w:t xml:space="preserve"> from three compounding factors:</w:t>
      </w:r>
    </w:p>
    <w:p>
      <w:pPr>
        <w:pStyle w:val="ListNumber"/>
        <w:spacing w:after="60"/>
      </w:pPr>
      <w:r>
        <w:rPr>
          <w:sz w:val="20"/>
        </w:rPr>
        <w:t xml:space="preserve">CVS and Forescout required an updated </w:t>
      </w:r>
      <w:r>
        <w:rPr>
          <w:b/>
          <w:sz w:val="20"/>
        </w:rPr>
        <w:t>Master Service Agreement</w:t>
      </w:r>
      <w:r>
        <w:rPr>
          <w:sz w:val="20"/>
        </w:rPr>
        <w:t xml:space="preserve"> before any new deal could be structured</w:t>
      </w:r>
    </w:p>
    <w:p>
      <w:pPr>
        <w:pStyle w:val="ListNumber"/>
        <w:spacing w:after="60"/>
      </w:pPr>
      <w:r>
        <w:rPr>
          <w:sz w:val="20"/>
        </w:rPr>
        <w:t xml:space="preserve">Procurement ran a </w:t>
      </w:r>
      <w:r>
        <w:rPr>
          <w:b/>
          <w:sz w:val="20"/>
        </w:rPr>
        <w:t>competitive bid with three vendors</w:t>
      </w:r>
      <w:r>
        <w:rPr>
          <w:sz w:val="20"/>
        </w:rPr>
        <w:t xml:space="preserve"> rather than a direct renewal — appropriate governance, but significant elapsed time</w:t>
      </w:r>
    </w:p>
    <w:p>
      <w:pPr>
        <w:pStyle w:val="ListNumber"/>
        <w:spacing w:after="60"/>
      </w:pPr>
      <w:r>
        <w:rPr>
          <w:sz w:val="20"/>
        </w:rPr>
        <w:t xml:space="preserve">A </w:t>
      </w:r>
      <w:r>
        <w:rPr>
          <w:b/>
          <w:sz w:val="20"/>
        </w:rPr>
        <w:t>new partner was selected</w:t>
      </w:r>
      <w:r>
        <w:rPr>
          <w:sz w:val="20"/>
        </w:rPr>
        <w:t xml:space="preserve">, requiring full pricing negotiation from scratch — </w:t>
      </w:r>
      <w:r>
        <w:rPr>
          <w:b/>
          <w:sz w:val="20"/>
        </w:rPr>
        <w:t>cost increases resulted</w:t>
      </w:r>
      <w:r>
        <w:rPr>
          <w:sz w:val="20"/>
        </w:rPr>
        <w:t xml:space="preserve"> relative to a direct renewal path</w:t>
      </w:r>
    </w:p>
    <w:p>
      <w:pPr>
        <w:spacing w:after="120"/>
      </w:pPr>
      <w:r>
        <w:rPr>
          <w:b/>
          <w:i w:val="0"/>
          <w:sz w:val="20"/>
        </w:rPr>
        <w:t xml:space="preserve">Current position: </w:t>
      </w:r>
      <w:r>
        <w:rPr>
          <w:b w:val="0"/>
          <w:i w:val="0"/>
          <w:sz w:val="20"/>
        </w:rPr>
        <w:t xml:space="preserve">MSA updated. Vendor selected. Pricing finalized. Contract ready to execute. Hardware installation completes </w:t>
      </w:r>
      <w:r>
        <w:rPr>
          <w:b/>
          <w:i w:val="0"/>
          <w:sz w:val="20"/>
        </w:rPr>
        <w:t>30–45 days post-signature</w:t>
      </w:r>
      <w:r>
        <w:rPr>
          <w:b w:val="0"/>
          <w:i w:val="0"/>
          <w:sz w:val="20"/>
        </w:rPr>
        <w:t xml:space="preserve"> — meeting the current scheduled EOL for the existing platform. We will not operate on end-of-support infrastructure beyond its lifecycle.</w:t>
      </w:r>
    </w:p>
    <w:p>
      <w:pPr>
        <w:spacing w:after="120"/>
      </w:pPr>
      <w:r>
        <w:rPr>
          <w:b/>
          <w:i w:val="0"/>
          <w:sz w:val="20"/>
        </w:rPr>
        <w:t xml:space="preserve">The risk: </w:t>
      </w:r>
      <w:r>
        <w:rPr>
          <w:b w:val="0"/>
          <w:i w:val="0"/>
          <w:sz w:val="20"/>
        </w:rPr>
        <w:t>Four months of program float has been consumed. The Validation 1 POC start date must be pressure-tested against the revised hardware delivery date immediately.</w:t>
      </w:r>
    </w:p>
    <w:p>
      <w:pPr>
        <w:pBdr>
          <w:bottom w:val="single" w:sz="6" w:space="1" w:color="1F3864"/>
        </w:pBdr>
        <w:spacing w:after="120"/>
      </w:pPr>
    </w:p>
    <w:p>
      <w:pPr>
        <w:pStyle w:val="Heading2"/>
      </w:pPr>
      <w:r>
        <w:rPr>
          <w:color w:val="1F3864"/>
        </w:rPr>
        <w:t>Phase 2 IoT — MAB + L3 ACL Per Device Class</w:t>
      </w:r>
    </w:p>
    <w:p>
      <w:pPr>
        <w:spacing w:after="120"/>
      </w:pPr>
      <w:r>
        <w:rPr>
          <w:b w:val="0"/>
          <w:i w:val="0"/>
          <w:sz w:val="20"/>
        </w:rPr>
        <w:t xml:space="preserve">Phase 2 IoT enforcement uses the identical MAB + L3 ACL mechanism, with </w:t>
      </w:r>
      <w:r>
        <w:rPr>
          <w:b/>
          <w:i w:val="0"/>
          <w:sz w:val="20"/>
        </w:rPr>
        <w:t>device class driving the ACL policy</w:t>
      </w:r>
      <w:r>
        <w:rPr>
          <w:b w:val="0"/>
          <w:i w:val="0"/>
          <w:sz w:val="20"/>
        </w:rPr>
        <w:t xml:space="preserve"> rather than posture score. Before Stage 2 IoT enforcement activates at any site, the per-device-class L3 ACL must be defined, approved by site operations, and validated — permitting only the specific destinations each device class legitimately requires and blocking all else. The IoT enforcement track is independent of the initial endpoint model and does not affect the success criteria or timeline of Phase 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IoT Stage</w:t>
            </w:r>
          </w:p>
        </w:tc>
        <w:tc>
          <w:tcPr>
            <w:tcW w:type="dxa" w:w="2160"/>
            <w:shd w:val="clear" w:color="auto" w:fill="1F3864"/>
          </w:tcPr>
          <w:p>
            <w:pPr>
              <w:jc w:val="center"/>
            </w:pPr>
            <w:r>
              <w:rPr>
                <w:b/>
                <w:color w:val="FFFFFF"/>
                <w:sz w:val="18"/>
              </w:rPr>
              <w:t>Timeline</w:t>
            </w:r>
          </w:p>
        </w:tc>
        <w:tc>
          <w:tcPr>
            <w:tcW w:type="dxa" w:w="2160"/>
            <w:shd w:val="clear" w:color="auto" w:fill="1F3864"/>
          </w:tcPr>
          <w:p>
            <w:pPr>
              <w:jc w:val="center"/>
            </w:pPr>
            <w:r>
              <w:rPr>
                <w:b/>
                <w:color w:val="FFFFFF"/>
                <w:sz w:val="18"/>
              </w:rPr>
              <w:t>Enforcement State</w:t>
            </w:r>
          </w:p>
        </w:tc>
        <w:tc>
          <w:tcPr>
            <w:tcW w:type="dxa" w:w="2160"/>
            <w:shd w:val="clear" w:color="auto" w:fill="1F3864"/>
          </w:tcPr>
          <w:p>
            <w:pPr>
              <w:jc w:val="center"/>
            </w:pPr>
            <w:r>
              <w:rPr>
                <w:b/>
                <w:color w:val="FFFFFF"/>
                <w:sz w:val="18"/>
              </w:rPr>
              <w:t>Requirement Before Activation</w:t>
            </w:r>
          </w:p>
        </w:tc>
      </w:tr>
      <w:tr>
        <w:tc>
          <w:tcPr>
            <w:tcW w:type="dxa" w:w="2160"/>
          </w:tcPr>
          <w:p>
            <w:r/>
            <w:r>
              <w:rPr>
                <w:sz w:val="18"/>
              </w:rPr>
              <w:t>1 — Discovery</w:t>
            </w:r>
          </w:p>
        </w:tc>
        <w:tc>
          <w:tcPr>
            <w:tcW w:type="dxa" w:w="2160"/>
          </w:tcPr>
          <w:p>
            <w:r/>
            <w:r>
              <w:rPr>
                <w:sz w:val="18"/>
              </w:rPr>
              <w:t>M1–M18</w:t>
            </w:r>
          </w:p>
        </w:tc>
        <w:tc>
          <w:tcPr>
            <w:tcW w:type="dxa" w:w="2160"/>
          </w:tcPr>
          <w:p>
            <w:r/>
            <w:r>
              <w:rPr>
                <w:sz w:val="18"/>
              </w:rPr>
              <w:t>None — monitor only</w:t>
            </w:r>
          </w:p>
        </w:tc>
        <w:tc>
          <w:tcPr>
            <w:tcW w:type="dxa" w:w="2160"/>
          </w:tcPr>
          <w:p>
            <w:r/>
            <w:r>
              <w:rPr>
                <w:sz w:val="18"/>
              </w:rPr>
              <w:t>Device inventory building</w:t>
            </w:r>
          </w:p>
        </w:tc>
      </w:tr>
      <w:tr>
        <w:tc>
          <w:tcPr>
            <w:tcW w:type="dxa" w:w="2160"/>
            <w:shd w:val="clear" w:color="auto" w:fill="DCE6F1"/>
          </w:tcPr>
          <w:p>
            <w:r/>
            <w:r>
              <w:rPr>
                <w:sz w:val="18"/>
              </w:rPr>
              <w:t>2 — Low-Risk IoT</w:t>
            </w:r>
          </w:p>
        </w:tc>
        <w:tc>
          <w:tcPr>
            <w:tcW w:type="dxa" w:w="2160"/>
            <w:shd w:val="clear" w:color="auto" w:fill="DCE6F1"/>
          </w:tcPr>
          <w:p>
            <w:r/>
            <w:r>
              <w:rPr>
                <w:sz w:val="18"/>
              </w:rPr>
              <w:t>M18–M30</w:t>
            </w:r>
          </w:p>
        </w:tc>
        <w:tc>
          <w:tcPr>
            <w:tcW w:type="dxa" w:w="2160"/>
            <w:shd w:val="clear" w:color="auto" w:fill="DCE6F1"/>
          </w:tcPr>
          <w:p>
            <w:r/>
            <w:r>
              <w:rPr>
                <w:sz w:val="18"/>
              </w:rPr>
              <w:t>MAB + L3 ACL per device class</w:t>
            </w:r>
          </w:p>
        </w:tc>
        <w:tc>
          <w:tcPr>
            <w:tcW w:type="dxa" w:w="2160"/>
            <w:shd w:val="clear" w:color="auto" w:fill="DCE6F1"/>
          </w:tcPr>
          <w:p>
            <w:r/>
            <w:r>
              <w:rPr>
                <w:sz w:val="18"/>
              </w:rPr>
              <w:t>Per-class ACL defined, approved, and validated</w:t>
            </w:r>
          </w:p>
        </w:tc>
      </w:tr>
      <w:tr>
        <w:tc>
          <w:tcPr>
            <w:tcW w:type="dxa" w:w="2160"/>
          </w:tcPr>
          <w:p>
            <w:r/>
            <w:r>
              <w:rPr>
                <w:sz w:val="18"/>
              </w:rPr>
              <w:t>3 — OT/SCADA</w:t>
            </w:r>
          </w:p>
        </w:tc>
        <w:tc>
          <w:tcPr>
            <w:tcW w:type="dxa" w:w="2160"/>
          </w:tcPr>
          <w:p>
            <w:r/>
            <w:r>
              <w:rPr>
                <w:sz w:val="18"/>
              </w:rPr>
              <w:t>M30+</w:t>
            </w:r>
          </w:p>
        </w:tc>
        <w:tc>
          <w:tcPr>
            <w:tcW w:type="dxa" w:w="2160"/>
          </w:tcPr>
          <w:p>
            <w:r/>
            <w:r>
              <w:rPr>
                <w:sz w:val="18"/>
              </w:rPr>
              <w:t>Allow-list only</w:t>
            </w:r>
          </w:p>
        </w:tc>
        <w:tc>
          <w:tcPr>
            <w:tcW w:type="dxa" w:w="2160"/>
          </w:tcPr>
          <w:p>
            <w:r/>
            <w:r>
              <w:rPr>
                <w:sz w:val="18"/>
              </w:rPr>
              <w:t>12-month behavioral baseline + per-device policy approval by site operations</w:t>
            </w:r>
          </w:p>
        </w:tc>
      </w:tr>
    </w:tbl>
    <w:p/>
    <w:p>
      <w:pPr>
        <w:pBdr>
          <w:bottom w:val="single" w:sz="6" w:space="1" w:color="1F3864"/>
        </w:pBdr>
        <w:spacing w:after="120"/>
      </w:pPr>
    </w:p>
    <w:p>
      <w:pPr>
        <w:pStyle w:val="Heading2"/>
      </w:pPr>
      <w:r>
        <w:rPr>
          <w:color w:val="1F3864"/>
        </w:rPr>
        <w:t>Decisions Required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pPr>
              <w:jc w:val="center"/>
            </w:pPr>
            <w:r>
              <w:rPr>
                <w:b/>
                <w:color w:val="FFFFFF"/>
                <w:sz w:val="18"/>
              </w:rPr>
              <w:t>Decision</w:t>
            </w:r>
          </w:p>
        </w:tc>
        <w:tc>
          <w:tcPr>
            <w:tcW w:type="dxa" w:w="2880"/>
            <w:shd w:val="clear" w:color="auto" w:fill="1F3864"/>
          </w:tcPr>
          <w:p>
            <w:pPr>
              <w:jc w:val="center"/>
            </w:pPr>
            <w:r>
              <w:rPr>
                <w:b/>
                <w:color w:val="FFFFFF"/>
                <w:sz w:val="18"/>
              </w:rPr>
              <w:t>Owner</w:t>
            </w:r>
          </w:p>
        </w:tc>
        <w:tc>
          <w:tcPr>
            <w:tcW w:type="dxa" w:w="2880"/>
            <w:shd w:val="clear" w:color="auto" w:fill="1F3864"/>
          </w:tcPr>
          <w:p>
            <w:pPr>
              <w:jc w:val="center"/>
            </w:pPr>
            <w:r>
              <w:rPr>
                <w:b/>
                <w:color w:val="FFFFFF"/>
                <w:sz w:val="18"/>
              </w:rPr>
              <w:t>Urgency</w:t>
            </w:r>
          </w:p>
        </w:tc>
      </w:tr>
      <w:tr>
        <w:tc>
          <w:tcPr>
            <w:tcW w:type="dxa" w:w="2880"/>
          </w:tcPr>
          <w:p>
            <w:r/>
            <w:r>
              <w:rPr>
                <w:sz w:val="18"/>
              </w:rPr>
              <w:t>Execute Forescout contract — sign and release hardware order</w:t>
            </w:r>
          </w:p>
        </w:tc>
        <w:tc>
          <w:tcPr>
            <w:tcW w:type="dxa" w:w="2880"/>
          </w:tcPr>
          <w:p>
            <w:r/>
            <w:r>
              <w:rPr>
                <w:sz w:val="18"/>
              </w:rPr>
              <w:t>Procurement / Leadership</w:t>
            </w:r>
          </w:p>
        </w:tc>
        <w:tc>
          <w:tcPr>
            <w:tcW w:type="dxa" w:w="2880"/>
          </w:tcPr>
          <w:p>
            <w:r/>
            <w:r>
              <w:rPr>
                <w:sz w:val="18"/>
              </w:rPr>
            </w:r>
            <w:r>
              <w:rPr>
                <w:b/>
                <w:sz w:val="18"/>
              </w:rPr>
              <w:t>Immediate</w:t>
            </w:r>
            <w:r>
              <w:rPr>
                <w:sz w:val="18"/>
              </w:rPr>
            </w:r>
          </w:p>
        </w:tc>
      </w:tr>
      <w:tr>
        <w:tc>
          <w:tcPr>
            <w:tcW w:type="dxa" w:w="2880"/>
            <w:shd w:val="clear" w:color="auto" w:fill="DCE6F1"/>
          </w:tcPr>
          <w:p>
            <w:r/>
            <w:r>
              <w:rPr>
                <w:sz w:val="18"/>
              </w:rPr>
              <w:t>Pressure-test Validation 1 POC start date against revised hardware delivery</w:t>
            </w:r>
          </w:p>
        </w:tc>
        <w:tc>
          <w:tcPr>
            <w:tcW w:type="dxa" w:w="2880"/>
            <w:shd w:val="clear" w:color="auto" w:fill="DCE6F1"/>
          </w:tcPr>
          <w:p>
            <w:r/>
            <w:r>
              <w:rPr>
                <w:sz w:val="18"/>
              </w:rPr>
              <w:t>Program / Security</w:t>
            </w:r>
          </w:p>
        </w:tc>
        <w:tc>
          <w:tcPr>
            <w:tcW w:type="dxa" w:w="2880"/>
            <w:shd w:val="clear" w:color="auto" w:fill="DCE6F1"/>
          </w:tcPr>
          <w:p>
            <w:r/>
            <w:r>
              <w:rPr>
                <w:sz w:val="18"/>
              </w:rPr>
              <w:t>This week</w:t>
            </w:r>
          </w:p>
        </w:tc>
      </w:tr>
      <w:tr>
        <w:tc>
          <w:tcPr>
            <w:tcW w:type="dxa" w:w="2880"/>
          </w:tcPr>
          <w:p>
            <w:r/>
            <w:r>
              <w:rPr>
                <w:sz w:val="18"/>
              </w:rPr>
              <w:t>Agreement on POC locations — Corporate, Distribution Center, and Mail Order</w:t>
            </w:r>
          </w:p>
        </w:tc>
        <w:tc>
          <w:tcPr>
            <w:tcW w:type="dxa" w:w="2880"/>
          </w:tcPr>
          <w:p>
            <w:r/>
            <w:r>
              <w:rPr>
                <w:sz w:val="18"/>
              </w:rPr>
              <w:t>Program Leadership</w:t>
            </w:r>
          </w:p>
        </w:tc>
        <w:tc>
          <w:tcPr>
            <w:tcW w:type="dxa" w:w="2880"/>
          </w:tcPr>
          <w:p>
            <w:r/>
            <w:r>
              <w:rPr>
                <w:sz w:val="18"/>
              </w:rPr>
              <w:t>This week</w:t>
            </w:r>
          </w:p>
        </w:tc>
      </w:tr>
      <w:tr>
        <w:tc>
          <w:tcPr>
            <w:tcW w:type="dxa" w:w="2880"/>
            <w:shd w:val="clear" w:color="auto" w:fill="DCE6F1"/>
          </w:tcPr>
          <w:p>
            <w:r/>
            <w:r>
              <w:rPr>
                <w:sz w:val="18"/>
              </w:rPr>
              <w:t>Agreement on project delivery timelines — with the understanding that the actual timetable is tied to completion of the Forescout renewal and deployment of new hardware; IoT elements are not critical to the start and success of the initial endpoint model</w:t>
            </w:r>
          </w:p>
        </w:tc>
        <w:tc>
          <w:tcPr>
            <w:tcW w:type="dxa" w:w="2880"/>
            <w:shd w:val="clear" w:color="auto" w:fill="DCE6F1"/>
          </w:tcPr>
          <w:p>
            <w:r/>
            <w:r>
              <w:rPr>
                <w:sz w:val="18"/>
              </w:rPr>
              <w:t>Program / Security / Leadership</w:t>
            </w:r>
          </w:p>
        </w:tc>
        <w:tc>
          <w:tcPr>
            <w:tcW w:type="dxa" w:w="2880"/>
            <w:shd w:val="clear" w:color="auto" w:fill="DCE6F1"/>
          </w:tcPr>
          <w:p>
            <w:r/>
            <w:r>
              <w:rPr>
                <w:sz w:val="18"/>
              </w:rPr>
              <w:t>Near-term</w:t>
            </w:r>
          </w:p>
        </w:tc>
      </w:tr>
      <w:tr>
        <w:tc>
          <w:tcPr>
            <w:tcW w:type="dxa" w:w="2880"/>
          </w:tcPr>
          <w:p>
            <w:r/>
            <w:r>
              <w:rPr>
                <w:sz w:val="18"/>
              </w:rPr>
              <w:t>Per-device-class IoT L3 ACL policy design — assign ownership and start date</w:t>
            </w:r>
          </w:p>
        </w:tc>
        <w:tc>
          <w:tcPr>
            <w:tcW w:type="dxa" w:w="2880"/>
          </w:tcPr>
          <w:p>
            <w:r/>
            <w:r>
              <w:rPr>
                <w:sz w:val="18"/>
              </w:rPr>
              <w:t>Security / Network / Site Ops</w:t>
            </w:r>
          </w:p>
        </w:tc>
        <w:tc>
          <w:tcPr>
            <w:tcW w:type="dxa" w:w="2880"/>
          </w:tcPr>
          <w:p>
            <w:r/>
            <w:r>
              <w:rPr>
                <w:sz w:val="18"/>
              </w:rPr>
              <w:t>Before Phase 2 planning locks</w:t>
            </w:r>
          </w:p>
        </w:tc>
      </w:tr>
      <w:tr>
        <w:tc>
          <w:tcPr>
            <w:tcW w:type="dxa" w:w="2880"/>
            <w:shd w:val="clear" w:color="auto" w:fill="DCE6F1"/>
          </w:tcPr>
          <w:p>
            <w:r/>
            <w:r>
              <w:rPr>
                <w:sz w:val="18"/>
              </w:rPr>
              <w:t>Quantify and document procurement cost delta for program budget record</w:t>
            </w:r>
          </w:p>
        </w:tc>
        <w:tc>
          <w:tcPr>
            <w:tcW w:type="dxa" w:w="2880"/>
            <w:shd w:val="clear" w:color="auto" w:fill="DCE6F1"/>
          </w:tcPr>
          <w:p>
            <w:r/>
            <w:r>
              <w:rPr>
                <w:sz w:val="18"/>
              </w:rPr>
              <w:t>Finance / Procurement</w:t>
            </w:r>
          </w:p>
        </w:tc>
        <w:tc>
          <w:tcPr>
            <w:tcW w:type="dxa" w:w="2880"/>
            <w:shd w:val="clear" w:color="auto" w:fill="DCE6F1"/>
          </w:tcPr>
          <w:p>
            <w:r/>
            <w:r>
              <w:rPr>
                <w:sz w:val="18"/>
              </w:rPr>
              <w:t>Near-term</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