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200" w:before="0"/>
        <w:jc w:val="center"/>
      </w:pPr>
      <w:r>
        <w:rPr>
          <w:rFonts w:ascii="Arial" w:cs="Arial" w:eastAsia="Arial" w:hAnsi="Arial"/>
          <w:color w:val="595959"/>
          <w:sz w:val="22"/>
          <w:szCs w:val="22"/>
        </w:rPr>
        <w:t xml:space="preserve">CVS Health  ·  CCD Platform  ·  Information Security</w:t>
      </w:r>
    </w:p>
    <w:p>
      <w:pPr>
        <w:spacing w:after="80" w:before="0"/>
        <w:jc w:val="center"/>
      </w:pPr>
      <w:r>
        <w:rPr>
          <w:rFonts w:ascii="Arial" w:cs="Arial" w:eastAsia="Arial" w:hAnsi="Arial"/>
          <w:b/>
          <w:bCs/>
          <w:color w:val="1F3864"/>
          <w:sz w:val="60"/>
          <w:szCs w:val="60"/>
        </w:rPr>
        <w:t xml:space="preserve">Firewall Traffic Report</w:t>
      </w:r>
    </w:p>
    <w:p>
      <w:pPr>
        <w:spacing w:after="80" w:before="0"/>
        <w:jc w:val="center"/>
      </w:pPr>
      <w:r>
        <w:rPr>
          <w:rFonts w:ascii="Arial" w:cs="Arial" w:eastAsia="Arial" w:hAnsi="Arial"/>
          <w:color w:val="2E75B6"/>
          <w:sz w:val="38"/>
          <w:szCs w:val="38"/>
        </w:rPr>
        <w:t xml:space="preserve">How to Read the Web Report</w:t>
      </w:r>
    </w:p>
    <w:p>
      <w:pPr>
        <w:spacing w:after="40" w:before="40"/>
      </w:pPr>
      <w:r>
        <w:t xml:space="preserve"/>
      </w:r>
    </w:p>
    <w:p>
      <w:pPr>
        <w:spacing w:after="40" w:before="40"/>
      </w:pPr>
      <w:r>
        <w:t xml:space="preserve"/>
      </w:r>
    </w:p>
    <w:p>
      <w:pPr>
        <w:spacing w:after="60" w:before="0"/>
        <w:jc w:val="center"/>
      </w:pPr>
      <w:r>
        <w:rPr>
          <w:rFonts w:ascii="Arial" w:cs="Arial" w:eastAsia="Arial" w:hAnsi="Arial"/>
          <w:color w:val="595959"/>
          <w:sz w:val="22"/>
          <w:szCs w:val="22"/>
        </w:rPr>
        <w:t xml:space="preserve">A guide for network security engineers and policy reviewers</w:t>
      </w:r>
    </w:p>
    <w:p>
      <w:pPr>
        <w:spacing w:after="40" w:before="0"/>
        <w:jc w:val="center"/>
      </w:pPr>
      <w:r>
        <w:rPr>
          <w:rFonts w:ascii="Arial" w:cs="Arial" w:eastAsia="Arial" w:hAnsi="Arial"/>
          <w:color w:val="595959"/>
          <w:sz w:val="22"/>
          <w:szCs w:val="22"/>
        </w:rPr>
        <w:t xml:space="preserve">April 2026</w:t>
      </w:r>
    </w:p>
    <w:p>
      <w:r>
        <w:br w:type="page"/>
      </w:r>
    </w:p>
    <w:p>
      <w:pPr>
        <w:pStyle w:val="Heading1"/>
        <w:spacing w:after="120" w:before="400"/>
      </w:pPr>
      <w:r>
        <w:rPr>
          <w:rFonts w:ascii="Arial" w:cs="Arial" w:eastAsia="Arial" w:hAnsi="Arial"/>
          <w:b/>
          <w:bCs/>
          <w:color w:val="1F3864"/>
          <w:sz w:val="36"/>
          <w:szCs w:val="36"/>
        </w:rPr>
        <w:t xml:space="preserve">1. Opening the Report</w:t>
      </w:r>
    </w:p>
    <w:p>
      <w:pPr>
        <w:spacing w:after="80" w:before="60"/>
      </w:pPr>
      <w:r>
        <w:rPr>
          <w:rFonts w:ascii="Arial" w:cs="Arial" w:eastAsia="Arial" w:hAnsi="Arial"/>
          <w:sz w:val="22"/>
          <w:szCs w:val="22"/>
        </w:rPr>
        <w:t xml:space="preserve">The report is a single .html file. Open it in any modern browser — Chrome, Firefox, Edge, or Safari. No internet connection is required; all data is self-contained inside the file. It will not work correctly in Internet Explorer.</w:t>
      </w:r>
    </w:p>
    <w:p>
      <w:pPr>
        <w:spacing w:after="40" w:before="40"/>
      </w:pPr>
      <w:r>
        <w:t xml:space="preserve"/>
      </w:r>
    </w:p>
    <w:p>
      <w:pPr>
        <w:spacing w:after="80" w:before="60"/>
      </w:pPr>
      <w:r>
        <w:rPr>
          <w:rFonts w:ascii="Arial" w:cs="Arial" w:eastAsia="Arial" w:hAnsi="Arial"/>
          <w:b/>
          <w:bCs/>
          <w:sz w:val="22"/>
          <w:szCs w:val="22"/>
        </w:rPr>
        <w:t xml:space="preserve">File naming: </w:t>
      </w:r>
      <w:r>
        <w:rPr>
          <w:rFonts w:ascii="Arial" w:cs="Arial" w:eastAsia="Arial" w:hAnsi="Arial"/>
          <w:sz w:val="22"/>
          <w:szCs w:val="22"/>
        </w:rPr>
        <w:t xml:space="preserve">fw_report_XXXXXX-YYYYMMDD.html — the number is the sequential report number, the date is when the report was generated.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5E8F0" w:val="clear"/>
            <w:tcMar>
              <w:top w:type="dxa" w:w="100"/>
              <w:left w:type="dxa" w:w="180"/>
              <w:bottom w:type="dxa" w:w="100"/>
              <w:right w:type="dxa" w:w="180"/>
            </w:tcMar>
          </w:tcPr>
          <w:p>
            <w:pPr>
              <w:spacing w:after="40" w:before="40"/>
            </w:pPr>
            <w:r>
              <w:rPr>
                <w:rFonts w:ascii="Arial" w:cs="Arial" w:eastAsia="Arial" w:hAnsi="Arial"/>
                <w:b/>
                <w:bCs/>
                <w:color w:val="2E75B6"/>
                <w:sz w:val="20"/>
                <w:szCs w:val="20"/>
              </w:rPr>
              <w:t xml:space="preserve">💡  </w:t>
            </w:r>
            <w:r>
              <w:rPr>
                <w:rFonts w:ascii="Arial" w:cs="Arial" w:eastAsia="Arial" w:hAnsi="Arial"/>
                <w:b/>
                <w:bCs/>
                <w:color w:val="2E75B6"/>
                <w:sz w:val="20"/>
                <w:szCs w:val="20"/>
              </w:rPr>
              <w:t xml:space="preserve">Tip:  </w:t>
            </w:r>
            <w:r>
              <w:rPr>
                <w:rFonts w:ascii="Arial" w:cs="Arial" w:eastAsia="Arial" w:hAnsi="Arial"/>
                <w:color w:val="333333"/>
                <w:sz w:val="20"/>
                <w:szCs w:val="20"/>
              </w:rPr>
              <w:t xml:space="preserve">If the report feels slow to open on a very large log file, use Chrome. Chrome handles the virtual scroll and on-demand card rendering most efficiently.</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1.1  Navigation Bar</w:t>
      </w:r>
    </w:p>
    <w:p>
      <w:pPr>
        <w:spacing w:after="80" w:before="60"/>
      </w:pPr>
      <w:r>
        <w:rPr>
          <w:rFonts w:ascii="Arial" w:cs="Arial" w:eastAsia="Arial" w:hAnsi="Arial"/>
          <w:sz w:val="22"/>
          <w:szCs w:val="22"/>
        </w:rPr>
        <w:t xml:space="preserve">Seven tab buttons run across the top of the page. Click any tab to switch views. The active tab is highlighted in blue. Some tabs only render their content when you first click them — this is intentional to keep the initial load fast.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716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Tab</w:t>
            </w:r>
          </w:p>
        </w:tc>
        <w:tc>
          <w:tcPr>
            <w:tcW w:type="dxa" w:w="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Icon</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What It Shows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Rules</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Every firewall rule candidate derived from the log — the primary working view</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Source IPs</w:t>
            </w:r>
          </w:p>
        </w:tc>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Source hosts grouped by subnet, with per-host inventory detail</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Source Locations</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Source traffic aggregated by site type and physical location</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Destinations</w:t>
            </w:r>
          </w:p>
        </w:tc>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All unique destination IPs with provider, country, and risk enrichment</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RFC Violations</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Traffic destined for private/bogon address space in an internet-facing zone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Flow Map</w:t>
            </w:r>
          </w:p>
        </w:tc>
        <w:tc>
          <w:tcPr>
            <w:tcW w:type="dxa" w:w="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Visual Sankey diagram of source location to destination provider flows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Optimized Policy</w:t>
            </w:r>
          </w:p>
        </w:tc>
        <w:tc>
          <w:tcPr>
            <w:tcW w:type="dxa" w:w="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Proposed Palo Alto security rules derived from observed traffic patterns</w:t>
            </w:r>
          </w:p>
        </w:tc>
      </w:tr>
    </w:tbl>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2. Summary Bar</w:t>
      </w:r>
    </w:p>
    <w:p>
      <w:pPr>
        <w:spacing w:after="80" w:before="60"/>
      </w:pPr>
      <w:r>
        <w:rPr>
          <w:rFonts w:ascii="Arial" w:cs="Arial" w:eastAsia="Arial" w:hAnsi="Arial"/>
          <w:sz w:val="22"/>
          <w:szCs w:val="22"/>
        </w:rPr>
        <w:t xml:space="preserve">Immediately below the navigation bar is a row of metric tiles. These give a quick health-check of the log data before you dive into individual rules.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Metric</w:t>
            </w:r>
          </w:p>
        </w:tc>
        <w:tc>
          <w:tcPr>
            <w:tcW w:type="dxa" w:w="3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What It Means</w:t>
            </w:r>
          </w:p>
        </w:tc>
        <w:tc>
          <w:tcPr>
            <w:tcW w:type="dxa" w:w="3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What to Watch For</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Sessions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Total established firewall sessions in the log after the packet-count filter is applied</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Unusually low number may indicate the log export was too narrow or the filter was too aggressive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Rules</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Distinct (src IP, dest IP, port) combinations — each is one potential firewall rule</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Very high rule counts (&gt;10,000) often indicate unregistered subnets flooding the policy with catch-all entries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REVIEW</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Rules flagged for human investigation before a policy decision can be made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Non-zero is normal; anything above ~50 warrants systematic triage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ALLOW</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Rules classified as safe to implement after review</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The target state — all traffic should eventually be either ALLOW or explicitly BLOCK</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MONITOR</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Rules collapsed per /24 subnet — standard traffic not requiring immediate action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Large MONITOR count with no hostnames = coverage gap in ent_host_master</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Source /24s</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Distinct source subnets observed</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Compare against IPAM — subnets not in IPAM are shown in amber</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Dest IPs</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Unique destination IPs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High count relative to sessions suggests many one-off connections worth reviewing</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PCI Sources</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Source subnets flagged as PCI in IPAM</w:t>
            </w:r>
          </w:p>
        </w:tc>
        <w:tc>
          <w:tcPr>
            <w:tcW w:type="dxa" w:w="3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Any PCI source with REVIEW-class rules requires security review before policy change</w:t>
            </w:r>
          </w:p>
        </w:tc>
      </w:tr>
    </w:tbl>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3. Rules Tab  🔍</w:t>
      </w:r>
    </w:p>
    <w:p>
      <w:pPr>
        <w:spacing w:after="80" w:before="60"/>
      </w:pPr>
      <w:r>
        <w:rPr>
          <w:rFonts w:ascii="Arial" w:cs="Arial" w:eastAsia="Arial" w:hAnsi="Arial"/>
          <w:sz w:val="22"/>
          <w:szCs w:val="22"/>
        </w:rPr>
        <w:t xml:space="preserve">The Rules tab is the primary working view. Each card represents one proposed firewall rule — a unique combination of source IP, destination IP, port, and PA App-ID. Cards are sorted by session count by default (most active traffic first).</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3.1  Rule Action Colours</w:t>
      </w:r>
    </w:p>
    <w:p>
      <w:pPr>
        <w:spacing w:after="80" w:before="60"/>
      </w:pPr>
      <w:r>
        <w:rPr>
          <w:rFonts w:ascii="Arial" w:cs="Arial" w:eastAsia="Arial" w:hAnsi="Arial"/>
          <w:sz w:val="22"/>
          <w:szCs w:val="22"/>
        </w:rPr>
        <w:t xml:space="preserve">Every card has a coloured action badge in the top-left corner. This is the most important signal in the report: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E2EFDA"/>
                <w:sz w:val="18"/>
                <w:szCs w:val="18"/>
                <w:shd w:fill="1A4A1A" w:val="clear"/>
              </w:rPr>
              <w:t xml:space="preserve"> ALLOW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Traffic to a known-good destination on an expected port. Safe to implement as a PA security rule after validation.</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C000"/>
                <w:sz w:val="18"/>
                <w:szCs w:val="18"/>
                <w:shd w:fill="3A2A00" w:val="clear"/>
              </w:rPr>
              <w:t xml:space="preserve"> REVIEW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Requires human investigation before a policy decision. Common causes: unusual destination, sensitive port (SSH/LDAP/SNMP), non-approved cloud provider, or unknown App-ID.</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6AB0FF"/>
                <w:sz w:val="18"/>
                <w:szCs w:val="18"/>
                <w:shd w:fill="0A1A3A" w:val="clear"/>
              </w:rPr>
              <w:t xml:space="preserve"> MONITOR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Standard background traffic (media, ephemeral ports, unknown app context). Collapsed per /24 to reduce noise. No immediate action required but should be understood.</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6666"/>
                <w:sz w:val="18"/>
                <w:szCs w:val="18"/>
                <w:shd w:fill="3A0000" w:val="clear"/>
              </w:rPr>
              <w:t xml:space="preserve"> BLOCK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Explicit deny required. RFC address space violations (route leaks, NAT failures) that are not normal WebRTC media traffic.</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3.2  Rule Card — Collapsed View</w:t>
      </w:r>
    </w:p>
    <w:p>
      <w:pPr>
        <w:spacing w:after="80" w:before="60"/>
      </w:pPr>
      <w:r>
        <w:rPr>
          <w:rFonts w:ascii="Arial" w:cs="Arial" w:eastAsia="Arial" w:hAnsi="Arial"/>
          <w:sz w:val="22"/>
          <w:szCs w:val="22"/>
        </w:rPr>
        <w:t xml:space="preserve">The one-line collapsed view shows the most critical fields at a glance: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Field</w:t>
            </w:r>
          </w:p>
        </w:tc>
        <w:tc>
          <w:tcPr>
            <w:tcW w:type="dxa" w:w="69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What It Shows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Action badge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ALLOW / REVIEW / MONITOR / BLOCK with colour coding</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Source IP</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The /32 source address as seen in the firewall log</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Hostname</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Resolved from ent_host_master, or inferred by hostname translation (shows ⟳ HT badge if inferred)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Source site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Location from IPAM subnet — e.g. "Scottsdale AZ - Shea DC"</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Destination IP + port</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The firewall session destination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Provider</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Cloud provider or ASN org name — e.g. "Microsoft Azure", "Google", "Hetzner Online GmbH"</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PA App-ID</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The Palo Alto application identifier — e.g. ssl, tanium, stun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Sessions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Number of sessions aggregated into this rule in the log window</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3.3  Rule Card — Expanded View</w:t>
      </w:r>
    </w:p>
    <w:p>
      <w:pPr>
        <w:spacing w:after="80" w:before="60"/>
      </w:pPr>
      <w:r>
        <w:rPr>
          <w:rFonts w:ascii="Arial" w:cs="Arial" w:eastAsia="Arial" w:hAnsi="Arial"/>
          <w:b/>
          <w:bCs/>
          <w:sz w:val="22"/>
          <w:szCs w:val="22"/>
        </w:rPr>
        <w:t xml:space="preserve">Click any card</w:t>
      </w:r>
      <w:r>
        <w:rPr>
          <w:rFonts w:ascii="Arial" w:cs="Arial" w:eastAsia="Arial" w:hAnsi="Arial"/>
          <w:sz w:val="22"/>
          <w:szCs w:val="22"/>
        </w:rPr>
        <w:t xml:space="preserve"> to expand it. The expanded view is divided into three panels:</w:t>
      </w:r>
    </w:p>
    <w:p>
      <w:pPr>
        <w:spacing w:after="40" w:before="40"/>
      </w:pPr>
      <w:r>
        <w:t xml:space="preserve"/>
      </w:r>
    </w:p>
    <w:p>
      <w:pPr>
        <w:pStyle w:val="Heading3"/>
        <w:spacing w:after="60" w:before="200"/>
      </w:pPr>
      <w:r>
        <w:rPr>
          <w:rFonts w:ascii="Arial" w:cs="Arial" w:eastAsia="Arial" w:hAnsi="Arial"/>
          <w:b/>
          <w:bCs/>
          <w:color w:val="00707A"/>
          <w:sz w:val="24"/>
          <w:szCs w:val="24"/>
        </w:rPr>
        <w:t xml:space="preserve">Left Panel — Source Context</w:t>
      </w:r>
    </w:p>
    <w:p>
      <w:pPr>
        <w:spacing w:after="80" w:before="60"/>
      </w:pPr>
      <w:r>
        <w:rPr>
          <w:rFonts w:ascii="Arial" w:cs="Arial" w:eastAsia="Arial" w:hAnsi="Arial"/>
          <w:sz w:val="22"/>
          <w:szCs w:val="22"/>
        </w:rPr>
        <w:t xml:space="preserve">Shows everything known about the source host and its subnet:</w:t>
      </w:r>
    </w:p>
    <w:p>
      <w:pPr>
        <w:pStyle w:val="ListParagraph"/>
        <w:numPr>
          <w:ilvl w:val="0"/>
          <w:numId w:val="2"/>
        </w:numPr>
        <w:spacing w:after="40" w:before="40"/>
      </w:pPr>
      <w:r>
        <w:rPr>
          <w:rFonts w:ascii="Arial" w:cs="Arial" w:eastAsia="Arial" w:hAnsi="Arial"/>
          <w:b/>
          <w:bCs/>
          <w:sz w:val="22"/>
          <w:szCs w:val="22"/>
        </w:rPr>
        <w:t xml:space="preserve">Hostname &amp; FQDN </w:t>
      </w:r>
      <w:r>
        <w:rPr>
          <w:rFonts w:ascii="Arial" w:cs="Arial" w:eastAsia="Arial" w:hAnsi="Arial"/>
          <w:sz w:val="22"/>
          <w:szCs w:val="22"/>
        </w:rPr>
        <w:t xml:space="preserve">— full name from ent_host_master</w:t>
      </w:r>
    </w:p>
    <w:p>
      <w:pPr>
        <w:pStyle w:val="ListParagraph"/>
        <w:numPr>
          <w:ilvl w:val="0"/>
          <w:numId w:val="2"/>
        </w:numPr>
        <w:spacing w:after="40" w:before="40"/>
      </w:pPr>
      <w:r>
        <w:rPr>
          <w:rFonts w:ascii="Arial" w:cs="Arial" w:eastAsia="Arial" w:hAnsi="Arial"/>
          <w:b/>
          <w:bCs/>
          <w:sz w:val="22"/>
          <w:szCs w:val="22"/>
        </w:rPr>
        <w:t xml:space="preserve">OS </w:t>
      </w:r>
      <w:r>
        <w:rPr>
          <w:rFonts w:ascii="Arial" w:cs="Arial" w:eastAsia="Arial" w:hAnsi="Arial"/>
          <w:sz w:val="22"/>
          <w:szCs w:val="22"/>
        </w:rPr>
        <w:t xml:space="preserve">— operating system from ENT (e.g. RHEL/Linux, Windows Server)</w:t>
      </w:r>
    </w:p>
    <w:p>
      <w:pPr>
        <w:pStyle w:val="ListParagraph"/>
        <w:numPr>
          <w:ilvl w:val="0"/>
          <w:numId w:val="2"/>
        </w:numPr>
        <w:spacing w:after="40" w:before="40"/>
      </w:pPr>
      <w:r>
        <w:rPr>
          <w:rFonts w:ascii="Arial" w:cs="Arial" w:eastAsia="Arial" w:hAnsi="Arial"/>
          <w:b/>
          <w:bCs/>
          <w:sz w:val="22"/>
          <w:szCs w:val="22"/>
        </w:rPr>
        <w:t xml:space="preserve">App / APM ID </w:t>
      </w:r>
      <w:r>
        <w:rPr>
          <w:rFonts w:ascii="Arial" w:cs="Arial" w:eastAsia="Arial" w:hAnsi="Arial"/>
          <w:sz w:val="22"/>
          <w:szCs w:val="22"/>
        </w:rPr>
        <w:t xml:space="preserve">— application identity and APM reference number</w:t>
      </w:r>
    </w:p>
    <w:p>
      <w:pPr>
        <w:pStyle w:val="ListParagraph"/>
        <w:numPr>
          <w:ilvl w:val="0"/>
          <w:numId w:val="2"/>
        </w:numPr>
        <w:spacing w:after="40" w:before="40"/>
      </w:pPr>
      <w:r>
        <w:rPr>
          <w:rFonts w:ascii="Arial" w:cs="Arial" w:eastAsia="Arial" w:hAnsi="Arial"/>
          <w:b/>
          <w:bCs/>
          <w:sz w:val="22"/>
          <w:szCs w:val="22"/>
        </w:rPr>
        <w:t xml:space="preserve">Environment </w:t>
      </w:r>
      <w:r>
        <w:rPr>
          <w:rFonts w:ascii="Arial" w:cs="Arial" w:eastAsia="Arial" w:hAnsi="Arial"/>
          <w:sz w:val="22"/>
          <w:szCs w:val="22"/>
        </w:rPr>
        <w:t xml:space="preserve">— PROD, DEV, TEST, STG</w:t>
      </w:r>
    </w:p>
    <w:p>
      <w:pPr>
        <w:pStyle w:val="ListParagraph"/>
        <w:numPr>
          <w:ilvl w:val="0"/>
          <w:numId w:val="2"/>
        </w:numPr>
        <w:spacing w:after="40" w:before="40"/>
      </w:pPr>
      <w:r>
        <w:rPr>
          <w:rFonts w:ascii="Arial" w:cs="Arial" w:eastAsia="Arial" w:hAnsi="Arial"/>
          <w:b/>
          <w:bCs/>
          <w:sz w:val="22"/>
          <w:szCs w:val="22"/>
        </w:rPr>
        <w:t xml:space="preserve">Business Unit / Heritage </w:t>
      </w:r>
      <w:r>
        <w:rPr>
          <w:rFonts w:ascii="Arial" w:cs="Arial" w:eastAsia="Arial" w:hAnsi="Arial"/>
          <w:sz w:val="22"/>
          <w:szCs w:val="22"/>
        </w:rPr>
        <w:t xml:space="preserve">— CVS or AETNA origin</w:t>
      </w:r>
    </w:p>
    <w:p>
      <w:pPr>
        <w:pStyle w:val="ListParagraph"/>
        <w:numPr>
          <w:ilvl w:val="0"/>
          <w:numId w:val="2"/>
        </w:numPr>
        <w:spacing w:after="40" w:before="40"/>
      </w:pPr>
      <w:r>
        <w:rPr>
          <w:rFonts w:ascii="Arial" w:cs="Arial" w:eastAsia="Arial" w:hAnsi="Arial"/>
          <w:b/>
          <w:bCs/>
          <w:sz w:val="22"/>
          <w:szCs w:val="22"/>
        </w:rPr>
        <w:t xml:space="preserve">Data sources </w:t>
      </w:r>
      <w:r>
        <w:rPr>
          <w:rFonts w:ascii="Arial" w:cs="Arial" w:eastAsia="Arial" w:hAnsi="Arial"/>
          <w:sz w:val="22"/>
          <w:szCs w:val="22"/>
        </w:rPr>
        <w:t xml:space="preserve">— SNOW (ServiceNow), ADL (Qualys), WIZ badges showing where the host record came from</w:t>
      </w:r>
    </w:p>
    <w:p>
      <w:pPr>
        <w:pStyle w:val="ListParagraph"/>
        <w:numPr>
          <w:ilvl w:val="0"/>
          <w:numId w:val="2"/>
        </w:numPr>
        <w:spacing w:after="40" w:before="40"/>
      </w:pPr>
      <w:r>
        <w:rPr>
          <w:rFonts w:ascii="Arial" w:cs="Arial" w:eastAsia="Arial" w:hAnsi="Arial"/>
          <w:b/>
          <w:bCs/>
          <w:sz w:val="22"/>
          <w:szCs w:val="22"/>
        </w:rPr>
        <w:t xml:space="preserve">CSNA path </w:t>
      </w:r>
      <w:r>
        <w:rPr>
          <w:rFonts w:ascii="Arial" w:cs="Arial" w:eastAsia="Arial" w:hAnsi="Arial"/>
          <w:sz w:val="22"/>
          <w:szCs w:val="22"/>
        </w:rPr>
        <w:t xml:space="preserve">— Stealthwatch host group path this host belongs to</w:t>
      </w:r>
    </w:p>
    <w:p>
      <w:pPr>
        <w:spacing w:after="40" w:before="40"/>
      </w:pPr>
      <w:r>
        <w:t xml:space="preserve"/>
      </w:r>
    </w:p>
    <w:p>
      <w:pPr>
        <w:pStyle w:val="Heading3"/>
        <w:spacing w:after="60" w:before="200"/>
      </w:pPr>
      <w:r>
        <w:rPr>
          <w:rFonts w:ascii="Arial" w:cs="Arial" w:eastAsia="Arial" w:hAnsi="Arial"/>
          <w:b/>
          <w:bCs/>
          <w:color w:val="00707A"/>
          <w:sz w:val="24"/>
          <w:szCs w:val="24"/>
        </w:rPr>
        <w:t xml:space="preserve">Centre Panel — Subnet Context</w:t>
      </w:r>
    </w:p>
    <w:p>
      <w:pPr>
        <w:spacing w:after="80" w:before="60"/>
      </w:pPr>
      <w:r>
        <w:rPr>
          <w:rFonts w:ascii="Arial" w:cs="Arial" w:eastAsia="Arial" w:hAnsi="Arial"/>
          <w:sz w:val="22"/>
          <w:szCs w:val="22"/>
        </w:rPr>
        <w:t xml:space="preserve">Shows the IPAM entry for the source /24 (or LPM-matched subnet):</w:t>
      </w:r>
    </w:p>
    <w:p>
      <w:pPr>
        <w:pStyle w:val="ListParagraph"/>
        <w:numPr>
          <w:ilvl w:val="0"/>
          <w:numId w:val="2"/>
        </w:numPr>
        <w:spacing w:after="40" w:before="40"/>
      </w:pPr>
      <w:r>
        <w:rPr>
          <w:rFonts w:ascii="Arial" w:cs="Arial" w:eastAsia="Arial" w:hAnsi="Arial"/>
          <w:b/>
          <w:bCs/>
          <w:sz w:val="22"/>
          <w:szCs w:val="22"/>
        </w:rPr>
        <w:t xml:space="preserve">Subnet CIDR </w:t>
      </w:r>
      <w:r>
        <w:rPr>
          <w:rFonts w:ascii="Arial" w:cs="Arial" w:eastAsia="Arial" w:hAnsi="Arial"/>
          <w:sz w:val="22"/>
          <w:szCs w:val="22"/>
        </w:rPr>
        <w:t xml:space="preserve">— the registered subnet this IP belongs to</w:t>
      </w:r>
    </w:p>
    <w:p>
      <w:pPr>
        <w:pStyle w:val="ListParagraph"/>
        <w:numPr>
          <w:ilvl w:val="0"/>
          <w:numId w:val="2"/>
        </w:numPr>
        <w:spacing w:after="40" w:before="40"/>
      </w:pPr>
      <w:r>
        <w:rPr>
          <w:rFonts w:ascii="Arial" w:cs="Arial" w:eastAsia="Arial" w:hAnsi="Arial"/>
          <w:b/>
          <w:bCs/>
          <w:sz w:val="22"/>
          <w:szCs w:val="22"/>
        </w:rPr>
        <w:t xml:space="preserve">Location </w:t>
      </w:r>
      <w:r>
        <w:rPr>
          <w:rFonts w:ascii="Arial" w:cs="Arial" w:eastAsia="Arial" w:hAnsi="Arial"/>
          <w:sz w:val="22"/>
          <w:szCs w:val="22"/>
        </w:rPr>
        <w:t xml:space="preserve">— site name from IPAM</w:t>
      </w:r>
    </w:p>
    <w:p>
      <w:pPr>
        <w:pStyle w:val="ListParagraph"/>
        <w:numPr>
          <w:ilvl w:val="0"/>
          <w:numId w:val="2"/>
        </w:numPr>
        <w:spacing w:after="40" w:before="40"/>
      </w:pPr>
      <w:r>
        <w:rPr>
          <w:rFonts w:ascii="Arial" w:cs="Arial" w:eastAsia="Arial" w:hAnsi="Arial"/>
          <w:b/>
          <w:bCs/>
          <w:sz w:val="22"/>
          <w:szCs w:val="22"/>
        </w:rPr>
        <w:t xml:space="preserve">Net Type </w:t>
      </w:r>
      <w:r>
        <w:rPr>
          <w:rFonts w:ascii="Arial" w:cs="Arial" w:eastAsia="Arial" w:hAnsi="Arial"/>
          <w:sz w:val="22"/>
          <w:szCs w:val="22"/>
        </w:rPr>
        <w:t xml:space="preserve">— CVS-DC, AETNA-DC, COLO, Corporate, Specialty, Call-Center, Mail-Order, Cloud, Retail</w:t>
      </w:r>
    </w:p>
    <w:p>
      <w:pPr>
        <w:pStyle w:val="ListParagraph"/>
        <w:numPr>
          <w:ilvl w:val="0"/>
          <w:numId w:val="2"/>
        </w:numPr>
        <w:spacing w:after="40" w:before="40"/>
      </w:pPr>
      <w:r>
        <w:rPr>
          <w:rFonts w:ascii="Arial" w:cs="Arial" w:eastAsia="Arial" w:hAnsi="Arial"/>
          <w:b/>
          <w:bCs/>
          <w:sz w:val="22"/>
          <w:szCs w:val="22"/>
        </w:rPr>
        <w:t xml:space="preserve">Routing Domain </w:t>
      </w:r>
      <w:r>
        <w:rPr>
          <w:rFonts w:ascii="Arial" w:cs="Arial" w:eastAsia="Arial" w:hAnsi="Arial"/>
          <w:sz w:val="22"/>
          <w:szCs w:val="22"/>
        </w:rPr>
        <w:t xml:space="preserve">— Internal-PBM, Internal-HCB, COLO, Cloud-Azure, Cloud-AWS, Internal-Retail</w:t>
      </w:r>
    </w:p>
    <w:p>
      <w:pPr>
        <w:pStyle w:val="ListParagraph"/>
        <w:numPr>
          <w:ilvl w:val="0"/>
          <w:numId w:val="2"/>
        </w:numPr>
        <w:spacing w:after="40" w:before="40"/>
      </w:pPr>
      <w:r>
        <w:rPr>
          <w:rFonts w:ascii="Arial" w:cs="Arial" w:eastAsia="Arial" w:hAnsi="Arial"/>
          <w:b/>
          <w:bCs/>
          <w:sz w:val="22"/>
          <w:szCs w:val="22"/>
        </w:rPr>
        <w:t xml:space="preserve">Apps in subnet </w:t>
      </w:r>
      <w:r>
        <w:rPr>
          <w:rFonts w:ascii="Arial" w:cs="Arial" w:eastAsia="Arial" w:hAnsi="Arial"/>
          <w:sz w:val="22"/>
          <w:szCs w:val="22"/>
        </w:rPr>
        <w:t xml:space="preserve">— all applications registered to this subnet in IPAM</w:t>
      </w:r>
    </w:p>
    <w:p>
      <w:pPr>
        <w:pStyle w:val="ListParagraph"/>
        <w:numPr>
          <w:ilvl w:val="0"/>
          <w:numId w:val="2"/>
        </w:numPr>
        <w:spacing w:after="40" w:before="40"/>
      </w:pPr>
      <w:r>
        <w:rPr>
          <w:rFonts w:ascii="Arial" w:cs="Arial" w:eastAsia="Arial" w:hAnsi="Arial"/>
          <w:b/>
          <w:bCs/>
          <w:sz w:val="22"/>
          <w:szCs w:val="22"/>
        </w:rPr>
        <w:t xml:space="preserve">PCI / Compliance </w:t>
      </w:r>
      <w:r>
        <w:rPr>
          <w:rFonts w:ascii="Arial" w:cs="Arial" w:eastAsia="Arial" w:hAnsi="Arial"/>
          <w:sz w:val="22"/>
          <w:szCs w:val="22"/>
        </w:rPr>
        <w:t xml:space="preserve">— PCI, SOX, HITRUST flags from IPAM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6000" w:sz="18"/>
              <w:bottom w:val="none" w:color="FFFFFF" w:sz="0"/>
              <w:right w:val="none" w:color="FFFFFF" w:sz="0"/>
            </w:tcBorders>
            <w:shd w:fill="FFEB9C" w:val="clear"/>
            <w:tcMar>
              <w:top w:type="dxa" w:w="100"/>
              <w:left w:type="dxa" w:w="180"/>
              <w:bottom w:type="dxa" w:w="100"/>
              <w:right w:type="dxa" w:w="180"/>
            </w:tcMar>
          </w:tcPr>
          <w:p>
            <w:pPr>
              <w:spacing w:after="40" w:before="40"/>
            </w:pPr>
            <w:r>
              <w:rPr>
                <w:rFonts w:ascii="Arial" w:cs="Arial" w:eastAsia="Arial" w:hAnsi="Arial"/>
                <w:b/>
                <w:bCs/>
                <w:color w:val="7F6000"/>
                <w:sz w:val="20"/>
                <w:szCs w:val="20"/>
              </w:rPr>
              <w:t xml:space="preserve">⚠  </w:t>
            </w:r>
            <w:r>
              <w:rPr>
                <w:rFonts w:ascii="Arial" w:cs="Arial" w:eastAsia="Arial" w:hAnsi="Arial"/>
                <w:b/>
                <w:bCs/>
                <w:color w:val="7F6000"/>
                <w:sz w:val="20"/>
                <w:szCs w:val="20"/>
              </w:rPr>
              <w:t xml:space="preserve">Unregistered Subnet:  </w:t>
            </w:r>
            <w:r>
              <w:rPr>
                <w:rFonts w:ascii="Arial" w:cs="Arial" w:eastAsia="Arial" w:hAnsi="Arial"/>
                <w:color w:val="333333"/>
                <w:sz w:val="20"/>
                <w:szCs w:val="20"/>
              </w:rPr>
              <w:t xml:space="preserve">If the subnet context shows an orange warning box with "UNREGISTERED SUBNET" this source IP is in a subnet that has no entry in all_IP_networks. The host cannot be properly classified until the subnet is registered. Add it to the unregistered_subnets CSV remediation list.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8"/>
              <w:bottom w:val="none" w:color="FFFFFF" w:sz="0"/>
              <w:right w:val="none" w:color="FFFFFF" w:sz="0"/>
            </w:tcBorders>
            <w:shd w:fill="E2EFDA" w:val="clear"/>
            <w:tcMar>
              <w:top w:type="dxa" w:w="100"/>
              <w:left w:type="dxa" w:w="180"/>
              <w:bottom w:type="dxa" w:w="100"/>
              <w:right w:type="dxa" w:w="180"/>
            </w:tcMar>
          </w:tcPr>
          <w:p>
            <w:pPr>
              <w:spacing w:after="40" w:before="40"/>
            </w:pPr>
            <w:r>
              <w:rPr>
                <w:rFonts w:ascii="Arial" w:cs="Arial" w:eastAsia="Arial" w:hAnsi="Arial"/>
                <w:b/>
                <w:bCs/>
                <w:color w:val="1E6B1E"/>
                <w:sz w:val="20"/>
                <w:szCs w:val="20"/>
              </w:rPr>
              <w:t xml:space="preserve">💡  </w:t>
            </w:r>
            <w:r>
              <w:rPr>
                <w:rFonts w:ascii="Arial" w:cs="Arial" w:eastAsia="Arial" w:hAnsi="Arial"/>
                <w:b/>
                <w:bCs/>
                <w:color w:val="1E6B1E"/>
                <w:sz w:val="20"/>
                <w:szCs w:val="20"/>
              </w:rPr>
              <w:t xml:space="preserve">HT Inferred:  </w:t>
            </w:r>
            <w:r>
              <w:rPr>
                <w:rFonts w:ascii="Arial" w:cs="Arial" w:eastAsia="Arial" w:hAnsi="Arial"/>
                <w:color w:val="333333"/>
                <w:sz w:val="20"/>
                <w:szCs w:val="20"/>
              </w:rPr>
              <w:t xml:space="preserve">A green info box labelled "Location inferred from hostname translation" means the IPAM had no record but the hostname was decoded using the built-in hostname translator. The location is a best-effort inference — verify it before acting on it.</w:t>
            </w:r>
          </w:p>
        </w:tc>
      </w:tr>
    </w:tbl>
    <w:p>
      <w:pPr>
        <w:spacing w:after="40" w:before="40"/>
      </w:pPr>
      <w:r>
        <w:t xml:space="preserve"/>
      </w:r>
    </w:p>
    <w:p>
      <w:pPr>
        <w:pStyle w:val="Heading3"/>
        <w:spacing w:after="60" w:before="200"/>
      </w:pPr>
      <w:r>
        <w:rPr>
          <w:rFonts w:ascii="Arial" w:cs="Arial" w:eastAsia="Arial" w:hAnsi="Arial"/>
          <w:b/>
          <w:bCs/>
          <w:color w:val="00707A"/>
          <w:sz w:val="24"/>
          <w:szCs w:val="24"/>
        </w:rPr>
        <w:t xml:space="preserve">Right Panel — Destination Context</w:t>
      </w:r>
    </w:p>
    <w:p>
      <w:pPr>
        <w:spacing w:after="80" w:before="60"/>
      </w:pPr>
      <w:r>
        <w:rPr>
          <w:rFonts w:ascii="Arial" w:cs="Arial" w:eastAsia="Arial" w:hAnsi="Arial"/>
          <w:sz w:val="22"/>
          <w:szCs w:val="22"/>
        </w:rPr>
        <w:t xml:space="preserve">Shows enrichment for the destination IP:</w:t>
      </w:r>
    </w:p>
    <w:p>
      <w:pPr>
        <w:pStyle w:val="ListParagraph"/>
        <w:numPr>
          <w:ilvl w:val="0"/>
          <w:numId w:val="2"/>
        </w:numPr>
        <w:spacing w:after="40" w:before="40"/>
      </w:pPr>
      <w:r>
        <w:rPr>
          <w:rFonts w:ascii="Arial" w:cs="Arial" w:eastAsia="Arial" w:hAnsi="Arial"/>
          <w:b/>
          <w:bCs/>
          <w:sz w:val="22"/>
          <w:szCs w:val="22"/>
        </w:rPr>
        <w:t xml:space="preserve">Provider </w:t>
      </w:r>
      <w:r>
        <w:rPr>
          <w:rFonts w:ascii="Arial" w:cs="Arial" w:eastAsia="Arial" w:hAnsi="Arial"/>
          <w:sz w:val="22"/>
          <w:szCs w:val="22"/>
        </w:rPr>
        <w:t xml:space="preserve">— cloud provider, SaaS vendor, or ASN org (e.g. "Microsoft Azure", "Akamai")</w:t>
      </w:r>
    </w:p>
    <w:p>
      <w:pPr>
        <w:pStyle w:val="ListParagraph"/>
        <w:numPr>
          <w:ilvl w:val="0"/>
          <w:numId w:val="2"/>
        </w:numPr>
        <w:spacing w:after="40" w:before="40"/>
      </w:pPr>
      <w:r>
        <w:rPr>
          <w:rFonts w:ascii="Arial" w:cs="Arial" w:eastAsia="Arial" w:hAnsi="Arial"/>
          <w:b/>
          <w:bCs/>
          <w:sz w:val="22"/>
          <w:szCs w:val="22"/>
        </w:rPr>
        <w:t xml:space="preserve">Service </w:t>
      </w:r>
      <w:r>
        <w:rPr>
          <w:rFonts w:ascii="Arial" w:cs="Arial" w:eastAsia="Arial" w:hAnsi="Arial"/>
          <w:sz w:val="22"/>
          <w:szCs w:val="22"/>
        </w:rPr>
        <w:t xml:space="preserve">— named service within the provider (e.g. "Office 365", "Content Delivery Network")</w:t>
      </w:r>
    </w:p>
    <w:p>
      <w:pPr>
        <w:pStyle w:val="ListParagraph"/>
        <w:numPr>
          <w:ilvl w:val="0"/>
          <w:numId w:val="2"/>
        </w:numPr>
        <w:spacing w:after="40" w:before="40"/>
      </w:pPr>
      <w:r>
        <w:rPr>
          <w:rFonts w:ascii="Arial" w:cs="Arial" w:eastAsia="Arial" w:hAnsi="Arial"/>
          <w:b/>
          <w:bCs/>
          <w:sz w:val="22"/>
          <w:szCs w:val="22"/>
        </w:rPr>
        <w:t xml:space="preserve">Service Type </w:t>
      </w:r>
      <w:r>
        <w:rPr>
          <w:rFonts w:ascii="Arial" w:cs="Arial" w:eastAsia="Arial" w:hAnsi="Arial"/>
          <w:sz w:val="22"/>
          <w:szCs w:val="22"/>
        </w:rPr>
        <w:t xml:space="preserve">— classification: CLOUD-INFRA, CDN, SaaS, DEVOPS, PARTNER, CARRIER</w:t>
      </w:r>
    </w:p>
    <w:p>
      <w:pPr>
        <w:pStyle w:val="ListParagraph"/>
        <w:numPr>
          <w:ilvl w:val="0"/>
          <w:numId w:val="2"/>
        </w:numPr>
        <w:spacing w:after="40" w:before="40"/>
      </w:pPr>
      <w:r>
        <w:rPr>
          <w:rFonts w:ascii="Arial" w:cs="Arial" w:eastAsia="Arial" w:hAnsi="Arial"/>
          <w:b/>
          <w:bCs/>
          <w:sz w:val="22"/>
          <w:szCs w:val="22"/>
        </w:rPr>
        <w:t xml:space="preserve">Country / ASN </w:t>
      </w:r>
      <w:r>
        <w:rPr>
          <w:rFonts w:ascii="Arial" w:cs="Arial" w:eastAsia="Arial" w:hAnsi="Arial"/>
          <w:sz w:val="22"/>
          <w:szCs w:val="22"/>
        </w:rPr>
        <w:t xml:space="preserve">— geographic and network attribution</w:t>
      </w:r>
    </w:p>
    <w:p>
      <w:pPr>
        <w:pStyle w:val="ListParagraph"/>
        <w:numPr>
          <w:ilvl w:val="0"/>
          <w:numId w:val="2"/>
        </w:numPr>
        <w:spacing w:after="40" w:before="40"/>
      </w:pPr>
      <w:r>
        <w:rPr>
          <w:rFonts w:ascii="Arial" w:cs="Arial" w:eastAsia="Arial" w:hAnsi="Arial"/>
          <w:b/>
          <w:bCs/>
          <w:sz w:val="22"/>
          <w:szCs w:val="22"/>
        </w:rPr>
        <w:t xml:space="preserve">High-risk flag </w:t>
      </w:r>
      <w:r>
        <w:rPr>
          <w:rFonts w:ascii="Arial" w:cs="Arial" w:eastAsia="Arial" w:hAnsi="Arial"/>
          <w:sz w:val="22"/>
          <w:szCs w:val="22"/>
        </w:rPr>
        <w:t xml:space="preserve">— red badge if the destination is in a non-CVS-approved country or provider</w:t>
      </w:r>
    </w:p>
    <w:p>
      <w:pPr>
        <w:pStyle w:val="ListParagraph"/>
        <w:numPr>
          <w:ilvl w:val="0"/>
          <w:numId w:val="2"/>
        </w:numPr>
        <w:spacing w:after="40" w:before="40"/>
      </w:pPr>
      <w:r>
        <w:rPr>
          <w:rFonts w:ascii="Arial" w:cs="Arial" w:eastAsia="Arial" w:hAnsi="Arial"/>
          <w:b/>
          <w:bCs/>
          <w:sz w:val="22"/>
          <w:szCs w:val="22"/>
        </w:rPr>
        <w:t xml:space="preserve">Port note </w:t>
      </w:r>
      <w:r>
        <w:rPr>
          <w:rFonts w:ascii="Arial" w:cs="Arial" w:eastAsia="Arial" w:hAnsi="Arial"/>
          <w:sz w:val="22"/>
          <w:szCs w:val="22"/>
        </w:rPr>
        <w:t xml:space="preserve">— explains why the port was flagged (e.g. "SSH — remote shell access, confirm intended path")</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3.4  Filtering and Search</w:t>
      </w:r>
    </w:p>
    <w:p>
      <w:pPr>
        <w:spacing w:after="80" w:before="60"/>
      </w:pPr>
      <w:r>
        <w:rPr>
          <w:rFonts w:ascii="Arial" w:cs="Arial" w:eastAsia="Arial" w:hAnsi="Arial"/>
          <w:sz w:val="22"/>
          <w:szCs w:val="22"/>
        </w:rPr>
        <w:t xml:space="preserve">A filter bar runs across the top of the Rules tab:</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Filter / Control</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How to Use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Action pills (ALLOW / REVIEW / MONITOR / BLOCK)</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Click to show only rules of that action type. Click again to deselect. Multiple actions can be active simultaneously.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Search box</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Type any text to filter cards by: source IP, hostname, destination IP, provider, app-id, or site name. Updates as you type (250ms debounce).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Search for "unregistered"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Shows all rules from subnets not in IPAM — fastest way to see the coverage gap</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Search for "review"</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Shows all REVIEW-class rules regardless of which action pill is selected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Search for a provider name</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e.g. type "hetzner" to see all traffic to Hetzner ASN</w:t>
            </w:r>
          </w:p>
        </w:tc>
      </w:tr>
    </w:tbl>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4. Source IPs Tab  🖥</w:t>
      </w:r>
    </w:p>
    <w:p>
      <w:pPr>
        <w:spacing w:after="80" w:before="60"/>
      </w:pPr>
      <w:r>
        <w:rPr>
          <w:rFonts w:ascii="Arial" w:cs="Arial" w:eastAsia="Arial" w:hAnsi="Arial"/>
          <w:sz w:val="22"/>
          <w:szCs w:val="22"/>
        </w:rPr>
        <w:t xml:space="preserve">The Source IPs tab groups all observed source hosts by subnet. It shows every /24 (or LPM-matched CIDR) that appeared in the log, sorted by total session count. This is the primary view for understanding what hosts are generating traffic.</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4.1  Subnet Row (Collapsed)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Element</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What It Shows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CIDR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The subnet address (e.g. 10.20.34.0/24 or 10.180.0.0/18 for a large block)</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Site label</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Human-readable location from IPAM. Shows "⚠ Not in IPAM" in amber if the subnet is unregistered.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IP count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Number of distinct source IPs seen from this subnet in the log window</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Session count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Total sessions from this subnet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Hostname coverage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Green text showing how many IPs have a hostname record — low coverage = gap in ent_host_master</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Port pills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Up to 6 top destination ports observed from this subnet</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4.2  Expanded Subnet — Host Rows</w:t>
      </w:r>
    </w:p>
    <w:p>
      <w:pPr>
        <w:spacing w:after="80" w:before="60"/>
      </w:pPr>
      <w:r>
        <w:rPr>
          <w:rFonts w:ascii="Arial" w:cs="Arial" w:eastAsia="Arial" w:hAnsi="Arial"/>
          <w:b/>
          <w:bCs/>
          <w:sz w:val="22"/>
          <w:szCs w:val="22"/>
        </w:rPr>
        <w:t xml:space="preserve">Click a subnet row</w:t>
      </w:r>
      <w:r>
        <w:rPr>
          <w:rFonts w:ascii="Arial" w:cs="Arial" w:eastAsia="Arial" w:hAnsi="Arial"/>
          <w:sz w:val="22"/>
          <w:szCs w:val="22"/>
        </w:rPr>
        <w:t xml:space="preserve"> to expand it. Each host IP gets its own row:</w:t>
      </w:r>
    </w:p>
    <w:p>
      <w:pPr>
        <w:spacing w:after="40" w:before="40"/>
      </w:pPr>
      <w:r>
        <w:t xml:space="preserve"/>
      </w:r>
    </w:p>
    <w:p>
      <w:pPr>
        <w:pStyle w:val="ListParagraph"/>
        <w:numPr>
          <w:ilvl w:val="0"/>
          <w:numId w:val="2"/>
        </w:numPr>
        <w:spacing w:after="40" w:before="40"/>
      </w:pPr>
      <w:r>
        <w:rPr>
          <w:rFonts w:ascii="Arial" w:cs="Arial" w:eastAsia="Arial" w:hAnsi="Arial"/>
          <w:b/>
          <w:bCs/>
          <w:sz w:val="22"/>
          <w:szCs w:val="22"/>
        </w:rPr>
        <w:t xml:space="preserve">IP address </w:t>
      </w:r>
      <w:r>
        <w:rPr>
          <w:rFonts w:ascii="Arial" w:cs="Arial" w:eastAsia="Arial" w:hAnsi="Arial"/>
          <w:sz w:val="22"/>
          <w:szCs w:val="22"/>
        </w:rPr>
        <w:t xml:space="preserve">— the /32 source address</w:t>
      </w:r>
    </w:p>
    <w:p>
      <w:pPr>
        <w:pStyle w:val="ListParagraph"/>
        <w:numPr>
          <w:ilvl w:val="0"/>
          <w:numId w:val="2"/>
        </w:numPr>
        <w:spacing w:after="40" w:before="40"/>
      </w:pPr>
      <w:r>
        <w:rPr>
          <w:rFonts w:ascii="Arial" w:cs="Arial" w:eastAsia="Arial" w:hAnsi="Arial"/>
          <w:b/>
          <w:bCs/>
          <w:sz w:val="22"/>
          <w:szCs w:val="22"/>
        </w:rPr>
        <w:t xml:space="preserve">Hostname </w:t>
      </w:r>
      <w:r>
        <w:rPr>
          <w:rFonts w:ascii="Arial" w:cs="Arial" w:eastAsia="Arial" w:hAnsi="Arial"/>
          <w:sz w:val="22"/>
          <w:szCs w:val="22"/>
        </w:rPr>
        <w:t xml:space="preserve">— from ent_host_master, or "no hostname record" in grey italic if not in ENT</w:t>
      </w:r>
    </w:p>
    <w:p>
      <w:pPr>
        <w:pStyle w:val="ListParagraph"/>
        <w:numPr>
          <w:ilvl w:val="0"/>
          <w:numId w:val="2"/>
        </w:numPr>
        <w:spacing w:after="40" w:before="40"/>
      </w:pPr>
      <w:r>
        <w:rPr>
          <w:rFonts w:ascii="Arial" w:cs="Arial" w:eastAsia="Arial" w:hAnsi="Arial"/>
          <w:b/>
          <w:bCs/>
          <w:sz w:val="22"/>
          <w:szCs w:val="22"/>
        </w:rPr>
        <w:t xml:space="preserve">OS </w:t>
      </w:r>
      <w:r>
        <w:rPr>
          <w:rFonts w:ascii="Arial" w:cs="Arial" w:eastAsia="Arial" w:hAnsi="Arial"/>
          <w:sz w:val="22"/>
          <w:szCs w:val="22"/>
        </w:rPr>
        <w:t xml:space="preserve">— operating system</w:t>
      </w:r>
    </w:p>
    <w:p>
      <w:pPr>
        <w:pStyle w:val="ListParagraph"/>
        <w:numPr>
          <w:ilvl w:val="0"/>
          <w:numId w:val="2"/>
        </w:numPr>
        <w:spacing w:after="40" w:before="40"/>
      </w:pPr>
      <w:r>
        <w:rPr>
          <w:rFonts w:ascii="Arial" w:cs="Arial" w:eastAsia="Arial" w:hAnsi="Arial"/>
          <w:b/>
          <w:bCs/>
          <w:sz w:val="22"/>
          <w:szCs w:val="22"/>
        </w:rPr>
        <w:t xml:space="preserve">App </w:t>
      </w:r>
      <w:r>
        <w:rPr>
          <w:rFonts w:ascii="Arial" w:cs="Arial" w:eastAsia="Arial" w:hAnsi="Arial"/>
          <w:sz w:val="22"/>
          <w:szCs w:val="22"/>
        </w:rPr>
        <w:t xml:space="preserve">— application acronym from ENT or IPAM</w:t>
      </w:r>
    </w:p>
    <w:p>
      <w:pPr>
        <w:pStyle w:val="ListParagraph"/>
        <w:numPr>
          <w:ilvl w:val="0"/>
          <w:numId w:val="2"/>
        </w:numPr>
        <w:spacing w:after="40" w:before="40"/>
      </w:pPr>
      <w:r>
        <w:rPr>
          <w:rFonts w:ascii="Arial" w:cs="Arial" w:eastAsia="Arial" w:hAnsi="Arial"/>
          <w:b/>
          <w:bCs/>
          <w:sz w:val="22"/>
          <w:szCs w:val="22"/>
        </w:rPr>
        <w:t xml:space="preserve">Environment </w:t>
      </w:r>
      <w:r>
        <w:rPr>
          <w:rFonts w:ascii="Arial" w:cs="Arial" w:eastAsia="Arial" w:hAnsi="Arial"/>
          <w:sz w:val="22"/>
          <w:szCs w:val="22"/>
        </w:rPr>
        <w:t xml:space="preserve">— PROD / DEV / TEST / STG</w:t>
      </w:r>
    </w:p>
    <w:p>
      <w:pPr>
        <w:pStyle w:val="ListParagraph"/>
        <w:numPr>
          <w:ilvl w:val="0"/>
          <w:numId w:val="2"/>
        </w:numPr>
        <w:spacing w:after="40" w:before="40"/>
      </w:pPr>
      <w:r>
        <w:rPr>
          <w:rFonts w:ascii="Arial" w:cs="Arial" w:eastAsia="Arial" w:hAnsi="Arial"/>
          <w:b/>
          <w:bCs/>
          <w:sz w:val="22"/>
          <w:szCs w:val="22"/>
        </w:rPr>
        <w:t xml:space="preserve">Heritage badge </w:t>
      </w:r>
      <w:r>
        <w:rPr>
          <w:rFonts w:ascii="Arial" w:cs="Arial" w:eastAsia="Arial" w:hAnsi="Arial"/>
          <w:sz w:val="22"/>
          <w:szCs w:val="22"/>
        </w:rPr>
        <w:t xml:space="preserve">— CVS or AETNA</w:t>
      </w:r>
    </w:p>
    <w:p>
      <w:pPr>
        <w:pStyle w:val="ListParagraph"/>
        <w:numPr>
          <w:ilvl w:val="0"/>
          <w:numId w:val="2"/>
        </w:numPr>
        <w:spacing w:after="40" w:before="40"/>
      </w:pPr>
      <w:r>
        <w:rPr>
          <w:rFonts w:ascii="Arial" w:cs="Arial" w:eastAsia="Arial" w:hAnsi="Arial"/>
          <w:b/>
          <w:bCs/>
          <w:sz w:val="22"/>
          <w:szCs w:val="22"/>
        </w:rPr>
        <w:t xml:space="preserve">Data source badges </w:t>
      </w:r>
      <w:r>
        <w:rPr>
          <w:rFonts w:ascii="Arial" w:cs="Arial" w:eastAsia="Arial" w:hAnsi="Arial"/>
          <w:sz w:val="22"/>
          <w:szCs w:val="22"/>
        </w:rPr>
        <w:t xml:space="preserve">— SNOW, ADL, WIZ — which systems this host is registered in</w:t>
      </w:r>
    </w:p>
    <w:p>
      <w:pPr>
        <w:pStyle w:val="ListParagraph"/>
        <w:numPr>
          <w:ilvl w:val="0"/>
          <w:numId w:val="2"/>
        </w:numPr>
        <w:spacing w:after="40" w:before="40"/>
      </w:pPr>
      <w:r>
        <w:rPr>
          <w:rFonts w:ascii="Arial" w:cs="Arial" w:eastAsia="Arial" w:hAnsi="Arial"/>
          <w:b/>
          <w:bCs/>
          <w:sz w:val="22"/>
          <w:szCs w:val="22"/>
        </w:rPr>
        <w:t xml:space="preserve">CSNA path / APM ID / DC name </w:t>
      </w:r>
      <w:r>
        <w:rPr>
          <w:rFonts w:ascii="Arial" w:cs="Arial" w:eastAsia="Arial" w:hAnsi="Arial"/>
          <w:sz w:val="22"/>
          <w:szCs w:val="22"/>
        </w:rPr>
        <w:t xml:space="preserve">— shown in a smaller subrow when available</w:t>
      </w:r>
    </w:p>
    <w:p>
      <w:pPr>
        <w:spacing w:after="40" w:before="40"/>
      </w:pPr>
      <w:r>
        <w:t xml:space="preserve"/>
      </w:r>
    </w:p>
    <w:p>
      <w:pPr>
        <w:spacing w:after="80" w:before="60"/>
      </w:pPr>
      <w:r>
        <w:rPr>
          <w:rFonts w:ascii="Arial" w:cs="Arial" w:eastAsia="Arial" w:hAnsi="Arial"/>
          <w:sz w:val="22"/>
          <w:szCs w:val="22"/>
        </w:rPr>
        <w:t xml:space="preserve">Hosts showing "no hostname record" are candidates for the unknown_hosts.csv — they need to be added to ent_host_master.</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4.3  Download Buttons</w:t>
      </w:r>
    </w:p>
    <w:p>
      <w:pPr>
        <w:spacing w:after="80" w:before="60"/>
      </w:pPr>
      <w:r>
        <w:rPr>
          <w:rFonts w:ascii="Arial" w:cs="Arial" w:eastAsia="Arial" w:hAnsi="Arial"/>
          <w:sz w:val="22"/>
          <w:szCs w:val="22"/>
        </w:rPr>
        <w:t xml:space="preserve">Two download buttons appear in the Source IPs tab header:</w:t>
      </w:r>
    </w:p>
    <w:p>
      <w:pPr>
        <w:pStyle w:val="ListParagraph"/>
        <w:numPr>
          <w:ilvl w:val="0"/>
          <w:numId w:val="2"/>
        </w:numPr>
        <w:spacing w:after="40" w:before="40"/>
      </w:pPr>
      <w:r>
        <w:rPr>
          <w:rFonts w:ascii="Arial" w:cs="Arial" w:eastAsia="Arial" w:hAnsi="Arial"/>
          <w:b/>
          <w:bCs/>
          <w:sz w:val="22"/>
          <w:szCs w:val="22"/>
        </w:rPr>
        <w:t xml:space="preserve">⬇ Unknown Hosts CSV </w:t>
      </w:r>
      <w:r>
        <w:rPr>
          <w:rFonts w:ascii="Arial" w:cs="Arial" w:eastAsia="Arial" w:hAnsi="Arial"/>
          <w:sz w:val="22"/>
          <w:szCs w:val="22"/>
        </w:rPr>
        <w:t xml:space="preserve">— downloads a CSV of all source IPs with no ent_host_master record. Use this to drive the ENT registration backlog.</w:t>
      </w:r>
    </w:p>
    <w:p>
      <w:pPr>
        <w:pStyle w:val="ListParagraph"/>
        <w:numPr>
          <w:ilvl w:val="0"/>
          <w:numId w:val="2"/>
        </w:numPr>
        <w:spacing w:after="40" w:before="40"/>
      </w:pPr>
      <w:r>
        <w:rPr>
          <w:rFonts w:ascii="Arial" w:cs="Arial" w:eastAsia="Arial" w:hAnsi="Arial"/>
          <w:b/>
          <w:bCs/>
          <w:sz w:val="22"/>
          <w:szCs w:val="22"/>
        </w:rPr>
        <w:t xml:space="preserve">⬇ Unregistered Subnets CSV </w:t>
      </w:r>
      <w:r>
        <w:rPr>
          <w:rFonts w:ascii="Arial" w:cs="Arial" w:eastAsia="Arial" w:hAnsi="Arial"/>
          <w:sz w:val="22"/>
          <w:szCs w:val="22"/>
        </w:rPr>
        <w:t xml:space="preserve">— available in the Source Locations tab header — downloads unregistered CIDRs for IPAM registration.</w:t>
      </w:r>
    </w:p>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5. Source Locations Tab  🏢</w:t>
      </w:r>
    </w:p>
    <w:p>
      <w:pPr>
        <w:spacing w:after="80" w:before="60"/>
      </w:pPr>
      <w:r>
        <w:rPr>
          <w:rFonts w:ascii="Arial" w:cs="Arial" w:eastAsia="Arial" w:hAnsi="Arial"/>
          <w:sz w:val="22"/>
          <w:szCs w:val="22"/>
        </w:rPr>
        <w:t xml:space="preserve">The Source Locations tab aggregates all source traffic by physical location type. It answers the question: where is this traffic coming from at a site level?</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5.1  Location Type Groups</w:t>
      </w:r>
    </w:p>
    <w:p>
      <w:pPr>
        <w:spacing w:after="80" w:before="60"/>
      </w:pPr>
      <w:r>
        <w:rPr>
          <w:rFonts w:ascii="Arial" w:cs="Arial" w:eastAsia="Arial" w:hAnsi="Arial"/>
          <w:sz w:val="22"/>
          <w:szCs w:val="22"/>
        </w:rPr>
        <w:t xml:space="preserve">The top level groups source subnets by facility type. Click any type to expand it: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Badge Colour</w:t>
            </w:r>
          </w:p>
        </w:tc>
        <w:tc>
          <w:tcPr>
            <w:tcW w:type="dxa" w:w="6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Meaning</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CVS-DC</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Blue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CVS-heritage data centres: Shea DC (Scottsdale), RI-One (Providence), RI-2100 (Cumberland)</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AETNA-DC</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Purple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Aetna-heritage data centres: Middletown CT (MID), Windsor CT (WDC), Phoenix AZ</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COLO</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Teal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Co-location facilities: Las Vegas Switch (Core Campus), Atlanta Switch (The Keep)</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Corporate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Steel blue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Office and campus networks across all CVS corporate sites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Specialty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Dark teal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Specialty pharmacy and clinical facilities (Coram, Oak Street Health)</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Call-Center</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Slate</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CVS and Aetna call centre facilities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Mail-Order</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Indigo</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Mail-order pharmacy facilities (Wilkes-Barre, Mount Prospect)</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Cloud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Cyan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Cloud-hosted source IPs (Azure, AWS) — these are cloud workloads generating outbound traffic</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Unregistered</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Amber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Source subnets not in all_IP_networks — each CIDR is shown individually</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5.2  Drilling Down</w:t>
      </w:r>
    </w:p>
    <w:p>
      <w:pPr>
        <w:spacing w:after="80" w:before="60"/>
      </w:pPr>
      <w:r>
        <w:rPr>
          <w:rFonts w:ascii="Arial" w:cs="Arial" w:eastAsia="Arial" w:hAnsi="Arial"/>
          <w:b/>
          <w:bCs/>
          <w:sz w:val="22"/>
          <w:szCs w:val="22"/>
        </w:rPr>
        <w:t xml:space="preserve">Click a location type</w:t>
      </w:r>
      <w:r>
        <w:rPr>
          <w:rFonts w:ascii="Arial" w:cs="Arial" w:eastAsia="Arial" w:hAnsi="Arial"/>
          <w:sz w:val="22"/>
          <w:szCs w:val="22"/>
        </w:rPr>
        <w:t xml:space="preserve"> to see all sites within it. </w:t>
      </w:r>
      <w:r>
        <w:rPr>
          <w:rFonts w:ascii="Arial" w:cs="Arial" w:eastAsia="Arial" w:hAnsi="Arial"/>
          <w:b/>
          <w:bCs/>
          <w:sz w:val="22"/>
          <w:szCs w:val="22"/>
        </w:rPr>
        <w:t xml:space="preserve">Click a site</w:t>
      </w:r>
      <w:r>
        <w:rPr>
          <w:rFonts w:ascii="Arial" w:cs="Arial" w:eastAsia="Arial" w:hAnsi="Arial"/>
          <w:sz w:val="22"/>
          <w:szCs w:val="22"/>
        </w:rPr>
        <w:t xml:space="preserve"> to see all source subnets from that site. Each subnet row shows rule count, session count, and REVIEW rule count.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6000" w:sz="18"/>
              <w:bottom w:val="none" w:color="FFFFFF" w:sz="0"/>
              <w:right w:val="none" w:color="FFFFFF" w:sz="0"/>
            </w:tcBorders>
            <w:shd w:fill="FFEB9C" w:val="clear"/>
            <w:tcMar>
              <w:top w:type="dxa" w:w="100"/>
              <w:left w:type="dxa" w:w="180"/>
              <w:bottom w:type="dxa" w:w="100"/>
              <w:right w:type="dxa" w:w="180"/>
            </w:tcMar>
          </w:tcPr>
          <w:p>
            <w:pPr>
              <w:spacing w:after="40" w:before="40"/>
            </w:pPr>
            <w:r>
              <w:rPr>
                <w:rFonts w:ascii="Arial" w:cs="Arial" w:eastAsia="Arial" w:hAnsi="Arial"/>
                <w:b/>
                <w:bCs/>
                <w:color w:val="7F6000"/>
                <w:sz w:val="20"/>
                <w:szCs w:val="20"/>
              </w:rPr>
              <w:t xml:space="preserve">⚠  </w:t>
            </w:r>
            <w:r>
              <w:rPr>
                <w:rFonts w:ascii="Arial" w:cs="Arial" w:eastAsia="Arial" w:hAnsi="Arial"/>
                <w:b/>
                <w:bCs/>
                <w:color w:val="7F6000"/>
                <w:sz w:val="20"/>
                <w:szCs w:val="20"/>
              </w:rPr>
              <w:t xml:space="preserve">Unregistered subnets:  </w:t>
            </w:r>
            <w:r>
              <w:rPr>
                <w:rFonts w:ascii="Arial" w:cs="Arial" w:eastAsia="Arial" w:hAnsi="Arial"/>
                <w:color w:val="333333"/>
                <w:sz w:val="20"/>
                <w:szCs w:val="20"/>
              </w:rPr>
              <w:t xml:space="preserve">These show as individual CIDR entries under the Unregistered type rather than being grouped under a site. Each has its own row — 90 unregistered subnets means 90 rows. This is intentional: the CIDR itself is the only useful identifier when the subnet is not in IPAM.</w:t>
            </w:r>
          </w:p>
        </w:tc>
      </w:tr>
    </w:tbl>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6. Destinations Tab  🌐</w:t>
      </w:r>
    </w:p>
    <w:p>
      <w:pPr>
        <w:spacing w:after="80" w:before="60"/>
      </w:pPr>
      <w:r>
        <w:rPr>
          <w:rFonts w:ascii="Arial" w:cs="Arial" w:eastAsia="Arial" w:hAnsi="Arial"/>
          <w:sz w:val="22"/>
          <w:szCs w:val="22"/>
        </w:rPr>
        <w:t xml:space="preserve">The Destinations tab lists every unique destination IP observed in the log, sorted by session count. Each row is enriched with provider, service, country, ASN, and risk information.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Column</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What It Shows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Destination IP</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The external (or internal) IP address being reached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Provider</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The organisation or cloud provider that owns this IP range — from the IP Dataset or GeoIP</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Service / Type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The named service (e.g. "Office 365") and classification (CLOUD-INFRA, CDN, SaaS, DEVOPS)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Country</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Country of the destination IP from GeoIP</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ASN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BGP Autonomous System Number and organisation name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Sessions</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Total sessions to this IP in the log window</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High-risk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Red badge if the destination is a non-CVS-approved provider or country</w:t>
            </w:r>
          </w:p>
        </w:tc>
      </w:tr>
    </w:tbl>
    <w:p>
      <w:pPr>
        <w:spacing w:after="40" w:before="40"/>
      </w:pPr>
      <w:r>
        <w:t xml:space="preserve"/>
      </w:r>
    </w:p>
    <w:p>
      <w:pPr>
        <w:spacing w:after="80" w:before="60"/>
      </w:pPr>
      <w:r>
        <w:rPr>
          <w:rFonts w:ascii="Arial" w:cs="Arial" w:eastAsia="Arial" w:hAnsi="Arial"/>
          <w:b/>
          <w:bCs/>
          <w:sz w:val="22"/>
          <w:szCs w:val="22"/>
        </w:rPr>
        <w:t xml:space="preserve">What to look for: </w:t>
      </w:r>
      <w:r>
        <w:rPr>
          <w:rFonts w:ascii="Arial" w:cs="Arial" w:eastAsia="Arial" w:hAnsi="Arial"/>
          <w:sz w:val="22"/>
          <w:szCs w:val="22"/>
        </w:rPr>
        <w:t xml:space="preserve">Any destination with a red high-risk badge, any destination in an unexpected country (Germany, India, Russia in this context), or any destination with high session counts to a provider you don't recognise. Hetzner Online GmbH (Germany, AS24940) appearing here warrants investigation.</w:t>
      </w:r>
    </w:p>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7. RFC Violations Tab  ⛔</w:t>
      </w:r>
    </w:p>
    <w:p>
      <w:pPr>
        <w:spacing w:after="80" w:before="60"/>
      </w:pPr>
      <w:r>
        <w:rPr>
          <w:rFonts w:ascii="Arial" w:cs="Arial" w:eastAsia="Arial" w:hAnsi="Arial"/>
          <w:sz w:val="22"/>
          <w:szCs w:val="22"/>
        </w:rPr>
        <w:t xml:space="preserve">This tab shows sessions where the destination IP is a private or reserved address (RFC1918, RFC6598, RFC5737, RFC3927) but the traffic was destined for an internet-facing zone. This should not happen under normal network operation.</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7.1  What Each RFC Class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RFC Class</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Address Range</w:t>
            </w:r>
          </w:p>
        </w:tc>
        <w:tc>
          <w:tcPr>
            <w:tcW w:type="dxa" w:w="4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What It Means in This Context</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RFC1918</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10.0.0.0/8, 172.16.0.0/12, 192.168.0.0/16</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Standard private address space. Appearing in outside zone = route leak, NAT failure, or split-tunnel misconfiguration.</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RFC6598</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100.64.0.0/10</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CGNAT / carrier-grade NAT space. Appearing in outside zone = same issue, or a misconfigured MPLS label.</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RFC5737</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192.0.2.0/24, 198.51.100.0/24, 203.0.113.0/24</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Documentation ranges. Should never appear in production traffic.</w:t>
            </w:r>
          </w:p>
        </w:tc>
      </w:tr>
      <w:tr>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RFC3927</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169.254.0.0/16</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Link-local / APIPA. Indicates a host that failed DHCP and is auto-configuring.</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7.2  Important Exception — WebRTC / Teams / Zoom ICE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5E8F0" w:val="clear"/>
            <w:tcMar>
              <w:top w:type="dxa" w:w="100"/>
              <w:left w:type="dxa" w:w="180"/>
              <w:bottom w:type="dxa" w:w="100"/>
              <w:right w:type="dxa" w:w="180"/>
            </w:tcMar>
          </w:tcPr>
          <w:p>
            <w:pPr>
              <w:spacing w:after="40" w:before="40"/>
            </w:pPr>
            <w:r>
              <w:rPr>
                <w:rFonts w:ascii="Arial" w:cs="Arial" w:eastAsia="Arial" w:hAnsi="Arial"/>
                <w:b/>
                <w:bCs/>
                <w:color w:val="2E75B6"/>
                <w:sz w:val="20"/>
                <w:szCs w:val="20"/>
              </w:rPr>
              <w:t xml:space="preserve">ℹ  </w:t>
            </w:r>
            <w:r>
              <w:rPr>
                <w:rFonts w:ascii="Arial" w:cs="Arial" w:eastAsia="Arial" w:hAnsi="Arial"/>
                <w:b/>
                <w:bCs/>
                <w:color w:val="2E75B6"/>
                <w:sz w:val="20"/>
                <w:szCs w:val="20"/>
              </w:rPr>
              <w:t xml:space="preserve">Normal behaviour:  </w:t>
            </w:r>
            <w:r>
              <w:rPr>
                <w:rFonts w:ascii="Arial" w:cs="Arial" w:eastAsia="Arial" w:hAnsi="Arial"/>
                <w:color w:val="333333"/>
                <w:sz w:val="20"/>
                <w:szCs w:val="20"/>
              </w:rPr>
              <w:t xml:space="preserve">STUN and RTCP traffic to 192.168.x.x or 100.64.x.x is NOT a route leak. When a Teams or Zoom call is in progress, the ICE protocol gathers every possible network path including the remote peer's home router address (192.168.x.x). The firewall sees this probe as RFC1918 destined for the outside zone. The call falls back to TURN relay automatically — no misconfiguration is involved. These appear in the RFC Violations tab for completeness but do NOT require a BLOCK rule.</w:t>
            </w:r>
          </w:p>
        </w:tc>
      </w:tr>
    </w:tbl>
    <w:p>
      <w:pPr>
        <w:spacing w:after="40" w:before="40"/>
      </w:pPr>
      <w:r>
        <w:t xml:space="preserve"/>
      </w:r>
    </w:p>
    <w:p>
      <w:pPr>
        <w:spacing w:after="80" w:before="60"/>
      </w:pPr>
      <w:r>
        <w:rPr>
          <w:rFonts w:ascii="Arial" w:cs="Arial" w:eastAsia="Arial" w:hAnsi="Arial"/>
          <w:b/>
          <w:bCs/>
          <w:sz w:val="22"/>
          <w:szCs w:val="22"/>
        </w:rPr>
        <w:t xml:space="preserve">The violations you DO need to act on: </w:t>
      </w:r>
      <w:r>
        <w:rPr>
          <w:rFonts w:ascii="Arial" w:cs="Arial" w:eastAsia="Arial" w:hAnsi="Arial"/>
          <w:sz w:val="22"/>
          <w:szCs w:val="22"/>
        </w:rPr>
        <w:t xml:space="preserve">LDAP (port 389) to CGNAT space — means a directory lookup is routing to the wrong place. SNMP (port 161) to RFC1918 in the outside zone — means a network device query is leaking externally. Any protocol other than stun/rtcp/teams/zoom hitting bogon addresses in the outside zone.</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7.3  The Violations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Column</w:t>
            </w:r>
          </w:p>
        </w:tc>
        <w:tc>
          <w:tcPr>
            <w:tcW w:type="dxa" w:w="7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What It Shows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Source IP</w:t>
            </w:r>
          </w:p>
        </w:tc>
        <w:tc>
          <w:tcPr>
            <w:tcW w:type="dxa" w:w="7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The internal host generating the bogon-destined traffic</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Src Zone</w:t>
            </w:r>
          </w:p>
        </w:tc>
        <w:tc>
          <w:tcPr>
            <w:tcW w:type="dxa" w:w="7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The source security zone — should be an internal zone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Dest IP</w:t>
            </w:r>
          </w:p>
        </w:tc>
        <w:tc>
          <w:tcPr>
            <w:tcW w:type="dxa" w:w="7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The RFC-private destination address that should not appear here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Dst Zone</w:t>
            </w:r>
          </w:p>
        </w:tc>
        <w:tc>
          <w:tcPr>
            <w:tcW w:type="dxa" w:w="7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The destination zone — "outside" or "untrust" confirms this is a genuine violation</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Port</w:t>
            </w:r>
          </w:p>
        </w:tc>
        <w:tc>
          <w:tcPr>
            <w:tcW w:type="dxa" w:w="7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Destination port — helps identify the protocol (389=LDAP, 161=SNMP, 50000+ = usually WebRTC ICE)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App</w:t>
            </w:r>
          </w:p>
        </w:tc>
        <w:tc>
          <w:tcPr>
            <w:tcW w:type="dxa" w:w="7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PA App-ID — stun/rtcp/ms-teams-audio-video = WebRTC ICE (see note above); ldap/snmpv2 = real problem</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RFC</w:t>
            </w:r>
          </w:p>
        </w:tc>
        <w:tc>
          <w:tcPr>
            <w:tcW w:type="dxa" w:w="7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Which RFC class the destination falls in</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Sessions</w:t>
            </w:r>
          </w:p>
        </w:tc>
        <w:tc>
          <w:tcPr>
            <w:tcW w:type="dxa" w:w="7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Session count — 1-3 sessions for ICE probing is normal; sustained high count is unusual</w:t>
            </w:r>
          </w:p>
        </w:tc>
      </w:tr>
    </w:tbl>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8. Flow Map Tab  🗺</w:t>
      </w:r>
    </w:p>
    <w:p>
      <w:pPr>
        <w:spacing w:after="80" w:before="60"/>
      </w:pPr>
      <w:r>
        <w:rPr>
          <w:rFonts w:ascii="Arial" w:cs="Arial" w:eastAsia="Arial" w:hAnsi="Arial"/>
          <w:sz w:val="22"/>
          <w:szCs w:val="22"/>
        </w:rPr>
        <w:t xml:space="preserve">The Flow Map provides a visual overview of where traffic is going — from source locations on the left to destination providers on the right. It is useful for quickly understanding the overall traffic pattern and identifying unusual flows that might not be obvious in the rules list.</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8.1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Control</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Effect</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Sankey / Arc toggle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Switches between a Sankey flow diagram (shows volume as band width) and an arc diagram (shows connection count)</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Group by: Provider / Region / Dest IP</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Changes what the right-hand nodes represent — Provider is most useful for identifying unexpected cloud usage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Min sessions slider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Filters out low-volume flows — raise this to focus on significant traffic patterns</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8.2  Reading the Sankey Diagram</w:t>
      </w:r>
    </w:p>
    <w:p>
      <w:pPr>
        <w:pStyle w:val="ListParagraph"/>
        <w:numPr>
          <w:ilvl w:val="0"/>
          <w:numId w:val="2"/>
        </w:numPr>
        <w:spacing w:after="40" w:before="40"/>
      </w:pPr>
      <w:r>
        <w:rPr>
          <w:rFonts w:ascii="Arial" w:cs="Arial" w:eastAsia="Arial" w:hAnsi="Arial"/>
          <w:sz w:val="22"/>
          <w:szCs w:val="22"/>
        </w:rPr>
        <w:t xml:space="preserve">Left nodes = source location types (CVS-DC, COLO, Corporate, etc.)</w:t>
      </w:r>
    </w:p>
    <w:p>
      <w:pPr>
        <w:pStyle w:val="ListParagraph"/>
        <w:numPr>
          <w:ilvl w:val="0"/>
          <w:numId w:val="2"/>
        </w:numPr>
        <w:spacing w:after="40" w:before="40"/>
      </w:pPr>
      <w:r>
        <w:rPr>
          <w:rFonts w:ascii="Arial" w:cs="Arial" w:eastAsia="Arial" w:hAnsi="Arial"/>
          <w:sz w:val="22"/>
          <w:szCs w:val="22"/>
        </w:rPr>
        <w:t xml:space="preserve">Right nodes = destination providers (Microsoft Azure, Google, Akamai, etc.)</w:t>
      </w:r>
    </w:p>
    <w:p>
      <w:pPr>
        <w:pStyle w:val="ListParagraph"/>
        <w:numPr>
          <w:ilvl w:val="0"/>
          <w:numId w:val="2"/>
        </w:numPr>
        <w:spacing w:after="40" w:before="40"/>
      </w:pPr>
      <w:r>
        <w:rPr>
          <w:rFonts w:ascii="Arial" w:cs="Arial" w:eastAsia="Arial" w:hAnsi="Arial"/>
          <w:sz w:val="22"/>
          <w:szCs w:val="22"/>
        </w:rPr>
        <w:t xml:space="preserve">Band width = session volume — a thick band = a lot of traffic</w:t>
      </w:r>
    </w:p>
    <w:p>
      <w:pPr>
        <w:pStyle w:val="ListParagraph"/>
        <w:numPr>
          <w:ilvl w:val="0"/>
          <w:numId w:val="2"/>
        </w:numPr>
        <w:spacing w:after="40" w:before="40"/>
      </w:pPr>
      <w:r>
        <w:rPr>
          <w:rFonts w:ascii="Arial" w:cs="Arial" w:eastAsia="Arial" w:hAnsi="Arial"/>
          <w:sz w:val="22"/>
          <w:szCs w:val="22"/>
        </w:rPr>
        <w:t xml:space="preserve">Click a node to highlight all flows connected to it</w:t>
      </w:r>
    </w:p>
    <w:p>
      <w:pPr>
        <w:pStyle w:val="ListParagraph"/>
        <w:numPr>
          <w:ilvl w:val="0"/>
          <w:numId w:val="2"/>
        </w:numPr>
        <w:spacing w:after="40" w:before="40"/>
      </w:pPr>
      <w:r>
        <w:rPr>
          <w:rFonts w:ascii="Arial" w:cs="Arial" w:eastAsia="Arial" w:hAnsi="Arial"/>
          <w:sz w:val="22"/>
          <w:szCs w:val="22"/>
        </w:rPr>
        <w:t xml:space="preserve">The detail panel on the right shows the exact session count for the selected flow</w:t>
      </w:r>
    </w:p>
    <w:p>
      <w:pPr>
        <w:spacing w:after="40" w:before="40"/>
      </w:pPr>
      <w:r>
        <w:t xml:space="preserve"/>
      </w:r>
    </w:p>
    <w:p>
      <w:pPr>
        <w:spacing w:after="80" w:before="60"/>
      </w:pPr>
      <w:r>
        <w:rPr>
          <w:rFonts w:ascii="Arial" w:cs="Arial" w:eastAsia="Arial" w:hAnsi="Arial"/>
          <w:b/>
          <w:bCs/>
          <w:sz w:val="22"/>
          <w:szCs w:val="22"/>
        </w:rPr>
        <w:t xml:space="preserve">What to look for: </w:t>
      </w:r>
      <w:r>
        <w:rPr>
          <w:rFonts w:ascii="Arial" w:cs="Arial" w:eastAsia="Arial" w:hAnsi="Arial"/>
          <w:sz w:val="22"/>
          <w:szCs w:val="22"/>
        </w:rPr>
        <w:t xml:space="preserve">Any flow from a COLO or DC source to an unexpected right-hand node (Hetzner, Airtel, Tata, or any ISP you don't recognise). These should be investigated in the Rules tab.</w:t>
      </w:r>
    </w:p>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9. Optimized Policy Tab  📐</w:t>
      </w:r>
    </w:p>
    <w:p>
      <w:pPr>
        <w:spacing w:after="80" w:before="60"/>
      </w:pPr>
      <w:r>
        <w:rPr>
          <w:rFonts w:ascii="Arial" w:cs="Arial" w:eastAsia="Arial" w:hAnsi="Arial"/>
          <w:sz w:val="22"/>
          <w:szCs w:val="22"/>
        </w:rPr>
        <w:t xml:space="preserve">The Optimized Policy tab translates the observed traffic into proposed Palo Alto security rules. These are not ready to implement as-is — they are recommendations that need validation against intended application connectivity before being deployed.</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9.1  Summary Stat Tiles</w:t>
      </w:r>
    </w:p>
    <w:p>
      <w:pPr>
        <w:spacing w:after="80" w:before="60"/>
      </w:pPr>
      <w:r>
        <w:rPr>
          <w:rFonts w:ascii="Arial" w:cs="Arial" w:eastAsia="Arial" w:hAnsi="Arial"/>
          <w:sz w:val="22"/>
          <w:szCs w:val="22"/>
        </w:rPr>
        <w:t xml:space="preserve">At the top of the tab, stat tiles show the total object inventory that would need to be created on the firewall:</w:t>
      </w:r>
    </w:p>
    <w:p>
      <w:pPr>
        <w:pStyle w:val="ListParagraph"/>
        <w:numPr>
          <w:ilvl w:val="0"/>
          <w:numId w:val="2"/>
        </w:numPr>
        <w:spacing w:after="40" w:before="40"/>
      </w:pPr>
      <w:r>
        <w:rPr>
          <w:rFonts w:ascii="Arial" w:cs="Arial" w:eastAsia="Arial" w:hAnsi="Arial"/>
          <w:b/>
          <w:bCs/>
          <w:sz w:val="22"/>
          <w:szCs w:val="22"/>
        </w:rPr>
        <w:t xml:space="preserve">Security Rules </w:t>
      </w:r>
      <w:r>
        <w:rPr>
          <w:rFonts w:ascii="Arial" w:cs="Arial" w:eastAsia="Arial" w:hAnsi="Arial"/>
          <w:sz w:val="22"/>
          <w:szCs w:val="22"/>
        </w:rPr>
        <w:t xml:space="preserve">— total proposed rules (BLOCK + ALLOW + REVIEW)</w:t>
      </w:r>
    </w:p>
    <w:p>
      <w:pPr>
        <w:pStyle w:val="ListParagraph"/>
        <w:numPr>
          <w:ilvl w:val="0"/>
          <w:numId w:val="2"/>
        </w:numPr>
        <w:spacing w:after="40" w:before="40"/>
      </w:pPr>
      <w:r>
        <w:rPr>
          <w:rFonts w:ascii="Arial" w:cs="Arial" w:eastAsia="Arial" w:hAnsi="Arial"/>
          <w:b/>
          <w:bCs/>
          <w:sz w:val="22"/>
          <w:szCs w:val="22"/>
        </w:rPr>
        <w:t xml:space="preserve">BLOCK Rules (RFC) </w:t>
      </w:r>
      <w:r>
        <w:rPr>
          <w:rFonts w:ascii="Arial" w:cs="Arial" w:eastAsia="Arial" w:hAnsi="Arial"/>
          <w:sz w:val="22"/>
          <w:szCs w:val="22"/>
        </w:rPr>
        <w:t xml:space="preserve">— explicit deny rules for RFC violation sources — shown in red</w:t>
      </w:r>
    </w:p>
    <w:p>
      <w:pPr>
        <w:pStyle w:val="ListParagraph"/>
        <w:numPr>
          <w:ilvl w:val="0"/>
          <w:numId w:val="2"/>
        </w:numPr>
        <w:spacing w:after="40" w:before="40"/>
      </w:pPr>
      <w:r>
        <w:rPr>
          <w:rFonts w:ascii="Arial" w:cs="Arial" w:eastAsia="Arial" w:hAnsi="Arial"/>
          <w:b/>
          <w:bCs/>
          <w:sz w:val="22"/>
          <w:szCs w:val="22"/>
        </w:rPr>
        <w:t xml:space="preserve">Host Addr Objects </w:t>
      </w:r>
      <w:r>
        <w:rPr>
          <w:rFonts w:ascii="Arial" w:cs="Arial" w:eastAsia="Arial" w:hAnsi="Arial"/>
          <w:sz w:val="22"/>
          <w:szCs w:val="22"/>
        </w:rPr>
        <w:t xml:space="preserve">— individual /32 host address objects to create</w:t>
      </w:r>
    </w:p>
    <w:p>
      <w:pPr>
        <w:pStyle w:val="ListParagraph"/>
        <w:numPr>
          <w:ilvl w:val="0"/>
          <w:numId w:val="2"/>
        </w:numPr>
        <w:spacing w:after="40" w:before="40"/>
      </w:pPr>
      <w:r>
        <w:rPr>
          <w:rFonts w:ascii="Arial" w:cs="Arial" w:eastAsia="Arial" w:hAnsi="Arial"/>
          <w:b/>
          <w:bCs/>
          <w:sz w:val="22"/>
          <w:szCs w:val="22"/>
        </w:rPr>
        <w:t xml:space="preserve">Source Groups </w:t>
      </w:r>
      <w:r>
        <w:rPr>
          <w:rFonts w:ascii="Arial" w:cs="Arial" w:eastAsia="Arial" w:hAnsi="Arial"/>
          <w:sz w:val="22"/>
          <w:szCs w:val="22"/>
        </w:rPr>
        <w:t xml:space="preserve">— address groups that bundle host objects by application × environment × site</w:t>
      </w:r>
    </w:p>
    <w:p>
      <w:pPr>
        <w:pStyle w:val="ListParagraph"/>
        <w:numPr>
          <w:ilvl w:val="0"/>
          <w:numId w:val="2"/>
        </w:numPr>
        <w:spacing w:after="40" w:before="40"/>
      </w:pPr>
      <w:r>
        <w:rPr>
          <w:rFonts w:ascii="Arial" w:cs="Arial" w:eastAsia="Arial" w:hAnsi="Arial"/>
          <w:b/>
          <w:bCs/>
          <w:sz w:val="22"/>
          <w:szCs w:val="22"/>
        </w:rPr>
        <w:t xml:space="preserve">Dest Svc Objects </w:t>
      </w:r>
      <w:r>
        <w:rPr>
          <w:rFonts w:ascii="Arial" w:cs="Arial" w:eastAsia="Arial" w:hAnsi="Arial"/>
          <w:sz w:val="22"/>
          <w:szCs w:val="22"/>
        </w:rPr>
        <w:t xml:space="preserve">— destination address objects (one per provider/service type combination)</w:t>
      </w:r>
    </w:p>
    <w:p>
      <w:pPr>
        <w:pStyle w:val="ListParagraph"/>
        <w:numPr>
          <w:ilvl w:val="0"/>
          <w:numId w:val="2"/>
        </w:numPr>
        <w:spacing w:after="40" w:before="40"/>
      </w:pPr>
      <w:r>
        <w:rPr>
          <w:rFonts w:ascii="Arial" w:cs="Arial" w:eastAsia="Arial" w:hAnsi="Arial"/>
          <w:b/>
          <w:bCs/>
          <w:sz w:val="22"/>
          <w:szCs w:val="22"/>
        </w:rPr>
        <w:t xml:space="preserve">Service Objects </w:t>
      </w:r>
      <w:r>
        <w:rPr>
          <w:rFonts w:ascii="Arial" w:cs="Arial" w:eastAsia="Arial" w:hAnsi="Arial"/>
          <w:sz w:val="22"/>
          <w:szCs w:val="22"/>
        </w:rPr>
        <w:t xml:space="preserve">— PA service objects for port + App-ID combinations</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9.2  Rule Cards</w:t>
      </w:r>
    </w:p>
    <w:p>
      <w:pPr>
        <w:spacing w:after="80" w:before="60"/>
      </w:pPr>
      <w:r>
        <w:rPr>
          <w:rFonts w:ascii="Arial" w:cs="Arial" w:eastAsia="Arial" w:hAnsi="Arial"/>
          <w:b/>
          <w:bCs/>
          <w:sz w:val="22"/>
          <w:szCs w:val="22"/>
        </w:rPr>
        <w:t xml:space="preserve">Click any rule card</w:t>
      </w:r>
      <w:r>
        <w:rPr>
          <w:rFonts w:ascii="Arial" w:cs="Arial" w:eastAsia="Arial" w:hAnsi="Arial"/>
          <w:sz w:val="22"/>
          <w:szCs w:val="22"/>
        </w:rPr>
        <w:t xml:space="preserve"> to expand it. Each card shows:</w:t>
      </w:r>
    </w:p>
    <w:p>
      <w:pPr>
        <w:spacing w:after="40" w:before="40"/>
      </w:pPr>
      <w:r>
        <w:t xml:space="preserve"/>
      </w:r>
    </w:p>
    <w:p>
      <w:pPr>
        <w:pStyle w:val="Heading3"/>
        <w:spacing w:after="60" w:before="200"/>
      </w:pPr>
      <w:r>
        <w:rPr>
          <w:rFonts w:ascii="Arial" w:cs="Arial" w:eastAsia="Arial" w:hAnsi="Arial"/>
          <w:b/>
          <w:bCs/>
          <w:color w:val="00707A"/>
          <w:sz w:val="24"/>
          <w:szCs w:val="24"/>
        </w:rPr>
        <w:t xml:space="preserve">Header Row</w:t>
      </w:r>
    </w:p>
    <w:p>
      <w:pPr>
        <w:pStyle w:val="ListParagraph"/>
        <w:numPr>
          <w:ilvl w:val="0"/>
          <w:numId w:val="2"/>
        </w:numPr>
        <w:spacing w:after="40" w:before="40"/>
      </w:pPr>
      <w:r>
        <w:rPr>
          <w:rFonts w:ascii="Arial" w:cs="Arial" w:eastAsia="Arial" w:hAnsi="Arial"/>
          <w:b/>
          <w:bCs/>
          <w:sz w:val="22"/>
          <w:szCs w:val="22"/>
        </w:rPr>
        <w:t xml:space="preserve">Action badge </w:t>
      </w:r>
      <w:r>
        <w:rPr>
          <w:rFonts w:ascii="Arial" w:cs="Arial" w:eastAsia="Arial" w:hAnsi="Arial"/>
          <w:sz w:val="22"/>
          <w:szCs w:val="22"/>
        </w:rPr>
        <w:t xml:space="preserve">— BLOCK (red), REVIEW (amber), or ALLOW (green)</w:t>
      </w:r>
    </w:p>
    <w:p>
      <w:pPr>
        <w:pStyle w:val="ListParagraph"/>
        <w:numPr>
          <w:ilvl w:val="0"/>
          <w:numId w:val="2"/>
        </w:numPr>
        <w:spacing w:after="40" w:before="40"/>
      </w:pPr>
      <w:r>
        <w:rPr>
          <w:rFonts w:ascii="Arial" w:cs="Arial" w:eastAsia="Arial" w:hAnsi="Arial"/>
          <w:b/>
          <w:bCs/>
          <w:sz w:val="22"/>
          <w:szCs w:val="22"/>
        </w:rPr>
        <w:t xml:space="preserve">Rule name </w:t>
      </w:r>
      <w:r>
        <w:rPr>
          <w:rFonts w:ascii="Arial" w:cs="Arial" w:eastAsia="Arial" w:hAnsi="Arial"/>
          <w:sz w:val="22"/>
          <w:szCs w:val="22"/>
        </w:rPr>
        <w:t xml:space="preserve">— proposed PA rule name, e.g. "ALLOW-ZSC-PROD-TO-GOOGLE-CDN-SSL"</w:t>
      </w:r>
    </w:p>
    <w:p>
      <w:pPr>
        <w:pStyle w:val="ListParagraph"/>
        <w:numPr>
          <w:ilvl w:val="0"/>
          <w:numId w:val="2"/>
        </w:numPr>
        <w:spacing w:after="40" w:before="40"/>
      </w:pPr>
      <w:r>
        <w:rPr>
          <w:rFonts w:ascii="Arial" w:cs="Arial" w:eastAsia="Arial" w:hAnsi="Arial"/>
          <w:b/>
          <w:bCs/>
          <w:sz w:val="22"/>
          <w:szCs w:val="22"/>
        </w:rPr>
        <w:t xml:space="preserve">PA App-ID </w:t>
      </w:r>
      <w:r>
        <w:rPr>
          <w:rFonts w:ascii="Arial" w:cs="Arial" w:eastAsia="Arial" w:hAnsi="Arial"/>
          <w:sz w:val="22"/>
          <w:szCs w:val="22"/>
        </w:rPr>
        <w:t xml:space="preserve">— the application-id to use in the rule, e.g. ssl, tanium, stun</w:t>
      </w:r>
    </w:p>
    <w:p>
      <w:pPr>
        <w:pStyle w:val="ListParagraph"/>
        <w:numPr>
          <w:ilvl w:val="0"/>
          <w:numId w:val="2"/>
        </w:numPr>
        <w:spacing w:after="40" w:before="40"/>
      </w:pPr>
      <w:r>
        <w:rPr>
          <w:rFonts w:ascii="Arial" w:cs="Arial" w:eastAsia="Arial" w:hAnsi="Arial"/>
          <w:b/>
          <w:bCs/>
          <w:sz w:val="22"/>
          <w:szCs w:val="22"/>
        </w:rPr>
        <w:t xml:space="preserve">Sessions </w:t>
      </w:r>
      <w:r>
        <w:rPr>
          <w:rFonts w:ascii="Arial" w:cs="Arial" w:eastAsia="Arial" w:hAnsi="Arial"/>
          <w:sz w:val="22"/>
          <w:szCs w:val="22"/>
        </w:rPr>
        <w:t xml:space="preserve">— total sessions this rule covers</w:t>
      </w:r>
    </w:p>
    <w:p>
      <w:pPr>
        <w:spacing w:after="40" w:before="40"/>
      </w:pPr>
      <w:r>
        <w:t xml:space="preserve"/>
      </w:r>
    </w:p>
    <w:p>
      <w:pPr>
        <w:pStyle w:val="Heading3"/>
        <w:spacing w:after="60" w:before="200"/>
      </w:pPr>
      <w:r>
        <w:rPr>
          <w:rFonts w:ascii="Arial" w:cs="Arial" w:eastAsia="Arial" w:hAnsi="Arial"/>
          <w:b/>
          <w:bCs/>
          <w:color w:val="00707A"/>
          <w:sz w:val="24"/>
          <w:szCs w:val="24"/>
        </w:rPr>
        <w:t xml:space="preserve">Identity Row (Quick Glance)</w:t>
      </w:r>
    </w:p>
    <w:p>
      <w:pPr>
        <w:spacing w:after="80" w:before="60"/>
      </w:pPr>
      <w:r>
        <w:rPr>
          <w:rFonts w:ascii="Arial" w:cs="Arial" w:eastAsia="Arial" w:hAnsi="Arial"/>
          <w:sz w:val="22"/>
          <w:szCs w:val="22"/>
        </w:rPr>
        <w:t xml:space="preserve">Shows the three key objects at a glance: Source Group → Destination Object → Service/Port. This is what gets wired into the PA rule.</w:t>
      </w:r>
    </w:p>
    <w:p>
      <w:pPr>
        <w:spacing w:after="40" w:before="40"/>
      </w:pPr>
      <w:r>
        <w:t xml:space="preserve"/>
      </w:r>
    </w:p>
    <w:p>
      <w:pPr>
        <w:pStyle w:val="Heading3"/>
        <w:spacing w:after="60" w:before="200"/>
      </w:pPr>
      <w:r>
        <w:rPr>
          <w:rFonts w:ascii="Arial" w:cs="Arial" w:eastAsia="Arial" w:hAnsi="Arial"/>
          <w:b/>
          <w:bCs/>
          <w:color w:val="00707A"/>
          <w:sz w:val="24"/>
          <w:szCs w:val="24"/>
        </w:rPr>
        <w:t xml:space="preserve">Source Group</w:t>
      </w:r>
    </w:p>
    <w:p>
      <w:pPr>
        <w:spacing w:after="80" w:before="60"/>
      </w:pPr>
      <w:r>
        <w:rPr>
          <w:rFonts w:ascii="Arial" w:cs="Arial" w:eastAsia="Arial" w:hAnsi="Arial"/>
          <w:sz w:val="22"/>
          <w:szCs w:val="22"/>
        </w:rPr>
        <w:t xml:space="preserve">The proposed PA address group name, e.g.:</w:t>
      </w:r>
    </w:p>
    <w:p>
      <w:pPr>
        <w:pStyle w:val="ListParagraph"/>
        <w:numPr>
          <w:ilvl w:val="0"/>
          <w:numId w:val="2"/>
        </w:numPr>
        <w:spacing w:after="40" w:before="40"/>
      </w:pPr>
      <w:r>
        <w:rPr>
          <w:rFonts w:ascii="Courier New" w:cs="Courier New" w:eastAsia="Courier New" w:hAnsi="Courier New"/>
          <w:color w:val="00707A"/>
          <w:sz w:val="20"/>
          <w:szCs w:val="20"/>
        </w:rPr>
        <w:t xml:space="preserve">AG-SRC-CONVOAI-LV-SWITCH</w:t>
      </w:r>
      <w:r>
        <w:rPr>
          <w:rFonts w:ascii="Arial" w:cs="Arial" w:eastAsia="Arial" w:hAnsi="Arial"/>
          <w:sz w:val="22"/>
          <w:szCs w:val="22"/>
        </w:rPr>
        <w:t xml:space="preserve">  = Convo AI app, Las Vegas Switch COLO</w:t>
      </w:r>
    </w:p>
    <w:p>
      <w:pPr>
        <w:pStyle w:val="ListParagraph"/>
        <w:numPr>
          <w:ilvl w:val="0"/>
          <w:numId w:val="2"/>
        </w:numPr>
        <w:spacing w:after="40" w:before="40"/>
      </w:pPr>
      <w:r>
        <w:rPr>
          <w:rFonts w:ascii="Courier New" w:cs="Courier New" w:eastAsia="Courier New" w:hAnsi="Courier New"/>
          <w:color w:val="00707A"/>
          <w:sz w:val="20"/>
          <w:szCs w:val="20"/>
        </w:rPr>
        <w:t xml:space="preserve">AG-SRC-ZSC-PROD-SHEA-DC</w:t>
      </w:r>
      <w:r>
        <w:rPr>
          <w:rFonts w:ascii="Arial" w:cs="Arial" w:eastAsia="Arial" w:hAnsi="Arial"/>
          <w:sz w:val="22"/>
          <w:szCs w:val="22"/>
        </w:rPr>
        <w:t xml:space="preserve">  = Zscaler app, production environment, Shea DC</w:t>
      </w:r>
    </w:p>
    <w:p>
      <w:pPr>
        <w:pStyle w:val="ListParagraph"/>
        <w:numPr>
          <w:ilvl w:val="0"/>
          <w:numId w:val="2"/>
        </w:numPr>
        <w:spacing w:after="40" w:before="40"/>
      </w:pPr>
      <w:r>
        <w:rPr>
          <w:rFonts w:ascii="Courier New" w:cs="Courier New" w:eastAsia="Courier New" w:hAnsi="Courier New"/>
          <w:color w:val="00707A"/>
          <w:sz w:val="20"/>
          <w:szCs w:val="20"/>
        </w:rPr>
        <w:t xml:space="preserve">AG-SRC-10-180-128-0_18-SHEA-DC</w:t>
      </w:r>
      <w:r>
        <w:rPr>
          <w:rFonts w:ascii="Arial" w:cs="Arial" w:eastAsia="Arial" w:hAnsi="Arial"/>
          <w:sz w:val="22"/>
          <w:szCs w:val="22"/>
        </w:rPr>
        <w:t xml:space="preserve">  = catch-all for unidentified hosts in that /18 block — needs ENT investigation</w:t>
      </w:r>
    </w:p>
    <w:p>
      <w:pPr>
        <w:spacing w:after="40" w:before="40"/>
      </w:pPr>
      <w:r>
        <w:t xml:space="preserve"/>
      </w:r>
    </w:p>
    <w:p>
      <w:pPr>
        <w:pStyle w:val="Heading3"/>
        <w:spacing w:after="60" w:before="200"/>
      </w:pPr>
      <w:r>
        <w:rPr>
          <w:rFonts w:ascii="Arial" w:cs="Arial" w:eastAsia="Arial" w:hAnsi="Arial"/>
          <w:b/>
          <w:bCs/>
          <w:color w:val="00707A"/>
          <w:sz w:val="24"/>
          <w:szCs w:val="24"/>
        </w:rPr>
        <w:t xml:space="preserve">Destination Object</w:t>
      </w:r>
    </w:p>
    <w:p>
      <w:pPr>
        <w:spacing w:after="80" w:before="60"/>
      </w:pPr>
      <w:r>
        <w:rPr>
          <w:rFonts w:ascii="Arial" w:cs="Arial" w:eastAsia="Arial" w:hAnsi="Arial"/>
          <w:sz w:val="22"/>
          <w:szCs w:val="22"/>
        </w:rPr>
        <w:t xml:space="preserve">The proposed PA address object for the destination, e.g.:</w:t>
      </w:r>
    </w:p>
    <w:p>
      <w:pPr>
        <w:pStyle w:val="ListParagraph"/>
        <w:numPr>
          <w:ilvl w:val="0"/>
          <w:numId w:val="2"/>
        </w:numPr>
        <w:spacing w:after="40" w:before="40"/>
      </w:pPr>
      <w:r>
        <w:rPr>
          <w:rFonts w:ascii="Courier New" w:cs="Courier New" w:eastAsia="Courier New" w:hAnsi="Courier New"/>
          <w:color w:val="00707A"/>
          <w:sz w:val="20"/>
          <w:szCs w:val="20"/>
        </w:rPr>
        <w:t xml:space="preserve">DST-MICROSOFT-AZURE-CLOUD-INFRA</w:t>
      </w:r>
      <w:r>
        <w:rPr>
          <w:rFonts w:ascii="Arial" w:cs="Arial" w:eastAsia="Arial" w:hAnsi="Arial"/>
          <w:sz w:val="22"/>
          <w:szCs w:val="22"/>
        </w:rPr>
        <w:t xml:space="preserve">  = Microsoft Azure cloud infrastructure ranges</w:t>
      </w:r>
    </w:p>
    <w:p>
      <w:pPr>
        <w:pStyle w:val="ListParagraph"/>
        <w:numPr>
          <w:ilvl w:val="0"/>
          <w:numId w:val="2"/>
        </w:numPr>
        <w:spacing w:after="40" w:before="40"/>
      </w:pPr>
      <w:r>
        <w:rPr>
          <w:rFonts w:ascii="Courier New" w:cs="Courier New" w:eastAsia="Courier New" w:hAnsi="Courier New"/>
          <w:color w:val="00707A"/>
          <w:sz w:val="20"/>
          <w:szCs w:val="20"/>
        </w:rPr>
        <w:t xml:space="preserve">DST-ANY-STUN</w:t>
      </w:r>
      <w:r>
        <w:rPr>
          <w:rFonts w:ascii="Arial" w:cs="Arial" w:eastAsia="Arial" w:hAnsi="Arial"/>
          <w:sz w:val="22"/>
          <w:szCs w:val="22"/>
        </w:rPr>
        <w:t xml:space="preserve">  = any provider (media/NAT traversal — dynamic ports, any destination)</w:t>
      </w:r>
    </w:p>
    <w:p>
      <w:pPr>
        <w:pStyle w:val="ListParagraph"/>
        <w:numPr>
          <w:ilvl w:val="0"/>
          <w:numId w:val="2"/>
        </w:numPr>
        <w:spacing w:after="40" w:before="40"/>
      </w:pPr>
      <w:r>
        <w:rPr>
          <w:rFonts w:ascii="Courier New" w:cs="Courier New" w:eastAsia="Courier New" w:hAnsi="Courier New"/>
          <w:color w:val="00707A"/>
          <w:sz w:val="20"/>
          <w:szCs w:val="20"/>
        </w:rPr>
        <w:t xml:space="preserve">RFC-1918-Private_INT-Violation</w:t>
      </w:r>
      <w:r>
        <w:rPr>
          <w:rFonts w:ascii="Arial" w:cs="Arial" w:eastAsia="Arial" w:hAnsi="Arial"/>
          <w:sz w:val="22"/>
          <w:szCs w:val="22"/>
        </w:rPr>
        <w:t xml:space="preserve">  = 10.0.0.0/8, 172.16.0.0/12, 192.168.0.0/16 (for BLOCK rules)</w:t>
      </w:r>
    </w:p>
    <w:p>
      <w:pPr>
        <w:pStyle w:val="ListParagraph"/>
        <w:numPr>
          <w:ilvl w:val="0"/>
          <w:numId w:val="2"/>
        </w:numPr>
        <w:spacing w:after="40" w:before="40"/>
      </w:pPr>
      <w:r>
        <w:rPr>
          <w:rFonts w:ascii="Courier New" w:cs="Courier New" w:eastAsia="Courier New" w:hAnsi="Courier New"/>
          <w:color w:val="00707A"/>
          <w:sz w:val="20"/>
          <w:szCs w:val="20"/>
        </w:rPr>
        <w:t xml:space="preserve">RFC-6598-CGNAT-Violation</w:t>
      </w:r>
      <w:r>
        <w:rPr>
          <w:rFonts w:ascii="Arial" w:cs="Arial" w:eastAsia="Arial" w:hAnsi="Arial"/>
          <w:sz w:val="22"/>
          <w:szCs w:val="22"/>
        </w:rPr>
        <w:t xml:space="preserve">  = 100.64.0.0/10 (for BLOCK rules)</w:t>
      </w:r>
    </w:p>
    <w:p>
      <w:pPr>
        <w:spacing w:after="40" w:before="40"/>
      </w:pPr>
      <w:r>
        <w:t xml:space="preserve"/>
      </w:r>
    </w:p>
    <w:p>
      <w:pPr>
        <w:pStyle w:val="Heading3"/>
        <w:spacing w:after="60" w:before="200"/>
      </w:pPr>
      <w:r>
        <w:rPr>
          <w:rFonts w:ascii="Arial" w:cs="Arial" w:eastAsia="Arial" w:hAnsi="Arial"/>
          <w:b/>
          <w:bCs/>
          <w:color w:val="00707A"/>
          <w:sz w:val="24"/>
          <w:szCs w:val="24"/>
        </w:rPr>
        <w:t xml:space="preserve">Expanded Body — PA Rule Spec</w:t>
      </w:r>
    </w:p>
    <w:p>
      <w:pPr>
        <w:spacing w:after="80" w:before="60"/>
      </w:pPr>
      <w:r>
        <w:rPr>
          <w:rFonts w:ascii="Arial" w:cs="Arial" w:eastAsia="Arial" w:hAnsi="Arial"/>
          <w:sz w:val="22"/>
          <w:szCs w:val="22"/>
        </w:rPr>
        <w:t xml:space="preserve">The expanded card shows a complete PA policy-rule block in a code-style box, ready to adapt into your PA management workflow. For BLOCK rules, the investigation note explains what to look for and lists the address ranges to define on the firewall.</w:t>
      </w:r>
    </w:p>
    <w:p>
      <w:pPr>
        <w:spacing w:after="40" w:before="40"/>
      </w:pPr>
      <w:r>
        <w:t xml:space="preserve"/>
      </w:r>
    </w:p>
    <w:p>
      <w:pPr>
        <w:pStyle w:val="Heading3"/>
        <w:spacing w:after="60" w:before="200"/>
      </w:pPr>
      <w:r>
        <w:rPr>
          <w:rFonts w:ascii="Arial" w:cs="Arial" w:eastAsia="Arial" w:hAnsi="Arial"/>
          <w:b/>
          <w:bCs/>
          <w:color w:val="00707A"/>
          <w:sz w:val="24"/>
          <w:szCs w:val="24"/>
        </w:rPr>
        <w:t xml:space="preserve">Expanded Body — Source Host Objects</w:t>
      </w:r>
    </w:p>
    <w:p>
      <w:pPr>
        <w:spacing w:after="80" w:before="60"/>
      </w:pPr>
      <w:r>
        <w:rPr>
          <w:rFonts w:ascii="Arial" w:cs="Arial" w:eastAsia="Arial" w:hAnsi="Arial"/>
          <w:sz w:val="22"/>
          <w:szCs w:val="22"/>
        </w:rPr>
        <w:t xml:space="preserve">A scrollable list of all /32 host address objects that belong to the source group for this rule. Each line is one HOST-&lt;APP&gt;-&lt;IP&gt; or HOST-&lt;CIDR&gt;-&lt;IP&gt; object with the hostname if known.</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9.3  Rule Naming — What the Names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Name Component</w:t>
            </w:r>
          </w:p>
        </w:tc>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Source</w:t>
            </w:r>
          </w:p>
        </w:tc>
        <w:tc>
          <w:tcPr>
            <w:tcW w:type="dxa" w:w="3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Example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AG-SRC-</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Always present — indicates a source address group</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&lt;APP&gt;</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IPAM app_names (preferred) or ENT app_acronym</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CONVOAI from "Convo AI", ZSC from ENT</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&lt;ENV&gt;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ENT parsed environment — omitted if UNK</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PROD, DEV, TEST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&lt;SITE&gt;</w:t>
            </w:r>
          </w:p>
        </w:tc>
        <w:tc>
          <w:tcPr>
            <w:tcW w:type="dxa" w:w="3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City + facility from IPAM location</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LV-SWITCH, SHEA-DC, ATL-SWITCH</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&lt;CIDR&gt;</w:t>
            </w:r>
          </w:p>
        </w:tc>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Used when app is unknown — ties the group to a specific subnet</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10-180-128-0_18</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D5E8F0" w:val="clear"/>
            <w:tcMar>
              <w:top w:type="dxa" w:w="100"/>
              <w:left w:type="dxa" w:w="180"/>
              <w:bottom w:type="dxa" w:w="100"/>
              <w:right w:type="dxa" w:w="180"/>
            </w:tcMar>
          </w:tcPr>
          <w:p>
            <w:pPr>
              <w:spacing w:after="40" w:before="40"/>
            </w:pPr>
            <w:r>
              <w:rPr>
                <w:rFonts w:ascii="Arial" w:cs="Arial" w:eastAsia="Arial" w:hAnsi="Arial"/>
                <w:b/>
                <w:bCs/>
                <w:color w:val="2E75B6"/>
                <w:sz w:val="20"/>
                <w:szCs w:val="20"/>
              </w:rPr>
              <w:t xml:space="preserve">💡  </w:t>
            </w:r>
            <w:r>
              <w:rPr>
                <w:rFonts w:ascii="Arial" w:cs="Arial" w:eastAsia="Arial" w:hAnsi="Arial"/>
                <w:b/>
                <w:bCs/>
                <w:color w:val="2E75B6"/>
                <w:sz w:val="20"/>
                <w:szCs w:val="20"/>
              </w:rPr>
              <w:t xml:space="preserve">Catch-all groups:  </w:t>
            </w:r>
            <w:r>
              <w:rPr>
                <w:rFonts w:ascii="Arial" w:cs="Arial" w:eastAsia="Arial" w:hAnsi="Arial"/>
                <w:color w:val="333333"/>
                <w:sz w:val="20"/>
                <w:szCs w:val="20"/>
              </w:rPr>
              <w:t xml:space="preserve">Any source group named AG-SRC-&lt;CIDR&gt;-&lt;SITE&gt; (e.g. AG-SRC-10-180-128-0_18-SHEA-DC) represents hosts with no application identity. The CIDR name tells you exactly which subnet to investigate. Register those hosts in ent_host_master with their app, and the next report run will split the catch-all into properly named groups automatically.</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9.4  BLOCK Rules — What to Do</w:t>
      </w:r>
    </w:p>
    <w:p>
      <w:pPr>
        <w:spacing w:after="80" w:before="60"/>
      </w:pPr>
      <w:r>
        <w:rPr>
          <w:rFonts w:ascii="Arial" w:cs="Arial" w:eastAsia="Arial" w:hAnsi="Arial"/>
          <w:sz w:val="22"/>
          <w:szCs w:val="22"/>
        </w:rPr>
        <w:t xml:space="preserve">BLOCK rules appear at the top of the policy tab with a red left border. For each BLOCK rule:</w:t>
      </w:r>
    </w:p>
    <w:p>
      <w:pPr>
        <w:pStyle w:val="ListParagraph"/>
        <w:numPr>
          <w:ilvl w:val="0"/>
          <w:numId w:val="2"/>
        </w:numPr>
        <w:spacing w:after="40" w:before="40"/>
      </w:pPr>
      <w:r>
        <w:rPr>
          <w:rFonts w:ascii="Arial" w:cs="Arial" w:eastAsia="Arial" w:hAnsi="Arial"/>
          <w:b/>
          <w:bCs/>
          <w:sz w:val="22"/>
          <w:szCs w:val="22"/>
        </w:rPr>
        <w:t xml:space="preserve">Create the RFC address object </w:t>
      </w:r>
      <w:r>
        <w:rPr>
          <w:rFonts w:ascii="Arial" w:cs="Arial" w:eastAsia="Arial" w:hAnsi="Arial"/>
          <w:sz w:val="22"/>
          <w:szCs w:val="22"/>
        </w:rPr>
        <w:t xml:space="preserve">on the firewall using the ranges shown in the expanded body</w:t>
      </w:r>
    </w:p>
    <w:p>
      <w:pPr>
        <w:pStyle w:val="ListParagraph"/>
        <w:numPr>
          <w:ilvl w:val="0"/>
          <w:numId w:val="2"/>
        </w:numPr>
        <w:spacing w:after="40" w:before="40"/>
      </w:pPr>
      <w:r>
        <w:rPr>
          <w:rFonts w:ascii="Arial" w:cs="Arial" w:eastAsia="Arial" w:hAnsi="Arial"/>
          <w:b/>
          <w:bCs/>
          <w:sz w:val="22"/>
          <w:szCs w:val="22"/>
        </w:rPr>
        <w:t xml:space="preserve">Create the source group </w:t>
      </w:r>
      <w:r>
        <w:rPr>
          <w:rFonts w:ascii="Arial" w:cs="Arial" w:eastAsia="Arial" w:hAnsi="Arial"/>
          <w:sz w:val="22"/>
          <w:szCs w:val="22"/>
        </w:rPr>
        <w:t xml:space="preserve">(AG-SRC-&lt;SITE&gt;-ALL) containing all affected hosts</w:t>
      </w:r>
    </w:p>
    <w:p>
      <w:pPr>
        <w:pStyle w:val="ListParagraph"/>
        <w:numPr>
          <w:ilvl w:val="0"/>
          <w:numId w:val="2"/>
        </w:numPr>
        <w:spacing w:after="40" w:before="40"/>
      </w:pPr>
      <w:r>
        <w:rPr>
          <w:rFonts w:ascii="Arial" w:cs="Arial" w:eastAsia="Arial" w:hAnsi="Arial"/>
          <w:b/>
          <w:bCs/>
          <w:sz w:val="22"/>
          <w:szCs w:val="22"/>
        </w:rPr>
        <w:t xml:space="preserve">Implement the BLOCK rule </w:t>
      </w:r>
      <w:r>
        <w:rPr>
          <w:rFonts w:ascii="Arial" w:cs="Arial" w:eastAsia="Arial" w:hAnsi="Arial"/>
          <w:sz w:val="22"/>
          <w:szCs w:val="22"/>
        </w:rPr>
        <w:t xml:space="preserve">with action = deny, log-setting = security-alert</w:t>
      </w:r>
    </w:p>
    <w:p>
      <w:pPr>
        <w:pStyle w:val="ListParagraph"/>
        <w:numPr>
          <w:ilvl w:val="0"/>
          <w:numId w:val="2"/>
        </w:numPr>
        <w:spacing w:after="40" w:before="40"/>
      </w:pPr>
      <w:r>
        <w:rPr>
          <w:rFonts w:ascii="Arial" w:cs="Arial" w:eastAsia="Arial" w:hAnsi="Arial"/>
          <w:b/>
          <w:bCs/>
          <w:sz w:val="22"/>
          <w:szCs w:val="22"/>
        </w:rPr>
        <w:t xml:space="preserve">Investigate the source hosts </w:t>
      </w:r>
      <w:r>
        <w:rPr>
          <w:rFonts w:ascii="Arial" w:cs="Arial" w:eastAsia="Arial" w:hAnsi="Arial"/>
          <w:sz w:val="22"/>
          <w:szCs w:val="22"/>
        </w:rPr>
        <w:t xml:space="preserve">— check NAT rules, default routes, and VPN configurations for the listed source IPs</w:t>
      </w:r>
    </w:p>
    <w:p>
      <w:pPr>
        <w:spacing w:after="40" w:before="40"/>
      </w:pPr>
      <w:r>
        <w:t xml:space="preserve"/>
      </w:r>
    </w:p>
    <w:p>
      <w:pPr>
        <w:spacing w:after="80" w:before="60"/>
      </w:pPr>
      <w:r>
        <w:rPr>
          <w:rFonts w:ascii="Arial" w:cs="Arial" w:eastAsia="Arial" w:hAnsi="Arial"/>
          <w:b/>
          <w:bCs/>
          <w:sz w:val="22"/>
          <w:szCs w:val="22"/>
        </w:rPr>
        <w:t xml:space="preserve">Do not create BLOCK rules for stun/rtcp/Teams/Zoom RFC violations</w:t>
      </w:r>
      <w:r>
        <w:rPr>
          <w:rFonts w:ascii="Arial" w:cs="Arial" w:eastAsia="Arial" w:hAnsi="Arial"/>
          <w:sz w:val="22"/>
          <w:szCs w:val="22"/>
        </w:rPr>
        <w:t xml:space="preserve"> — these are normal WebRTC ICE candidates and blocking them will disrupt media calls.</w:t>
      </w:r>
    </w:p>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10. Badge and Indicator Reference</w:t>
      </w:r>
    </w:p>
    <w:p>
      <w:pPr>
        <w:spacing w:after="80" w:before="60"/>
      </w:pPr>
      <w:r>
        <w:rPr>
          <w:rFonts w:ascii="Arial" w:cs="Arial" w:eastAsia="Arial" w:hAnsi="Arial"/>
          <w:sz w:val="22"/>
          <w:szCs w:val="22"/>
        </w:rPr>
        <w:t xml:space="preserve">The report uses a consistent set of coloured badges throughout all tabs. This section lists every badge and what it means.</w:t>
      </w:r>
    </w:p>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10.1  Host Data Source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FFFF"/>
                <w:sz w:val="18"/>
                <w:szCs w:val="18"/>
                <w:shd w:fill="0A3060" w:val="clear"/>
              </w:rPr>
              <w:t xml:space="preserve"> SNOW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Host is registered in ServiceNow CMDB</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FFFF"/>
                <w:sz w:val="18"/>
                <w:szCs w:val="18"/>
                <w:shd w:fill="006060" w:val="clear"/>
              </w:rPr>
              <w:t xml:space="preserve"> ADL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Host is in the ADL dataset (Qualys scan inventory)</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FFFF"/>
                <w:sz w:val="18"/>
                <w:szCs w:val="18"/>
                <w:shd w:fill="402060" w:val="clear"/>
              </w:rPr>
              <w:t xml:space="preserve"> WIZ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Host is in Wiz cloud security inventory</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10.2  Heritage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FFFF"/>
                <w:sz w:val="18"/>
                <w:szCs w:val="18"/>
                <w:shd w:fill="1A3A60" w:val="clear"/>
              </w:rPr>
              <w:t xml:space="preserve"> CVS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Host or subnet is CVS-heritage infrastructure</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FFFF"/>
                <w:sz w:val="18"/>
                <w:szCs w:val="18"/>
                <w:shd w:fill="60200A" w:val="clear"/>
              </w:rPr>
              <w:t xml:space="preserve"> AETNA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Host or subnet is Aetna-heritage infrastructure</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10.3  Rule Card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8833"/>
                <w:sz w:val="18"/>
                <w:szCs w:val="18"/>
                <w:shd w:fill="2A1500" w:val="clear"/>
              </w:rPr>
              <w:t xml:space="preserve"> ⚠ Unregistered subnet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Source /24 has no IPAM entry — register in all_IP_networks</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88CC44"/>
                <w:sz w:val="18"/>
                <w:szCs w:val="18"/>
                <w:shd w:fill="1A2A00" w:val="clear"/>
              </w:rPr>
              <w:t xml:space="preserve"> ⟳ HT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Location inferred from hostname translation — not from IPAM or ENT directly</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8888"/>
                <w:sz w:val="18"/>
                <w:szCs w:val="18"/>
                <w:shd w:fill="600A0A" w:val="clear"/>
              </w:rPr>
              <w:t xml:space="preserve"> PCI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Source subnet is in PCI scope according to IPAM</w:t>
            </w:r>
          </w:p>
        </w:tc>
      </w:tr>
      <w:tr>
        <w:tc>
          <w:tcPr>
            <w:tcW w:type="dxa" w:w="18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b/>
                <w:bCs/>
                <w:color w:val="FF6644"/>
                <w:sz w:val="18"/>
                <w:szCs w:val="18"/>
                <w:shd w:fill="3A0000" w:val="clear"/>
              </w:rPr>
              <w:t xml:space="preserve"> ⚠ HIGH RISK DEST </w:t>
            </w:r>
          </w:p>
        </w:tc>
        <w:tc>
          <w:tcPr>
            <w:tcW w:type="dxa" w:w="75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20" w:before="20"/>
            </w:pPr>
            <w:r>
              <w:rPr>
                <w:rFonts w:ascii="Arial" w:cs="Arial" w:eastAsia="Arial" w:hAnsi="Arial"/>
                <w:sz w:val="20"/>
                <w:szCs w:val="20"/>
              </w:rPr>
              <w:t xml:space="preserve">Destination is in a non-approved country or provider</w:t>
            </w:r>
          </w:p>
        </w:tc>
      </w:tr>
    </w:tbl>
    <w:p>
      <w:pPr>
        <w:spacing w:after="40" w:before="40"/>
      </w:pPr>
      <w:r>
        <w:t xml:space="preserve"/>
      </w:r>
    </w:p>
    <w:p>
      <w:pPr>
        <w:pStyle w:val="Heading2"/>
        <w:pBdr>
          <w:bottom w:val="single" w:color="2E75B6" w:sz="6" w:space="1"/>
        </w:pBdr>
        <w:spacing w:after="80" w:before="280"/>
      </w:pPr>
      <w:r>
        <w:rPr>
          <w:rFonts w:ascii="Arial" w:cs="Arial" w:eastAsia="Arial" w:hAnsi="Arial"/>
          <w:b/>
          <w:bCs/>
          <w:color w:val="2E75B6"/>
          <w:sz w:val="28"/>
          <w:szCs w:val="28"/>
        </w:rPr>
        <w:t xml:space="preserve">10.4  Source Locations Badge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Badge</w:t>
            </w:r>
          </w:p>
        </w:tc>
        <w:tc>
          <w:tcPr>
            <w:tcW w:type="dxa" w:w="7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Location Type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CVS-DC</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CVS primary data centres (Shea, RI-One, RI-2100)</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AETNA-DC</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Aetna primary data centres (MID, WDC, Phoenix)</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COLO</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Co-location facilities (LV Switch, ATL Switch)</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Corporate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Office / campus networks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Specialty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Specialty pharmacy and clinical</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Call-Center</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Call centre facilities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Mail-Order</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Mail-order pharmacy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Cloud</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Cloud-hosted sources (Azure, AWS)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Unregistered</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Not in IPAM — amber warning colour</w:t>
            </w:r>
          </w:p>
        </w:tc>
      </w:tr>
    </w:tbl>
    <w:p>
      <w:pPr>
        <w:spacing w:after="40" w:before="40"/>
      </w:pPr>
      <w:r>
        <w:t xml:space="preserve"/>
      </w:r>
    </w:p>
    <w:p>
      <w:r>
        <w:br w:type="page"/>
      </w:r>
    </w:p>
    <w:p>
      <w:pPr>
        <w:pStyle w:val="Heading1"/>
        <w:spacing w:after="120" w:before="400"/>
      </w:pPr>
      <w:r>
        <w:rPr>
          <w:rFonts w:ascii="Arial" w:cs="Arial" w:eastAsia="Arial" w:hAnsi="Arial"/>
          <w:b/>
          <w:bCs/>
          <w:color w:val="1F3864"/>
          <w:sz w:val="36"/>
          <w:szCs w:val="36"/>
        </w:rPr>
        <w:t xml:space="preserve">11. Quick-Reference: What to Action</w:t>
      </w:r>
    </w:p>
    <w:p>
      <w:pPr>
        <w:spacing w:after="80" w:before="60"/>
      </w:pPr>
      <w:r>
        <w:rPr>
          <w:rFonts w:ascii="Arial" w:cs="Arial" w:eastAsia="Arial" w:hAnsi="Arial"/>
          <w:sz w:val="22"/>
          <w:szCs w:val="22"/>
        </w:rPr>
        <w:t xml:space="preserve">Use this as a starting checklist after opening any new report: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3160"/>
      </w:tblGrid>
      <w:tr>
        <w:trPr>
          <w:tblHeader/>
        </w:trP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Priority</w:t>
            </w:r>
          </w:p>
        </w:tc>
        <w:tc>
          <w:tcPr>
            <w:tcW w:type="dxa" w:w="2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Signal</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Where to Find It</w:t>
            </w:r>
          </w:p>
        </w:tc>
        <w:tc>
          <w:tcPr>
            <w:tcW w:type="dxa" w:w="3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spacing w:after="20" w:before="20"/>
            </w:pPr>
            <w:r>
              <w:rPr>
                <w:rFonts w:ascii="Arial" w:cs="Arial" w:eastAsia="Arial" w:hAnsi="Arial"/>
                <w:b/>
                <w:bCs/>
                <w:color w:val="FFFFFF"/>
                <w:sz w:val="20"/>
                <w:szCs w:val="20"/>
              </w:rPr>
              <w:t xml:space="preserve">Action</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1 — Immediate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REVIEW rules to non-approved providers (Hetzner, Airtel, Tata, BSNL, Reliance Jio)</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Rules tab → filter REVIEW → search provider name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Investigate source host and intent before any policy decision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2 — Immediate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REVIEW rules on sensitive ports: SSH (22, 2222, 10022), LDAP (389), SNMP (161)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Rules tab → filter REVIEW</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Confirm the connection is intentional and authorised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3 — Same day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RFC BLOCK rules (ldap/snmp to bogon addresses)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Optimized Policy tab → BLOCK rules at top</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Implement deny rules and investigate source hosts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4 — This week</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Unregistered subnets with REVIEW traffic</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Source Locations tab → Unregistered type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Investigate the subnet before registering in IPAM</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5 — This week</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Unregistered subnets (any traffic)</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Download ⬇ Unregistered Subnets CSV</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Add all CIDRs to all_IP_networks with correct metadata</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6 — This sprint</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Unknown hosts (no ent_host_master record)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Download ⬇ Unknown Hosts CSV</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Add all IPs to ent_host_master — prioritise REVIEW hosts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7 — Next sprint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Catch-all policy groups (CIDR-named)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Optimized Policy tab — any AG-SRC-10-x-x-x group</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20" w:before="20"/>
            </w:pPr>
            <w:r>
              <w:rPr>
                <w:rFonts w:ascii="Arial" w:cs="Arial" w:eastAsia="Arial" w:hAnsi="Arial"/>
                <w:sz w:val="20"/>
                <w:szCs w:val="20"/>
              </w:rPr>
              <w:t xml:space="preserve">Register hosts in ENT to break the catch-all into named groups</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8 — Ongoing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ALLOW policy implementation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Optimized Policy tab → ALLOW rules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20" w:before="20"/>
            </w:pPr>
            <w:r>
              <w:rPr>
                <w:rFonts w:ascii="Arial" w:cs="Arial" w:eastAsia="Arial" w:hAnsi="Arial"/>
                <w:sz w:val="20"/>
                <w:szCs w:val="20"/>
              </w:rPr>
              <w:t xml:space="preserve">Validate each rule against application owner and implement</w:t>
            </w:r>
          </w:p>
        </w:tc>
      </w:tr>
    </w:tbl>
    <w:p>
      <w:pPr>
        <w:spacing w:after="40" w:before="40"/>
      </w:pPr>
      <w:r>
        <w:t xml:space="preserve"/>
      </w:r>
    </w:p>
    <w:p>
      <w:pPr>
        <w:spacing w:after="40" w:before="40"/>
      </w:pPr>
      <w:r>
        <w:t xml:space="preserve"/>
      </w:r>
    </w:p>
    <w:p>
      <w:pPr>
        <w:pBdr>
          <w:top w:val="single" w:color="2E75B6" w:sz="4" w:space="4"/>
        </w:pBdr>
        <w:spacing w:after="60" w:before="200"/>
        <w:jc w:val="center"/>
      </w:pPr>
      <w:r>
        <w:rPr>
          <w:rFonts w:ascii="Arial" w:cs="Arial" w:eastAsia="Arial" w:hAnsi="Arial"/>
          <w:color w:val="595959"/>
          <w:sz w:val="18"/>
          <w:szCs w:val="18"/>
        </w:rPr>
        <w:t xml:space="preserve">CVS Health  ·  CCD Platform  ·  Information Security  ·  April 2026</w:t>
      </w:r>
    </w:p>
    <w:p>
      <w:pPr>
        <w:jc w:val="center"/>
      </w:pPr>
      <w:r>
        <w:rPr>
          <w:rFonts w:ascii="Arial" w:cs="Arial" w:eastAsia="Arial" w:hAnsi="Arial"/>
          <w:color w:val="595959"/>
          <w:sz w:val="18"/>
          <w:szCs w:val="18"/>
        </w:rPr>
        <w:t xml:space="preserve">Internal use only — contains network topology and traffic details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Internal Use Only</w:t>
    </w:r>
    <w:r>
      <w:rPr>
        <w:rFonts w:ascii="Arial" w:cs="Arial" w:eastAsia="Arial" w:hAnsi="Arial"/>
        <w:sz w:val="18"/>
        <w:szCs w:val="18"/>
      </w:rPr>
      <w:t xml:space="preserve">	</w:t>
    </w:r>
    <w:r>
      <w:rPr>
        <w:rFonts w:ascii="Arial" w:cs="Arial" w:eastAsia="Arial" w:hAnsi="Arial"/>
        <w:color w:val="59595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CVS Health  ·  CCD Platform  ·  </w:t>
    </w:r>
    <w:r>
      <w:rPr>
        <w:rFonts w:ascii="Arial" w:cs="Arial" w:eastAsia="Arial" w:hAnsi="Arial"/>
        <w:b/>
        <w:bCs/>
        <w:color w:val="1F3864"/>
        <w:sz w:val="18"/>
        <w:szCs w:val="18"/>
      </w:rPr>
      <w:t xml:space="preserve">Firewall Report — How to Read the Web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070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2026-04-22T21:24:08.559Z</dcterms:created>
  <dcterms:modified xsi:type="dcterms:W3CDTF">2026-04-22T21:24:08.561Z</dcterms:modified>
</cp:coreProperties>
</file>

<file path=docProps/custom.xml><?xml version="1.0" encoding="utf-8"?>
<Properties xmlns="http://schemas.openxmlformats.org/officeDocument/2006/custom-properties" xmlns:vt="http://schemas.openxmlformats.org/officeDocument/2006/docPropsVTypes"/>
</file>