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lineRule="exact"/>
        <w:jc w:val="center"/>
      </w:pPr>
      <w:r>
        <w:rPr>
          <w:rFonts w:ascii="Times New Roman" w:cs="Times New Roman" w:eastAsia="Times New Roman" w:hAnsi="Times New Roman"/>
          <w:b/>
          <w:bCs/>
          <w:i w:val="false"/>
          <w:iCs w:val="false"/>
          <w:caps w:val="false"/>
          <w:sz w:val="32"/>
          <w:szCs w:val="32"/>
        </w:rPr>
        <w:t xml:space="preserve">3PLZ Third-Party Landing Zone</w:t>
      </w:r>
    </w:p>
    <w:p>
      <w:pPr>
        <w:spacing w:after="120" w:line="276" w:lineRule="exact"/>
        <w:jc w:val="center"/>
      </w:pPr>
      <w:r>
        <w:rPr>
          <w:rFonts w:ascii="Times New Roman" w:cs="Times New Roman" w:eastAsia="Times New Roman" w:hAnsi="Times New Roman"/>
          <w:b w:val="false"/>
          <w:bCs w:val="false"/>
          <w:i w:val="false"/>
          <w:iCs w:val="false"/>
          <w:caps w:val="false"/>
          <w:sz w:val="26"/>
          <w:szCs w:val="26"/>
        </w:rPr>
        <w:t xml:space="preserve">POC Cost Estimation — Executive Summary</w:t>
      </w:r>
    </w:p>
    <w:p>
      <w:pPr>
        <w:spacing w:after="60" w:line="276" w:lineRule="exact"/>
        <w:jc w:val="center"/>
      </w:pPr>
      <w:r>
        <w:rPr>
          <w:rFonts w:ascii="Times New Roman" w:cs="Times New Roman" w:eastAsia="Times New Roman" w:hAnsi="Times New Roman"/>
          <w:b w:val="false"/>
          <w:bCs w:val="false"/>
          <w:i w:val="false"/>
          <w:iCs w:val="false"/>
          <w:caps w:val="false"/>
          <w:sz w:val="22"/>
          <w:szCs w:val="22"/>
        </w:rPr>
        <w:t xml:space="preserve">Michael J. Martin — Enterprise Architecture, CVS Health</w:t>
      </w:r>
    </w:p>
    <w:p>
      <w:pPr>
        <w:spacing w:after="60" w:line="276" w:lineRule="exact"/>
        <w:jc w:val="center"/>
      </w:pPr>
      <w:r>
        <w:rPr>
          <w:rFonts w:ascii="Times New Roman" w:cs="Times New Roman" w:eastAsia="Times New Roman" w:hAnsi="Times New Roman"/>
          <w:b w:val="false"/>
          <w:bCs w:val="false"/>
          <w:i w:val="false"/>
          <w:iCs w:val="false"/>
          <w:caps w:val="false"/>
          <w:sz w:val="20"/>
          <w:szCs w:val="20"/>
        </w:rPr>
        <w:t xml:space="preserve">April 22, 2026</w:t>
      </w:r>
    </w:p>
    <w:p>
      <w:pPr>
        <w:spacing w:after="60" w:line="276" w:lineRule="exact"/>
        <w:jc w:val="center"/>
      </w:pPr>
      <w:r>
        <w:rPr>
          <w:rFonts w:ascii="Times New Roman" w:cs="Times New Roman" w:eastAsia="Times New Roman" w:hAnsi="Times New Roman"/>
          <w:b w:val="false"/>
          <w:bCs w:val="false"/>
          <w:i w:val="false"/>
          <w:iCs w:val="false"/>
          <w:caps w:val="false"/>
          <w:sz w:val="20"/>
          <w:szCs w:val="20"/>
        </w:rPr>
        <w:t xml:space="preserve">Classification: Confidential — Restricted Distribution</w:t>
      </w:r>
    </w:p>
    <w:p>
      <w:pPr>
        <w:spacing w:after="60" w:line="276" w:lineRule="exact"/>
        <w:jc w:val="center"/>
      </w:pPr>
      <w:r>
        <w:rPr>
          <w:rFonts w:ascii="Times New Roman" w:cs="Times New Roman" w:eastAsia="Times New Roman" w:hAnsi="Times New Roman"/>
          <w:b/>
          <w:bCs/>
          <w:i w:val="false"/>
          <w:iCs w:val="false"/>
          <w:caps w:val="false"/>
          <w:sz w:val="20"/>
          <w:szCs w:val="20"/>
        </w:rPr>
        <w:t xml:space="preserve">Keywords: </w:t>
      </w:r>
      <w:r>
        <w:rPr>
          <w:rFonts w:ascii="Times New Roman" w:cs="Times New Roman" w:eastAsia="Times New Roman" w:hAnsi="Times New Roman"/>
          <w:b w:val="false"/>
          <w:bCs w:val="false"/>
          <w:i w:val="false"/>
          <w:iCs w:val="false"/>
          <w:caps w:val="false"/>
          <w:sz w:val="20"/>
          <w:szCs w:val="20"/>
        </w:rPr>
        <w:t xml:space="preserve">3PLZ; Zero Trust; ZTNA; Cost Estimation; F5 Distributed Cloud; Cloudflare; POC</w:t>
      </w:r>
    </w:p>
    <w:p>
      <w:pPr>
        <w:spacing w:after="120" w:before="240" w:line="276" w:lineRule="exact"/>
        <w:jc w:val="center"/>
      </w:pPr>
      <w:r>
        <w:rPr>
          <w:rFonts w:ascii="Times New Roman" w:cs="Times New Roman" w:eastAsia="Times New Roman" w:hAnsi="Times New Roman"/>
          <w:b/>
          <w:bCs/>
          <w:i w:val="false"/>
          <w:iCs w:val="false"/>
          <w:caps w:val="false"/>
          <w:sz w:val="22"/>
          <w:szCs w:val="22"/>
        </w:rPr>
        <w:t xml:space="preserve">Abstract</w:t>
      </w:r>
    </w:p>
    <w:p>
      <w:pPr>
        <w:spacing w:after="120" w:line="276" w:lineRule="exact"/>
        <w:ind w:left="360" w:right="360"/>
        <w:jc w:val="both"/>
      </w:pPr>
      <w:r>
        <w:rPr>
          <w:rFonts w:ascii="Times New Roman" w:cs="Times New Roman" w:eastAsia="Times New Roman" w:hAnsi="Times New Roman"/>
          <w:b w:val="false"/>
          <w:bCs w:val="false"/>
          <w:i w:val="false"/>
          <w:iCs w:val="false"/>
          <w:caps w:val="false"/>
          <w:sz w:val="20"/>
          <w:szCs w:val="20"/>
        </w:rPr>
        <w:t xml:space="preserve">This executive summary presents planning-grade cost projections for the CVS Health Third-Party Landing Zone (3PLZ) proof-of-concept and initial production deployment. Two vendor paths are evaluated: WTIT / F5 Distributed Cloud, a managed platform with fixed-fee delivery, and Cloudflare Zero Trust with a systems integrator. Cost projections are derived from public pricing, vendor proposals, and SI market rates. The two paths reach near cost-parity at the 25-tenant baseline over a three-year horizon. Capability equivalence is not equal: F5 Distributed Cloud scores 8.55/10 and Cloudflare Zero Trust scores 7.15/10 against the 3PLZ weighted requirement model. Cost projections should be evaluated alongside capability scores and POC acceptance results.</w:t>
      </w:r>
    </w:p>
    <w:p>
      <w:r>
        <w:br w:type="page"/>
      </w:r>
    </w:p>
    <w:p>
      <w:pPr>
        <w:pStyle w:val="Heading1"/>
        <w:spacing w:after="160" w:before="360"/>
        <w:jc w:val="left"/>
      </w:pPr>
      <w:r>
        <w:rPr>
          <w:rFonts w:ascii="Times New Roman" w:cs="Times New Roman" w:eastAsia="Times New Roman" w:hAnsi="Times New Roman"/>
          <w:b/>
          <w:bCs/>
          <w:i w:val="false"/>
          <w:iCs w:val="false"/>
          <w:caps/>
          <w:sz w:val="26"/>
          <w:szCs w:val="26"/>
        </w:rPr>
        <w:t xml:space="preserve">1. PROGRAM CONTEXT</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CVS Health is evaluating two vendor platforms for the Third-Party Landing Zone (3PLZ) — a centralized secure access gateway designed to replace per-partner VPN sprawl with a governed, identity-driven zero trust connectivity model. The 3PLZ architecture requires bidirectional mTLS with per-tenant certificate authority isolation, bidirectional SSH session termination and inspection, per-tenant DNS segmentation, full SSL/TLS traffic inspection (no passthrough), and API-driven lifecycle automation targeting a self-service portal by September 30, 2026.</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POC delivery deadline is July 30, 2026. The minimum cost basis is 25 tenants. The WTIT list price of $1,000,000/year serves as the normalization reference for both models. Both vendor paths are scoped to deliver a fully self-service integration platform (engineering workflows EW-01 through EW-05).</w:t>
      </w:r>
    </w:p>
    <w:p>
      <w:pPr>
        <w:pStyle w:val="Heading1"/>
        <w:spacing w:after="160" w:before="360"/>
        <w:jc w:val="left"/>
      </w:pPr>
      <w:r>
        <w:rPr>
          <w:rFonts w:ascii="Times New Roman" w:cs="Times New Roman" w:eastAsia="Times New Roman" w:hAnsi="Times New Roman"/>
          <w:b/>
          <w:bCs/>
          <w:i w:val="false"/>
          <w:iCs w:val="false"/>
          <w:caps/>
          <w:sz w:val="26"/>
          <w:szCs w:val="26"/>
        </w:rPr>
        <w:t xml:space="preserve">2. VENDOR PATHS</w:t>
      </w:r>
    </w:p>
    <w:p>
      <w:pPr>
        <w:pStyle w:val="Heading2"/>
        <w:spacing w:after="120" w:before="280"/>
        <w:jc w:val="left"/>
      </w:pPr>
      <w:r>
        <w:rPr>
          <w:rFonts w:ascii="Times New Roman" w:cs="Times New Roman" w:eastAsia="Times New Roman" w:hAnsi="Times New Roman"/>
          <w:b/>
          <w:bCs/>
          <w:i w:val="false"/>
          <w:iCs w:val="false"/>
          <w:caps w:val="false"/>
          <w:sz w:val="22"/>
          <w:szCs w:val="22"/>
        </w:rPr>
        <w:t xml:space="preserve">2.1 WTIT / F5 Distributed Cloud</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WTIT (World Tech IT) delivers the 3PLZ platform on AWS infrastructure using F5 Distributed Cloud Services (XC) under a fixed-fee managed engagement model. The platform — designated Cloud.Red — is a proven, operationally validated multi-tenant secure access edge. WTIT provides a single all-inclusive annual platform fee covering platform licensing, managed operations, infrastructure, and support. There is no SI labor exposure for CVS Health beyond the fixed fee.</w:t>
      </w:r>
    </w:p>
    <w:p>
      <w:pPr>
        <w:pStyle w:val="Heading2"/>
        <w:spacing w:after="120" w:before="280"/>
        <w:jc w:val="left"/>
      </w:pPr>
      <w:r>
        <w:rPr>
          <w:rFonts w:ascii="Times New Roman" w:cs="Times New Roman" w:eastAsia="Times New Roman" w:hAnsi="Times New Roman"/>
          <w:b/>
          <w:bCs/>
          <w:i w:val="false"/>
          <w:iCs w:val="false"/>
          <w:caps w:val="false"/>
          <w:sz w:val="22"/>
          <w:szCs w:val="22"/>
        </w:rPr>
        <w:t xml:space="preserve">2.2 Cloudflare Zero Trust + Systems Integrator</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Cloudflare path composes the 3PLZ platform from Cloudflare Zero Trust primitives (Access, Gateway, Tunnel), HashiCorp Vault for credential management, and AWS EC2 for SSH proxy and SSL inspection infrastructure. A systems integrator (SI) is required to design, build, and operate the platform. SI labor estimates are based on market rates for the required integration and engineering scope.</w:t>
      </w:r>
    </w:p>
    <w:p>
      <w:pPr>
        <w:pStyle w:val="Heading1"/>
        <w:spacing w:after="160" w:before="360"/>
        <w:jc w:val="left"/>
      </w:pPr>
      <w:r>
        <w:rPr>
          <w:rFonts w:ascii="Times New Roman" w:cs="Times New Roman" w:eastAsia="Times New Roman" w:hAnsi="Times New Roman"/>
          <w:b/>
          <w:bCs/>
          <w:i w:val="false"/>
          <w:iCs w:val="false"/>
          <w:caps/>
          <w:sz w:val="26"/>
          <w:szCs w:val="26"/>
        </w:rPr>
        <w:t xml:space="preserve">3. POC PHASE COST</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POC phase covers the three-month period from platform provisioning through final acceptance review on July 30, 2026. POC costs are fixed regardless of traffic volume.</w:t>
      </w:r>
    </w:p>
    <w:p>
      <w:pPr>
        <w:spacing w:after="80" w:before="120" w:line="276" w:lineRule="exact"/>
        <w:jc w:val="center"/>
      </w:pPr>
      <w:r>
        <w:rPr>
          <w:rFonts w:ascii="Times New Roman" w:cs="Times New Roman" w:eastAsia="Times New Roman" w:hAnsi="Times New Roman"/>
          <w:b w:val="false"/>
          <w:bCs w:val="false"/>
          <w:i/>
          <w:iCs/>
          <w:caps w:val="false"/>
          <w:sz w:val="20"/>
          <w:szCs w:val="20"/>
        </w:rPr>
        <w:t xml:space="preserve">Table 1. POC Phase Cost Comparison</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bCs/>
                <w:i w:val="false"/>
                <w:iCs w:val="false"/>
                <w:caps w:val="false"/>
                <w:sz w:val="19"/>
                <w:szCs w:val="19"/>
              </w:rPr>
              <w:t xml:space="preserve">Component</w:t>
            </w:r>
          </w:p>
        </w:tc>
        <w:tc>
          <w:tcPr>
            <w:tcW w:type="dxa" w:w="266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bCs/>
                <w:i w:val="false"/>
                <w:iCs w:val="false"/>
                <w:caps w:val="false"/>
                <w:sz w:val="19"/>
                <w:szCs w:val="19"/>
              </w:rPr>
              <w:t xml:space="preserve">WTIT / F5</w:t>
            </w:r>
          </w:p>
        </w:tc>
        <w:tc>
          <w:tcPr>
            <w:tcW w:type="dxa" w:w="306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bCs/>
                <w:i w:val="false"/>
                <w:iCs w:val="false"/>
                <w:caps w:val="false"/>
                <w:sz w:val="19"/>
                <w:szCs w:val="19"/>
              </w:rPr>
              <w:t xml:space="preserve">Cloudflare + SI</w:t>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POC fixed fee / engagement</w:t>
            </w:r>
          </w:p>
        </w:tc>
        <w:tc>
          <w:tcPr>
            <w:tcW w:type="dxa" w:w="26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$290,000 (fixed)</w:t>
            </w:r>
          </w:p>
        </w:tc>
        <w:tc>
          <w:tcPr>
            <w:tcW w:type="dxa" w:w="30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$528,770 (est.)</w:t>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  Platform license (3 months)</w:t>
            </w:r>
          </w:p>
        </w:tc>
        <w:tc>
          <w:tcPr>
            <w:tcW w:type="dxa" w:w="26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Included</w:t>
            </w:r>
          </w:p>
        </w:tc>
        <w:tc>
          <w:tcPr>
            <w:tcW w:type="dxa" w:w="30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$8,400</w:t>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  Infrastructure (3 months)</w:t>
            </w:r>
          </w:p>
        </w:tc>
        <w:tc>
          <w:tcPr>
            <w:tcW w:type="dxa" w:w="26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Included</w:t>
            </w:r>
          </w:p>
        </w:tc>
        <w:tc>
          <w:tcPr>
            <w:tcW w:type="dxa" w:w="30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$4,870</w:t>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  SI POC engagement (3 months)</w:t>
            </w:r>
          </w:p>
        </w:tc>
        <w:tc>
          <w:tcPr>
            <w:tcW w:type="dxa" w:w="26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Included</w:t>
            </w:r>
          </w:p>
        </w:tc>
        <w:tc>
          <w:tcPr>
            <w:tcW w:type="dxa" w:w="30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$515,500</w:t>
            </w:r>
          </w:p>
        </w:tc>
      </w:tr>
      <w:tr>
        <w:tc>
          <w:tcPr>
            <w:tcW w:type="dxa" w:w="32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Budget authorization (15% contingency)</w:t>
            </w:r>
          </w:p>
        </w:tc>
        <w:tc>
          <w:tcPr>
            <w:tcW w:type="dxa" w:w="266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$290,000</w:t>
            </w:r>
          </w:p>
        </w:tc>
        <w:tc>
          <w:tcPr>
            <w:tcW w:type="dxa" w:w="306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$610,000</w:t>
            </w:r>
          </w:p>
        </w:tc>
      </w:tr>
    </w:tbl>
    <w:p>
      <w:pPr>
        <w:pStyle w:val="Heading1"/>
        <w:spacing w:after="160" w:before="360"/>
        <w:jc w:val="left"/>
      </w:pPr>
      <w:r>
        <w:rPr>
          <w:rFonts w:ascii="Times New Roman" w:cs="Times New Roman" w:eastAsia="Times New Roman" w:hAnsi="Times New Roman"/>
          <w:b/>
          <w:bCs/>
          <w:i w:val="false"/>
          <w:iCs w:val="false"/>
          <w:caps/>
          <w:sz w:val="26"/>
          <w:szCs w:val="26"/>
        </w:rPr>
        <w:t xml:space="preserve">4. THREE-YEAR COST MODEL (25-TENANT BASELINE)</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three-year cost model covers the POC phase plus three annual platform periods (Year 1: Q4 2026 – Q3 2027; Year 2: Q4 2027 – Q3 2028; Year 3: Q4 2028 – Q3 2029). All figures are planning-grade projections at the 25-tenant minimum basis.</w:t>
      </w:r>
    </w:p>
    <w:p>
      <w:pPr>
        <w:spacing w:after="80" w:before="120" w:line="276" w:lineRule="exact"/>
        <w:jc w:val="center"/>
      </w:pPr>
      <w:r>
        <w:rPr>
          <w:rFonts w:ascii="Times New Roman" w:cs="Times New Roman" w:eastAsia="Times New Roman" w:hAnsi="Times New Roman"/>
          <w:b w:val="false"/>
          <w:bCs w:val="false"/>
          <w:i/>
          <w:iCs/>
          <w:caps w:val="false"/>
          <w:sz w:val="20"/>
          <w:szCs w:val="20"/>
        </w:rPr>
        <w:t xml:space="preserve">Table 2. Three-Year Cost of Ownership — 25-Tenant Baseline</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bCs/>
                <w:i w:val="false"/>
                <w:iCs w:val="false"/>
                <w:caps w:val="false"/>
                <w:sz w:val="19"/>
                <w:szCs w:val="19"/>
              </w:rPr>
              <w:t xml:space="preserve">Phase</w:t>
            </w:r>
          </w:p>
        </w:tc>
        <w:tc>
          <w:tcPr>
            <w:tcW w:type="dxa" w:w="326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bCs/>
                <w:i w:val="false"/>
                <w:iCs w:val="false"/>
                <w:caps w:val="false"/>
                <w:sz w:val="19"/>
                <w:szCs w:val="19"/>
              </w:rPr>
              <w:t xml:space="preserve">WTIT / F5</w:t>
            </w:r>
          </w:p>
        </w:tc>
        <w:tc>
          <w:tcPr>
            <w:tcW w:type="dxa" w:w="326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bCs/>
                <w:i w:val="false"/>
                <w:iCs w:val="false"/>
                <w:caps w:val="false"/>
                <w:sz w:val="19"/>
                <w:szCs w:val="19"/>
              </w:rPr>
              <w:t xml:space="preserve">Cloudflare + SI</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POC (3 months)</w:t>
            </w:r>
          </w:p>
        </w:tc>
        <w:tc>
          <w:tcPr>
            <w:tcW w:type="dxa" w:w="32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$290,000</w:t>
            </w:r>
          </w:p>
        </w:tc>
        <w:tc>
          <w:tcPr>
            <w:tcW w:type="dxa" w:w="32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$528,770</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Year 1 (list / negotiated)</w:t>
            </w:r>
          </w:p>
        </w:tc>
        <w:tc>
          <w:tcPr>
            <w:tcW w:type="dxa" w:w="32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$1,000,000 / $750,000</w:t>
            </w:r>
          </w:p>
        </w:tc>
        <w:tc>
          <w:tcPr>
            <w:tcW w:type="dxa" w:w="32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$1,134,858</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Year 2</w:t>
            </w:r>
          </w:p>
        </w:tc>
        <w:tc>
          <w:tcPr>
            <w:tcW w:type="dxa" w:w="32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$700,000</w:t>
            </w:r>
          </w:p>
        </w:tc>
        <w:tc>
          <w:tcPr>
            <w:tcW w:type="dxa" w:w="32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$310,478</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Year 3</w:t>
            </w:r>
          </w:p>
        </w:tc>
        <w:tc>
          <w:tcPr>
            <w:tcW w:type="dxa" w:w="32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$700,000</w:t>
            </w:r>
          </w:p>
        </w:tc>
        <w:tc>
          <w:tcPr>
            <w:tcW w:type="dxa" w:w="32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$310,478</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3-Year Total</w:t>
            </w:r>
          </w:p>
        </w:tc>
        <w:tc>
          <w:tcPr>
            <w:tcW w:type="dxa" w:w="32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$2,440,000</w:t>
            </w:r>
          </w:p>
        </w:tc>
        <w:tc>
          <w:tcPr>
            <w:tcW w:type="dxa" w:w="32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$2,284,584</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3-Year delta</w:t>
            </w:r>
          </w:p>
        </w:tc>
        <w:tc>
          <w:tcPr>
            <w:tcW w:type="dxa" w:w="32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w:t>
            </w:r>
          </w:p>
        </w:tc>
        <w:tc>
          <w:tcPr>
            <w:tcW w:type="dxa" w:w="32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~$155K lower</w:t>
            </w:r>
          </w:p>
        </w:tc>
      </w:tr>
      <w:tr>
        <w:tc>
          <w:tcPr>
            <w:tcW w:type="dxa" w:w="24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RFC capability score</w:t>
            </w:r>
          </w:p>
        </w:tc>
        <w:tc>
          <w:tcPr>
            <w:tcW w:type="dxa" w:w="326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8.55 / 10</w:t>
            </w:r>
          </w:p>
        </w:tc>
        <w:tc>
          <w:tcPr>
            <w:tcW w:type="dxa" w:w="326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7.15 / 10</w:t>
            </w:r>
          </w:p>
        </w:tc>
      </w:tr>
    </w:tbl>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At the 3-year horizon both paths total within approximately $155,000 of each other. WTIT front-loads cost into an all-inclusive Year 1 platform fee with no SI exposure; Cloudflare concentrates cost in POC and Year 1 build phases, then drops sharply in Years 2–3 as the SI engagement concludes and operations shift to a reduced retainer.</w:t>
      </w:r>
    </w:p>
    <w:p>
      <w:pPr>
        <w:pStyle w:val="Heading1"/>
        <w:spacing w:after="160" w:before="360"/>
        <w:jc w:val="left"/>
      </w:pPr>
      <w:r>
        <w:rPr>
          <w:rFonts w:ascii="Times New Roman" w:cs="Times New Roman" w:eastAsia="Times New Roman" w:hAnsi="Times New Roman"/>
          <w:b/>
          <w:bCs/>
          <w:i w:val="false"/>
          <w:iCs w:val="false"/>
          <w:caps/>
          <w:sz w:val="26"/>
          <w:szCs w:val="26"/>
        </w:rPr>
        <w:t xml:space="preserve">5. TRAFFIC COST SENSITIVITY</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Cloudflare's platform license is user-seat based and does not scale with traffic volume. However, AWS egress fees for SSH proxy and SSL inspection infrastructure scale directly with throughput. WTIT's fixed-fee model is traffic-agnostic. The table below shows the annual cost for each vendor at three throughput tiers.</w:t>
      </w:r>
    </w:p>
    <w:p>
      <w:pPr>
        <w:spacing w:after="80" w:before="120" w:line="276" w:lineRule="exact"/>
        <w:jc w:val="center"/>
      </w:pPr>
      <w:r>
        <w:rPr>
          <w:rFonts w:ascii="Times New Roman" w:cs="Times New Roman" w:eastAsia="Times New Roman" w:hAnsi="Times New Roman"/>
          <w:b w:val="false"/>
          <w:bCs w:val="false"/>
          <w:i/>
          <w:iCs/>
          <w:caps w:val="false"/>
          <w:sz w:val="20"/>
          <w:szCs w:val="20"/>
        </w:rPr>
        <w:t xml:space="preserve">Table 3. Annual Cost by Throughput Tier — 25-Tenant Baseline</w:t>
      </w:r>
    </w:p>
    <w:tbl>
      <w:tblPr>
        <w:tblW w:type="dxa" w:w="792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bCs/>
                <w:i w:val="false"/>
                <w:iCs w:val="false"/>
                <w:caps w:val="false"/>
                <w:sz w:val="19"/>
                <w:szCs w:val="19"/>
              </w:rPr>
              <w:t xml:space="preserve">Throughput Tier</w:t>
            </w:r>
          </w:p>
        </w:tc>
        <w:tc>
          <w:tcPr>
            <w:tcW w:type="dxa" w:w="1776"/>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bCs/>
                <w:i w:val="false"/>
                <w:iCs w:val="false"/>
                <w:caps w:val="false"/>
                <w:sz w:val="19"/>
                <w:szCs w:val="19"/>
              </w:rPr>
              <w:t xml:space="preserve">WTIT / F5 (annual)</w:t>
            </w:r>
          </w:p>
        </w:tc>
        <w:tc>
          <w:tcPr>
            <w:tcW w:type="dxa" w:w="20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bCs/>
                <w:i w:val="false"/>
                <w:iCs w:val="false"/>
                <w:caps w:val="false"/>
                <w:sz w:val="19"/>
                <w:szCs w:val="19"/>
              </w:rPr>
              <w:t xml:space="preserve">Cloudflare + SI (annual)</w:t>
            </w:r>
          </w:p>
        </w:tc>
        <w:tc>
          <w:tcPr>
            <w:tcW w:type="dxa" w:w="155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bCs/>
                <w:i w:val="false"/>
                <w:iCs w:val="false"/>
                <w:caps w:val="false"/>
                <w:sz w:val="19"/>
                <w:szCs w:val="19"/>
              </w:rPr>
              <w:t xml:space="preserve">Delta</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Low (≤100 Mbps / 32 TB/mo)</w:t>
            </w:r>
          </w:p>
        </w:tc>
        <w:tc>
          <w:tcPr>
            <w:tcW w:type="dxa" w:w="17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$750,000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$642,443</w:t>
            </w:r>
          </w:p>
        </w:tc>
        <w:tc>
          <w:tcPr>
            <w:tcW w:type="dxa" w:w="155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CF −$107,557</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Medium (500 Mbps / 162 TB/mo)</w:t>
            </w:r>
          </w:p>
        </w:tc>
        <w:tc>
          <w:tcPr>
            <w:tcW w:type="dxa" w:w="17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$750,000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$752,464</w:t>
            </w:r>
          </w:p>
        </w:tc>
        <w:tc>
          <w:tcPr>
            <w:tcW w:type="dxa" w:w="155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CF −$247,536</w:t>
            </w:r>
          </w:p>
        </w:tc>
      </w:tr>
      <w:tr>
        <w:tc>
          <w:tcPr>
            <w:tcW w:type="dxa" w:w="26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High (1 Gbps / 324 TB/mo)</w:t>
            </w:r>
          </w:p>
        </w:tc>
        <w:tc>
          <w:tcPr>
            <w:tcW w:type="dxa" w:w="1776"/>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$750,000</w:t>
            </w:r>
          </w:p>
        </w:tc>
        <w:tc>
          <w:tcPr>
            <w:tcW w:type="dxa" w:w="20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$853,449</w:t>
            </w:r>
          </w:p>
        </w:tc>
        <w:tc>
          <w:tcPr>
            <w:tcW w:type="dxa" w:w="155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WTIT −$103,449</w:t>
            </w:r>
          </w:p>
        </w:tc>
      </w:tr>
    </w:tbl>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annual cost crossover point — where both models reach equivalent annual spend — occurs at approximately 1.1 Gbps sustained throughput. Below that threshold Cloudflare carries a lower annual platform cost. Above it WTIT's fixed-fee model is lower.</w:t>
      </w:r>
    </w:p>
    <w:p>
      <w:pPr>
        <w:pStyle w:val="Heading1"/>
        <w:spacing w:after="160" w:before="360"/>
        <w:jc w:val="left"/>
      </w:pPr>
      <w:r>
        <w:rPr>
          <w:rFonts w:ascii="Times New Roman" w:cs="Times New Roman" w:eastAsia="Times New Roman" w:hAnsi="Times New Roman"/>
          <w:b/>
          <w:bCs/>
          <w:i w:val="false"/>
          <w:iCs w:val="false"/>
          <w:caps/>
          <w:sz w:val="26"/>
          <w:szCs w:val="26"/>
        </w:rPr>
        <w:t xml:space="preserve">6. RECOMMENDED BUDGET AUTHORIZATION</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following budget authorization envelopes incorporate a 15% contingency over the planning-grade cost estimates for each phase. These figures represent the recommended maximum authorization for finance planning purposes.</w:t>
      </w:r>
    </w:p>
    <w:p>
      <w:pPr>
        <w:spacing w:after="80" w:before="120" w:line="276" w:lineRule="exact"/>
        <w:jc w:val="center"/>
      </w:pPr>
      <w:r>
        <w:rPr>
          <w:rFonts w:ascii="Times New Roman" w:cs="Times New Roman" w:eastAsia="Times New Roman" w:hAnsi="Times New Roman"/>
          <w:b w:val="false"/>
          <w:bCs w:val="false"/>
          <w:i/>
          <w:iCs/>
          <w:caps w:val="false"/>
          <w:sz w:val="20"/>
          <w:szCs w:val="20"/>
        </w:rPr>
        <w:t xml:space="preserve">Table 4. Budget Authorization Envelopes (15% Contingency)</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bCs/>
                <w:i w:val="false"/>
                <w:iCs w:val="false"/>
                <w:caps w:val="false"/>
                <w:sz w:val="19"/>
                <w:szCs w:val="19"/>
              </w:rPr>
              <w:t xml:space="preserve">Phase</w:t>
            </w:r>
          </w:p>
        </w:tc>
        <w:tc>
          <w:tcPr>
            <w:tcW w:type="dxa" w:w="326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bCs/>
                <w:i w:val="false"/>
                <w:iCs w:val="false"/>
                <w:caps w:val="false"/>
                <w:sz w:val="19"/>
                <w:szCs w:val="19"/>
              </w:rPr>
              <w:t xml:space="preserve">WTIT / F5</w:t>
            </w:r>
          </w:p>
        </w:tc>
        <w:tc>
          <w:tcPr>
            <w:tcW w:type="dxa" w:w="326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bCs/>
                <w:i w:val="false"/>
                <w:iCs w:val="false"/>
                <w:caps w:val="false"/>
                <w:sz w:val="19"/>
                <w:szCs w:val="19"/>
              </w:rPr>
              <w:t xml:space="preserve">Cloudflare + SI</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POC</w:t>
            </w:r>
          </w:p>
        </w:tc>
        <w:tc>
          <w:tcPr>
            <w:tcW w:type="dxa" w:w="32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$290,000</w:t>
            </w:r>
          </w:p>
        </w:tc>
        <w:tc>
          <w:tcPr>
            <w:tcW w:type="dxa" w:w="32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$610,000</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Year 1</w:t>
            </w:r>
          </w:p>
        </w:tc>
        <w:tc>
          <w:tcPr>
            <w:tcW w:type="dxa" w:w="32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$875,000</w:t>
            </w:r>
          </w:p>
        </w:tc>
        <w:tc>
          <w:tcPr>
            <w:tcW w:type="dxa" w:w="32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$1,305,000</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Year 2</w:t>
            </w:r>
          </w:p>
        </w:tc>
        <w:tc>
          <w:tcPr>
            <w:tcW w:type="dxa" w:w="32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$825,000</w:t>
            </w:r>
          </w:p>
        </w:tc>
        <w:tc>
          <w:tcPr>
            <w:tcW w:type="dxa" w:w="32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$360,000</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Year 3</w:t>
            </w:r>
          </w:p>
        </w:tc>
        <w:tc>
          <w:tcPr>
            <w:tcW w:type="dxa" w:w="32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$825,000</w:t>
            </w:r>
          </w:p>
        </w:tc>
        <w:tc>
          <w:tcPr>
            <w:tcW w:type="dxa" w:w="32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$360,000</w:t>
            </w:r>
          </w:p>
        </w:tc>
      </w:tr>
      <w:tr>
        <w:tc>
          <w:tcPr>
            <w:tcW w:type="dxa" w:w="24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3-Year Ceiling</w:t>
            </w:r>
          </w:p>
        </w:tc>
        <w:tc>
          <w:tcPr>
            <w:tcW w:type="dxa" w:w="326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$2,815,000</w:t>
            </w:r>
          </w:p>
        </w:tc>
        <w:tc>
          <w:tcPr>
            <w:tcW w:type="dxa" w:w="326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$2,635,000</w:t>
            </w:r>
          </w:p>
        </w:tc>
      </w:tr>
    </w:tbl>
    <w:p>
      <w:pPr>
        <w:pStyle w:val="Heading1"/>
        <w:spacing w:after="160" w:before="360"/>
        <w:jc w:val="left"/>
      </w:pPr>
      <w:r>
        <w:rPr>
          <w:rFonts w:ascii="Times New Roman" w:cs="Times New Roman" w:eastAsia="Times New Roman" w:hAnsi="Times New Roman"/>
          <w:b/>
          <w:bCs/>
          <w:i w:val="false"/>
          <w:iCs w:val="false"/>
          <w:caps/>
          <w:sz w:val="26"/>
          <w:szCs w:val="26"/>
        </w:rPr>
        <w:t xml:space="preserve">7. CAPABILITY EQUIVALENCE</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two vendor paths do not deliver equivalent capability. The 3PLZ RFC Vendor Evaluation (March 31, 2026) scores vendors against a seven-dimension weighted model derived from the 3PLZ architecture requirements. F5 Distributed Cloud scores 8.55/10; Cloudflare Zero Trust scores 7.15/10.</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primary gap is CR-01: Per-Tenant CA Isolation (25% weight). F5's XC namespace architecture delivers per-tenant certificate authority isolation as a native platform capability. Cloudflare's mTLS model is designed for single-organization trust domains; per-tenant CA isolation requires an engineered construct. The Cloudflare POC specification explicitly states that a policy-based workaround over a shared CA will not satisfy the requirement.</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3PLZ architecture requires a full split-proxy model: every SSL/TLS session and every SSH session must be terminated at the platform boundary, inspected, and re-originated. TCP passthrough and TLS passthrough are prohibited in both inbound and outbound directions. F5 delivers this as a native Layer 7 proxy capability. Cloudflare delivers the equivalent through engineered constructs, with the SI cost in the Cloudflare model reflecting in part the engineering effort required to construct capabilities that F5 delivers natively.</w:t>
      </w:r>
    </w:p>
    <w:p>
      <w:pPr>
        <w:spacing w:after="80" w:before="120" w:line="276" w:lineRule="exact"/>
        <w:jc w:val="center"/>
      </w:pPr>
      <w:r>
        <w:rPr>
          <w:rFonts w:ascii="Times New Roman" w:cs="Times New Roman" w:eastAsia="Times New Roman" w:hAnsi="Times New Roman"/>
          <w:b w:val="false"/>
          <w:bCs w:val="false"/>
          <w:i/>
          <w:iCs/>
          <w:caps w:val="false"/>
          <w:sz w:val="20"/>
          <w:szCs w:val="20"/>
        </w:rPr>
        <w:t xml:space="preserve">Table 5. Capability Delivery Model Summary</w:t>
      </w:r>
    </w:p>
    <w:tbl>
      <w:tblPr>
        <w:tblW w:type="dxa" w:w="792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bCs/>
                <w:i w:val="false"/>
                <w:iCs w:val="false"/>
                <w:caps w:val="false"/>
                <w:sz w:val="19"/>
                <w:szCs w:val="19"/>
              </w:rPr>
              <w:t xml:space="preserve">Requirement</w:t>
            </w:r>
          </w:p>
        </w:tc>
        <w:tc>
          <w:tcPr>
            <w:tcW w:type="dxa" w:w="7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bCs/>
                <w:i w:val="false"/>
                <w:iCs w:val="false"/>
                <w:caps w:val="false"/>
                <w:sz w:val="19"/>
                <w:szCs w:val="19"/>
              </w:rPr>
              <w:t xml:space="preserve">Weight</w:t>
            </w:r>
          </w:p>
        </w:tc>
        <w:tc>
          <w:tcPr>
            <w:tcW w:type="dxa" w:w="20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bCs/>
                <w:i w:val="false"/>
                <w:iCs w:val="false"/>
                <w:caps w:val="false"/>
                <w:sz w:val="19"/>
                <w:szCs w:val="19"/>
              </w:rPr>
              <w:t xml:space="preserve">F5 Delivery</w:t>
            </w:r>
          </w:p>
        </w:tc>
        <w:tc>
          <w:tcPr>
            <w:tcW w:type="dxa" w:w="242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bCs/>
                <w:i w:val="false"/>
                <w:iCs w:val="false"/>
                <w:caps w:val="false"/>
                <w:sz w:val="19"/>
                <w:szCs w:val="19"/>
              </w:rPr>
              <w:t xml:space="preserve">CF Delivery</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Per-tenant CA isolation (CR-01)</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25%</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Native</w:t>
            </w:r>
          </w:p>
        </w:tc>
        <w:tc>
          <w:tcPr>
            <w:tcW w:type="dxa" w:w="2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Engineered construct</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Bidirectional mTLS split-proxy</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Native</w:t>
            </w:r>
          </w:p>
        </w:tc>
        <w:tc>
          <w:tcPr>
            <w:tcW w:type="dxa" w:w="2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Engineered construct</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SSH termination + inspection</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20%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Native</w:t>
            </w:r>
          </w:p>
        </w:tc>
        <w:tc>
          <w:tcPr>
            <w:tcW w:type="dxa" w:w="2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Engineered construct</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Per-tenant DNS segmentation</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10%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Native</w:t>
            </w:r>
          </w:p>
        </w:tc>
        <w:tc>
          <w:tcPr>
            <w:tcW w:type="dxa" w:w="2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Engineerable</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Outbound governed access (CR-06)</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10%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Native</w:t>
            </w:r>
          </w:p>
        </w:tc>
        <w:tc>
          <w:tcPr>
            <w:tcW w:type="dxa" w:w="2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Native (strength)</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Lifecycle automation API (CR-04)</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20%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Native</w:t>
            </w:r>
          </w:p>
        </w:tc>
        <w:tc>
          <w:tcPr>
            <w:tcW w:type="dxa" w:w="24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Native</w:t>
            </w:r>
          </w:p>
        </w:tc>
      </w:tr>
      <w:tr>
        <w:tc>
          <w:tcPr>
            <w:tcW w:type="dxa" w:w="28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RFC weighted composite</w:t>
            </w:r>
          </w:p>
        </w:tc>
        <w:tc>
          <w:tcPr>
            <w:tcW w:type="dxa" w:w="7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100%</w:t>
            </w:r>
          </w:p>
        </w:tc>
        <w:tc>
          <w:tcPr>
            <w:tcW w:type="dxa" w:w="20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8.55 / 10</w:t>
            </w:r>
          </w:p>
        </w:tc>
        <w:tc>
          <w:tcPr>
            <w:tcW w:type="dxa" w:w="24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76" w:lineRule="exact"/>
              <w:jc w:val="left"/>
            </w:pPr>
            <w:r>
              <w:rPr>
                <w:rFonts w:ascii="Times New Roman" w:cs="Times New Roman" w:eastAsia="Times New Roman" w:hAnsi="Times New Roman"/>
                <w:b w:val="false"/>
                <w:bCs w:val="false"/>
                <w:i w:val="false"/>
                <w:iCs w:val="false"/>
                <w:caps w:val="false"/>
                <w:sz w:val="19"/>
                <w:szCs w:val="19"/>
              </w:rPr>
              <w:t xml:space="preserve">7.15 / 10</w:t>
            </w:r>
          </w:p>
        </w:tc>
      </w:tr>
    </w:tbl>
    <w:p>
      <w:pPr>
        <w:pStyle w:val="Heading1"/>
        <w:spacing w:after="160" w:before="360"/>
        <w:jc w:val="left"/>
      </w:pPr>
      <w:r>
        <w:rPr>
          <w:rFonts w:ascii="Times New Roman" w:cs="Times New Roman" w:eastAsia="Times New Roman" w:hAnsi="Times New Roman"/>
          <w:b/>
          <w:bCs/>
          <w:i w:val="false"/>
          <w:iCs w:val="false"/>
          <w:caps/>
          <w:sz w:val="26"/>
          <w:szCs w:val="26"/>
        </w:rPr>
        <w:t xml:space="preserve">8. KEY CONSIDERATIONS FOR DECISION-MAKERS</w:t>
      </w:r>
    </w:p>
    <w:p>
      <w:p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The following factors are material to vendor path selection:</w:t>
      </w:r>
    </w:p>
    <w:p>
      <w:pPr>
        <w:pStyle w:val="ListParagraph"/>
        <w:numPr>
          <w:ilvl w:val="0"/>
          <w:numId w:val="2"/>
        </w:numPr>
        <w:spacing w:after="60" w:line="276" w:lineRule="exact"/>
      </w:pPr>
      <w:r>
        <w:rPr>
          <w:rFonts w:ascii="Times New Roman" w:cs="Times New Roman" w:eastAsia="Times New Roman" w:hAnsi="Times New Roman"/>
          <w:b w:val="false"/>
          <w:bCs w:val="false"/>
          <w:i w:val="false"/>
          <w:iCs w:val="false"/>
          <w:caps w:val="false"/>
          <w:sz w:val="22"/>
          <w:szCs w:val="22"/>
        </w:rPr>
        <w:t xml:space="preserve">Cost near-parity at 25 tenants over 3 years (~$155K difference) means cost alone is not a determinative factor at the POC and initial production scale.</w:t>
      </w:r>
    </w:p>
    <w:p>
      <w:pPr>
        <w:pStyle w:val="ListParagraph"/>
        <w:numPr>
          <w:ilvl w:val="0"/>
          <w:numId w:val="2"/>
        </w:numPr>
        <w:spacing w:after="60" w:line="276" w:lineRule="exact"/>
      </w:pPr>
      <w:r>
        <w:rPr>
          <w:rFonts w:ascii="Times New Roman" w:cs="Times New Roman" w:eastAsia="Times New Roman" w:hAnsi="Times New Roman"/>
          <w:b w:val="false"/>
          <w:bCs w:val="false"/>
          <w:i w:val="false"/>
          <w:iCs w:val="false"/>
          <w:caps w:val="false"/>
          <w:sz w:val="22"/>
          <w:szCs w:val="22"/>
        </w:rPr>
        <w:t xml:space="preserve">Capability gap is structural, not configurable. The F5 platform natively delivers the split-proxy mTLS and per-tenant CA isolation that Cloudflare must construct through engineered workarounds. POC acceptance results will be the definitive test.</w:t>
      </w:r>
    </w:p>
    <w:p>
      <w:pPr>
        <w:pStyle w:val="ListParagraph"/>
        <w:numPr>
          <w:ilvl w:val="0"/>
          <w:numId w:val="2"/>
        </w:numPr>
        <w:spacing w:after="60" w:line="276" w:lineRule="exact"/>
      </w:pPr>
      <w:r>
        <w:rPr>
          <w:rFonts w:ascii="Times New Roman" w:cs="Times New Roman" w:eastAsia="Times New Roman" w:hAnsi="Times New Roman"/>
          <w:b w:val="false"/>
          <w:bCs w:val="false"/>
          <w:i w:val="false"/>
          <w:iCs w:val="false"/>
          <w:caps w:val="false"/>
          <w:sz w:val="22"/>
          <w:szCs w:val="22"/>
        </w:rPr>
        <w:t xml:space="preserve">SI cost is the primary uncertainty in the Cloudflare model. Actual cost depends on the SI selected, the complexity of the Cloudflare mTLS engineering workaround, and Year 2–3 platform stability assumptions.</w:t>
      </w:r>
    </w:p>
    <w:p>
      <w:pPr>
        <w:pStyle w:val="ListParagraph"/>
        <w:numPr>
          <w:ilvl w:val="0"/>
          <w:numId w:val="2"/>
        </w:numPr>
        <w:spacing w:after="60" w:line="276" w:lineRule="exact"/>
      </w:pPr>
      <w:r>
        <w:rPr>
          <w:rFonts w:ascii="Times New Roman" w:cs="Times New Roman" w:eastAsia="Times New Roman" w:hAnsi="Times New Roman"/>
          <w:b w:val="false"/>
          <w:bCs w:val="false"/>
          <w:i w:val="false"/>
          <w:iCs w:val="false"/>
          <w:caps w:val="false"/>
          <w:sz w:val="22"/>
          <w:szCs w:val="22"/>
        </w:rPr>
        <w:t xml:space="preserve">Traffic sensitivity favors WTIT at sustained throughput above ~1.1 Gbps. Below that threshold Cloudflare's annual operating cost is lower, though the 3-year delta remains within ~$155K at the 25-tenant low-traffic baseline.</w:t>
      </w:r>
    </w:p>
    <w:p>
      <w:pPr>
        <w:pStyle w:val="ListParagraph"/>
        <w:numPr>
          <w:ilvl w:val="0"/>
          <w:numId w:val="2"/>
        </w:numPr>
        <w:spacing w:after="60" w:line="276" w:lineRule="exact"/>
      </w:pPr>
      <w:r>
        <w:rPr>
          <w:rFonts w:ascii="Times New Roman" w:cs="Times New Roman" w:eastAsia="Times New Roman" w:hAnsi="Times New Roman"/>
          <w:b w:val="false"/>
          <w:bCs w:val="false"/>
          <w:i w:val="false"/>
          <w:iCs w:val="false"/>
          <w:caps w:val="false"/>
          <w:sz w:val="22"/>
          <w:szCs w:val="22"/>
        </w:rPr>
        <w:t xml:space="preserve">Both paths target self-service integration by September 30, 2026. POC delivery on July 30 is the critical path dependency for both vendor selections.</w:t>
      </w:r>
    </w:p>
    <w:p>
      <w:pPr>
        <w:pStyle w:val="ListParagraph"/>
        <w:numPr>
          <w:ilvl w:val="0"/>
          <w:numId w:val="2"/>
        </w:numPr>
        <w:spacing w:after="60" w:line="276" w:lineRule="exact"/>
      </w:pPr>
      <w:r>
        <w:rPr>
          <w:rFonts w:ascii="Times New Roman" w:cs="Times New Roman" w:eastAsia="Times New Roman" w:hAnsi="Times New Roman"/>
          <w:b w:val="false"/>
          <w:bCs w:val="false"/>
          <w:i w:val="false"/>
          <w:iCs w:val="false"/>
          <w:caps w:val="false"/>
          <w:sz w:val="22"/>
          <w:szCs w:val="22"/>
        </w:rPr>
        <w:t xml:space="preserve">These projections are planning-grade estimates for business case development. They are not contractual and do not constitute a vendor selection recommendation.</w:t>
      </w:r>
    </w:p>
    <w:p>
      <w:r>
        <w:br w:type="page"/>
      </w:r>
    </w:p>
    <w:p>
      <w:pPr>
        <w:pStyle w:val="Heading1"/>
        <w:spacing w:after="160" w:before="360"/>
        <w:jc w:val="left"/>
      </w:pPr>
      <w:r>
        <w:rPr>
          <w:rFonts w:ascii="Times New Roman" w:cs="Times New Roman" w:eastAsia="Times New Roman" w:hAnsi="Times New Roman"/>
          <w:b/>
          <w:bCs/>
          <w:i w:val="false"/>
          <w:iCs w:val="false"/>
          <w:caps/>
          <w:sz w:val="26"/>
          <w:szCs w:val="26"/>
        </w:rPr>
        <w:t xml:space="preserve">REFERENCES</w:t>
      </w:r>
    </w:p>
    <w:p>
      <w:pPr>
        <w:spacing w:after="60" w:line="276" w:lineRule="exact"/>
        <w:ind w:left="360" w:hanging="360"/>
        <w:jc w:val="left"/>
      </w:pPr>
      <w:r>
        <w:rPr>
          <w:rFonts w:ascii="Times New Roman" w:cs="Times New Roman" w:eastAsia="Times New Roman" w:hAnsi="Times New Roman"/>
          <w:b w:val="false"/>
          <w:bCs w:val="false"/>
          <w:i w:val="false"/>
          <w:iCs w:val="false"/>
          <w:caps w:val="false"/>
          <w:sz w:val="20"/>
          <w:szCs w:val="20"/>
        </w:rPr>
        <w:t xml:space="preserve">[1]  3PLZ POC Cost Estimation (full detail), CVS Health Enterprise Architecture, April 2026. (Internal document.)</w:t>
      </w:r>
    </w:p>
    <w:p>
      <w:pPr>
        <w:spacing w:after="60" w:line="276" w:lineRule="exact"/>
        <w:ind w:left="360" w:hanging="360"/>
        <w:jc w:val="left"/>
      </w:pPr>
      <w:r>
        <w:rPr>
          <w:rFonts w:ascii="Times New Roman" w:cs="Times New Roman" w:eastAsia="Times New Roman" w:hAnsi="Times New Roman"/>
          <w:b w:val="false"/>
          <w:bCs w:val="false"/>
          <w:i w:val="false"/>
          <w:iCs w:val="false"/>
          <w:caps w:val="false"/>
          <w:sz w:val="20"/>
          <w:szCs w:val="20"/>
        </w:rPr>
        <w:t xml:space="preserve">[2]  3PLZ RFC Vendor Evaluation — F5, Cloudflare, Zscaler, Cisco, CVS Health Enterprise Architecture, March 31, 2026. (Internal document.)</w:t>
      </w:r>
    </w:p>
    <w:p>
      <w:pPr>
        <w:spacing w:after="60" w:line="276" w:lineRule="exact"/>
        <w:ind w:left="360" w:hanging="360"/>
        <w:jc w:val="left"/>
      </w:pPr>
      <w:r>
        <w:rPr>
          <w:rFonts w:ascii="Times New Roman" w:cs="Times New Roman" w:eastAsia="Times New Roman" w:hAnsi="Times New Roman"/>
          <w:b w:val="false"/>
          <w:bCs w:val="false"/>
          <w:i w:val="false"/>
          <w:iCs w:val="false"/>
          <w:caps w:val="false"/>
          <w:sz w:val="20"/>
          <w:szCs w:val="20"/>
        </w:rPr>
        <w:t xml:space="preserve">[3]  WTIT / World Tech IT. "3PLZ Cloud.Red Platform Proposal v13-4," 2026. (Internal document — on file with CVS Health Enterprise Security Architecture.)</w:t>
      </w:r>
    </w:p>
    <w:p>
      <w:pPr>
        <w:spacing w:after="60" w:line="276" w:lineRule="exact"/>
        <w:ind w:left="360" w:hanging="360"/>
        <w:jc w:val="left"/>
      </w:pPr>
      <w:r>
        <w:rPr>
          <w:rFonts w:ascii="Times New Roman" w:cs="Times New Roman" w:eastAsia="Times New Roman" w:hAnsi="Times New Roman"/>
          <w:b w:val="false"/>
          <w:bCs w:val="false"/>
          <w:i w:val="false"/>
          <w:iCs w:val="false"/>
          <w:caps w:val="false"/>
          <w:sz w:val="20"/>
          <w:szCs w:val="20"/>
        </w:rPr>
        <w:t xml:space="preserve">[4]  Cloudflare, Inc. "Zero Trust Plans &amp; Pricing," Q4 2022. https://www.cloudflare.com/static/3fb3993535599c90e3fb6b64f2c11d67/Cloudflare_Zero_Trust_Pricing___Plans__Q4_2022__.pdf</w:t>
      </w:r>
    </w:p>
    <w:p>
      <w:pPr>
        <w:spacing w:after="60" w:line="276" w:lineRule="exact"/>
        <w:ind w:left="360" w:hanging="360"/>
        <w:jc w:val="left"/>
      </w:pPr>
      <w:r>
        <w:rPr>
          <w:rFonts w:ascii="Times New Roman" w:cs="Times New Roman" w:eastAsia="Times New Roman" w:hAnsi="Times New Roman"/>
          <w:b w:val="false"/>
          <w:bCs w:val="false"/>
          <w:i w:val="false"/>
          <w:iCs w:val="false"/>
          <w:caps w:val="false"/>
          <w:sz w:val="20"/>
          <w:szCs w:val="20"/>
        </w:rPr>
        <w:t xml:space="preserve">[5]  3PLZ Cloudflare POC Deliverables &amp; Engineering Implementation Workflows, CVS Health Enterprise Architecture, April 2026. (Internal document.)</w:t>
      </w:r>
    </w:p>
    <w:p>
      <w:pPr>
        <w:spacing w:after="60" w:line="276" w:lineRule="exact"/>
        <w:ind w:left="360" w:hanging="360"/>
        <w:jc w:val="left"/>
      </w:pPr>
      <w:r>
        <w:rPr>
          <w:rFonts w:ascii="Times New Roman" w:cs="Times New Roman" w:eastAsia="Times New Roman" w:hAnsi="Times New Roman"/>
          <w:b w:val="false"/>
          <w:bCs w:val="false"/>
          <w:i w:val="false"/>
          <w:iCs w:val="false"/>
          <w:caps w:val="false"/>
          <w:sz w:val="20"/>
          <w:szCs w:val="20"/>
        </w:rPr>
        <w:t xml:space="preserve">[6]  3PLZ F5 Distributed Cloud POC Deliverables &amp; Engineering Implementation Workflows, CVS Health Enterprise Architecture, April 2026. (Internal document.)</w:t>
      </w:r>
    </w:p>
    <w:sectPr>
      <w:headerReference w:type="default" r:id="rId7"/>
      <w:pgSz w:w="12240" w:h="15840"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928"/>
      </w:tabs>
      <w:spacing w:after="0"/>
    </w:pPr>
    <w:r>
      <w:rPr>
        <w:rFonts w:ascii="Times New Roman" w:cs="Times New Roman" w:eastAsia="Times New Roman" w:hAnsi="Times New Roman"/>
        <w:b w:val="false"/>
        <w:bCs w:val="false"/>
        <w:i/>
        <w:iCs/>
        <w:caps w:val="false"/>
        <w:color w:val="888888"/>
        <w:sz w:val="16"/>
        <w:szCs w:val="16"/>
      </w:rPr>
      <w:t xml:space="preserve">3PLZ POC Cost Estimation — Executive Summary</w:t>
    </w:r>
    <w:r>
      <w:rPr>
        <w:rFonts w:ascii="Times New Roman" w:cs="Times New Roman" w:eastAsia="Times New Roman" w:hAnsi="Times New Roman"/>
        <w:sz w:val="16"/>
        <w:szCs w:val="16"/>
      </w:rPr>
      <w:t xml:space="preserve">	</w:t>
    </w:r>
    <w:r>
      <w:rPr>
        <w:rFonts w:ascii="Times New Roman" w:cs="Times New Roman" w:eastAsia="Times New Roman" w:hAnsi="Times New Roman"/>
        <w:b w:val="false"/>
        <w:bCs w:val="false"/>
        <w:i/>
        <w:iCs/>
        <w:caps w:val="false"/>
        <w:color w:val="888888"/>
        <w:sz w:val="16"/>
        <w:szCs w:val="16"/>
      </w:rPr>
      <w:t xml:space="preserve">Page </w:t>
    </w:r>
    <w:r>
      <w:rPr>
        <w:rFonts w:ascii="Times New Roman" w:cs="Times New Roman" w:eastAsia="Times New Roman" w:hAnsi="Times New Roman"/>
        <w:i/>
        <w:iCs/>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b w:val="false"/>
        <w:bCs w:val="false"/>
        <w:i/>
        <w:iCs/>
        <w:caps w:val="false"/>
        <w:color w:val="888888"/>
        <w:sz w:val="16"/>
        <w:szCs w:val="16"/>
      </w:rPr>
      <w:t xml:space="preserve"> of </w:t>
    </w:r>
    <w:r>
      <w:rPr>
        <w:rFonts w:ascii="Times New Roman" w:cs="Times New Roman" w:eastAsia="Times New Roman" w:hAnsi="Times New Roman"/>
        <w:i/>
        <w:iCs/>
        <w:color w:val="888888"/>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exact"/>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left"/>
      <w:outlineLvl w:val="0"/>
    </w:pPr>
    <w:rPr>
      <w:rFonts w:ascii="Times New Roman" w:cs="Times New Roman" w:eastAsia="Times New Roman" w:hAnsi="Times New Roman"/>
      <w:b/>
      <w:bCs/>
      <w:caps/>
      <w:sz w:val="26"/>
      <w:szCs w:val="26"/>
    </w:rPr>
  </w:style>
  <w:style w:type="paragraph" w:styleId="Heading2">
    <w:name w:val="Heading 2"/>
    <w:basedOn w:val="Normal"/>
    <w:next w:val="Normal"/>
    <w:qFormat/>
    <w:pPr>
      <w:spacing w:after="120" w:before="280"/>
      <w:jc w:val="left"/>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2026-04-22T21:34:21.817Z</dcterms:created>
  <dcterms:modified xsi:type="dcterms:W3CDTF">2026-04-22T21:34:21.817Z</dcterms:modified>
</cp:coreProperties>
</file>

<file path=docProps/custom.xml><?xml version="1.0" encoding="utf-8"?>
<Properties xmlns="http://schemas.openxmlformats.org/officeDocument/2006/custom-properties" xmlns:vt="http://schemas.openxmlformats.org/officeDocument/2006/docPropsVTypes"/>
</file>