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caps w:val="false"/>
          <w:sz w:val="32"/>
          <w:szCs w:val="32"/>
        </w:rPr>
        <w:t xml:space="preserve">CVS Health ZTNA-NAC Program</w:t>
      </w:r>
    </w:p>
    <w:p>
      <w:pPr>
        <w:spacing w:after="120"/>
        <w:jc w:val="center"/>
      </w:pPr>
      <w:r>
        <w:rPr>
          <w:rFonts w:ascii="Times New Roman" w:cs="Times New Roman" w:eastAsia="Times New Roman" w:hAnsi="Times New Roman"/>
          <w:b w:val="false"/>
          <w:bCs w:val="false"/>
          <w:i w:val="false"/>
          <w:iCs w:val="false"/>
          <w:caps w:val="false"/>
          <w:sz w:val="26"/>
          <w:szCs w:val="26"/>
        </w:rPr>
        <w:t xml:space="preserve">Zero Trust Network Access Control — Updated Architecture</w:t>
      </w:r>
    </w:p>
    <w:p>
      <w:pPr>
        <w:spacing w:after="60"/>
        <w:jc w:val="center"/>
      </w:pPr>
      <w:r>
        <w:rPr>
          <w:rFonts w:ascii="Times New Roman" w:cs="Times New Roman" w:eastAsia="Times New Roman" w:hAnsi="Times New Roman"/>
          <w:b w:val="false"/>
          <w:bCs w:val="false"/>
          <w:i w:val="false"/>
          <w:iCs w:val="false"/>
          <w:caps w:val="false"/>
          <w:sz w:val="20"/>
          <w:szCs w:val="20"/>
        </w:rPr>
        <w:t xml:space="preserve">Michael J. Martin, Lead Director, Information Security</w:t>
      </w:r>
    </w:p>
    <w:p>
      <w:pPr>
        <w:spacing w:after="60"/>
        <w:jc w:val="center"/>
      </w:pPr>
      <w:r>
        <w:rPr>
          <w:rFonts w:ascii="Times New Roman" w:cs="Times New Roman" w:eastAsia="Times New Roman" w:hAnsi="Times New Roman"/>
          <w:b w:val="false"/>
          <w:bCs w:val="false"/>
          <w:i w:val="false"/>
          <w:iCs w:val="false"/>
          <w:caps w:val="false"/>
          <w:sz w:val="20"/>
          <w:szCs w:val="20"/>
        </w:rPr>
        <w:t xml:space="preserve">April 2026</w:t>
      </w:r>
    </w:p>
    <w:p>
      <w:pPr>
        <w:spacing w:after="60"/>
        <w:jc w:val="center"/>
      </w:pPr>
      <w:r>
        <w:rPr>
          <w:rFonts w:ascii="Times New Roman" w:cs="Times New Roman" w:eastAsia="Times New Roman" w:hAnsi="Times New Roman"/>
          <w:b w:val="false"/>
          <w:bCs w:val="false"/>
          <w:i w:val="false"/>
          <w:iCs w:val="false"/>
          <w:caps w:val="false"/>
          <w:sz w:val="20"/>
          <w:szCs w:val="20"/>
        </w:rPr>
        <w:t xml:space="preserve">CONFIDENTIAL / INTERNAL</w:t>
      </w:r>
    </w:p>
    <w:p>
      <w:pPr>
        <w:spacing w:after="60"/>
        <w:jc w:val="center"/>
      </w:pPr>
      <w:r>
        <w:rPr>
          <w:rFonts w:ascii="Times New Roman" w:cs="Times New Roman" w:eastAsia="Times New Roman" w:hAnsi="Times New Roman"/>
          <w:b w:val="false"/>
          <w:bCs w:val="false"/>
          <w:i w:val="false"/>
          <w:iCs w:val="false"/>
          <w:caps w:val="false"/>
          <w:sz w:val="20"/>
          <w:szCs w:val="20"/>
        </w:rPr>
        <w:t xml:space="preserve">Version 5.1 · Supersedes Architecture v4 (April 2026)</w:t>
      </w:r>
    </w:p>
    <w:p>
      <w:pPr>
        <w:spacing w:after="120" w:before="240"/>
        <w:jc w:val="center"/>
      </w:pPr>
      <w:r>
        <w:rPr>
          <w:rFonts w:ascii="Times New Roman" w:cs="Times New Roman" w:eastAsia="Times New Roman" w:hAnsi="Times New Roman"/>
          <w:b/>
          <w:bCs/>
          <w:i w:val="false"/>
          <w:iCs w:val="false"/>
          <w:caps w:val="false"/>
          <w:sz w:val="22"/>
          <w:szCs w:val="22"/>
        </w:rPr>
        <w:t xml:space="preserve">Abstract</w:t>
      </w:r>
    </w:p>
    <w:p>
      <w:pPr>
        <w:spacing w:after="120" w:line="276" w:lineRule="exact"/>
        <w:ind w:left="360" w:right="360"/>
        <w:jc w:val="both"/>
      </w:pPr>
      <w:r>
        <w:rPr>
          <w:rFonts w:ascii="Times New Roman" w:cs="Times New Roman" w:eastAsia="Times New Roman" w:hAnsi="Times New Roman"/>
          <w:b w:val="false"/>
          <w:bCs w:val="false"/>
          <w:i w:val="false"/>
          <w:iCs w:val="false"/>
          <w:caps w:val="false"/>
          <w:sz w:val="20"/>
          <w:szCs w:val="20"/>
        </w:rPr>
        <w:t xml:space="preserve">This document describes the updated Zero Trust Network Access Control (ZTNA-NAC) architecture for CVS Health, superseding Version 4. It captures the corrected enforcement model — replacing SGT/TrustSec and Palo Alto NGFW as the Tier 2 managed device enforcement mechanism with L3 dynamic ACLs pushed directly to the access layer switch by Forescout. It corrects the characterisation of the 2013 operating model, updates the iterative program design statement, and clarifies the independence of the IoT/OT enforcement track from Phase 1 endpoint success criteria. The document also adds the validation-first POC sequencing model, the enterprise expansion statement, and a comparative appendix contrasting the legacy Forescout policy and enforcement approach with the updated architecture.</w:t>
      </w:r>
    </w:p>
    <w:p>
      <w:pPr>
        <w:pStyle w:val="Heading1"/>
        <w:pageBreakBefore/>
        <w:spacing w:after="160" w:before="360"/>
      </w:pPr>
      <w:r>
        <w:rPr>
          <w:rFonts w:ascii="Times New Roman" w:cs="Times New Roman" w:eastAsia="Times New Roman" w:hAnsi="Times New Roman"/>
          <w:b/>
          <w:bCs/>
          <w:i w:val="false"/>
          <w:iCs w:val="false"/>
          <w:caps w:val="false"/>
          <w:sz w:val="26"/>
          <w:szCs w:val="26"/>
        </w:rPr>
        <w:t xml:space="preserve">1. BACKGROUND AND RE-ARCHITECTURE RATIONALE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CVS Health Forescout CounterACT platform was initially deployed in 2013. The original architecture positioned Forescout as a multi-function admission, validation, and remediation platform. While Forescout is technically capable of operating in this mode, the 2013 deployment predates the current endpoint management stack and reflects a fundamentally different security architecture.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Since 2013, CVS Health has deployed a mature endpoint management and security toolchain — Microsoft Intune, Jamf, CrowdStrike Falcon, Qualys, Tanium, and SCCM — that collectively owns the remediation and compliance enforcement function. This re-architecture collapses the Forescout operational model to two functions: admission enforcement and continuous validation. Remediation responsibility transfers entirely to the existing endpoint management stack.</w:t>
      </w:r>
    </w:p>
    <w:p>
      <w:pPr>
        <w:pStyle w:val="Heading2"/>
        <w:spacing w:after="120" w:before="280"/>
      </w:pPr>
      <w:r>
        <w:rPr>
          <w:rFonts w:ascii="Times New Roman" w:cs="Times New Roman" w:eastAsia="Times New Roman" w:hAnsi="Times New Roman"/>
          <w:b/>
          <w:bCs/>
          <w:i w:val="false"/>
          <w:iCs w:val="false"/>
          <w:caps w:val="false"/>
          <w:sz w:val="22"/>
          <w:szCs w:val="22"/>
        </w:rPr>
        <w:t xml:space="preserve">1.1 Original vs. Updated Operating Model</w:t>
      </w:r>
    </w:p>
    <w:p>
      <w:pPr>
        <w:spacing w:after="80" w:before="120"/>
        <w:jc w:val="center"/>
      </w:pPr>
      <w:r>
        <w:rPr>
          <w:rFonts w:ascii="Times New Roman" w:cs="Times New Roman" w:eastAsia="Times New Roman" w:hAnsi="Times New Roman"/>
          <w:b w:val="false"/>
          <w:bCs w:val="false"/>
          <w:i/>
          <w:iCs/>
          <w:caps w:val="false"/>
          <w:sz w:val="20"/>
          <w:szCs w:val="20"/>
        </w:rPr>
        <w:t xml:space="preserve">Table 1. Forescout Operating Model — 2013 vs. 2026</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976"/>
        <w:gridCol w:w="2976"/>
        <w:gridCol w:w="2976"/>
      </w:tblGrid>
      <w:tr>
        <w:trPr>
          <w:cantSplit/>
          <w:tblHeader/>
        </w:trPr>
        <w:tc>
          <w:tcPr>
            <w:tcW w:type="dxa" w:w="29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Function</w:t>
            </w:r>
          </w:p>
        </w:tc>
        <w:tc>
          <w:tcPr>
            <w:tcW w:type="dxa" w:w="29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2013 Model</w:t>
            </w:r>
          </w:p>
        </w:tc>
        <w:tc>
          <w:tcPr>
            <w:tcW w:type="dxa" w:w="2976"/>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2026 Model</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Admission enforcement</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Dynamic MAC filter — AD group membership (periodic, scheduled)</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 continuous, real-time</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Posture validation</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baseline host check policy — periodic, scheduled; not real-time posture state</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Continuous — real-time API query against endpoint security stack</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Posture assessment engine</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native host checks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CrowdStrike, Qualys, Jamf, Tanium, SCCM — Forescout reads and enforces</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Mid-session enforcement</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 — next validation cycle only</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Yes — L3 ACL updated on switch within P95 15 seconds</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remediation workflows</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 Jamf / CrowdStrike / SCCM — not Forescout</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IoT/OT discovery</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Limited — DHCP, SNMP, SPAN-dependent</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xDome (Claroty Edge — no SPAN required)</w:t>
            </w:r>
          </w:p>
        </w:tc>
      </w:tr>
      <w:tr>
        <w:trPr>
          <w:cantSplit/>
          <w:tblHeader w:val="false"/>
        </w:trPr>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Non-compliant state</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 VLAN — severed management plane</w:t>
            </w:r>
          </w:p>
        </w:tc>
        <w:tc>
          <w:tcPr>
            <w:tcW w:type="dxa" w:w="29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 2 — L3 dynamic ACL on static VLAN, management plane preserved</w:t>
            </w:r>
          </w:p>
        </w:tc>
      </w:tr>
      <w:tr>
        <w:trPr>
          <w:cantSplit/>
          <w:tblHeader w:val="false"/>
        </w:trPr>
        <w:tc>
          <w:tcPr>
            <w:tcW w:type="dxa" w:w="29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VLAN assignment</w:t>
            </w:r>
          </w:p>
        </w:tc>
        <w:tc>
          <w:tcPr>
            <w:tcW w:type="dxa" w:w="29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Dynamic — moved to remediation VLAN</w:t>
            </w:r>
          </w:p>
        </w:tc>
        <w:tc>
          <w:tcPr>
            <w:tcW w:type="dxa" w:w="2976"/>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Static — device never leaves its VLAN</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1.2 Program Design — Iterative Approach</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The program is iterative by design.</w:t>
      </w:r>
      <w:r>
        <w:rPr>
          <w:rFonts w:ascii="Times New Roman" w:cs="Times New Roman" w:eastAsia="Times New Roman" w:hAnsi="Times New Roman"/>
          <w:b w:val="false"/>
          <w:bCs w:val="false"/>
          <w:i w:val="false"/>
          <w:iCs w:val="false"/>
          <w:caps w:val="false"/>
          <w:sz w:val="22"/>
          <w:szCs w:val="22"/>
        </w:rPr>
        <w:t xml:space="preserve"> The initial focus is end-point compute admission control — permitting managed systems, blocking non-managed systems, and restricting unrecognized IoT/OT devices from unrestricted network access. This establishes the enforcement foundation and validates the policy model before broader enforcement is introduced.</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Building on the current CVS Health Business IoT security initiatives already underway, the program will collaborate with those teams to introduce IoT/OT compliance-based admission control in a subsequent phase. IoT device admission will be managed through location-based discovery and device profiling, coordinated with the enterprise IoT governance and strategy effort currently in progress.</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The IoT/OT enforcement track is independent of the Phase 1 endpoint model.</w:t>
      </w:r>
      <w:r>
        <w:rPr>
          <w:rFonts w:ascii="Times New Roman" w:cs="Times New Roman" w:eastAsia="Times New Roman" w:hAnsi="Times New Roman"/>
          <w:b w:val="false"/>
          <w:bCs w:val="false"/>
          <w:i w:val="false"/>
          <w:iCs w:val="false"/>
          <w:caps w:val="false"/>
          <w:sz w:val="22"/>
          <w:szCs w:val="22"/>
        </w:rPr>
        <w:t xml:space="preserve"> IoT elements are not critical to the start and success of the initial endpoint enforcement program. Phase 1 success criteria are defined entirely by the managed endpoint admission and posture enforcement model.</w:t>
      </w:r>
    </w:p>
    <w:p>
      <w:pPr>
        <w:pStyle w:val="Heading1"/>
        <w:spacing w:after="160" w:before="360"/>
      </w:pPr>
      <w:r>
        <w:rPr>
          <w:rFonts w:ascii="Times New Roman" w:cs="Times New Roman" w:eastAsia="Times New Roman" w:hAnsi="Times New Roman"/>
          <w:b/>
          <w:bCs/>
          <w:i w:val="false"/>
          <w:iCs w:val="false"/>
          <w:caps w:val="false"/>
          <w:sz w:val="26"/>
          <w:szCs w:val="26"/>
        </w:rPr>
        <w:t xml:space="preserve">2. UPDATED CONTROL PLANE ARCHITECTURE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enforcement architecture comprises three integrated layers with clean separation of function. No two layers share primary responsibility for the same function.</w:t>
      </w:r>
    </w:p>
    <w:p>
      <w:pPr>
        <w:pStyle w:val="Heading2"/>
        <w:spacing w:after="120" w:before="280"/>
      </w:pPr>
      <w:r>
        <w:rPr>
          <w:rFonts w:ascii="Times New Roman" w:cs="Times New Roman" w:eastAsia="Times New Roman" w:hAnsi="Times New Roman"/>
          <w:b/>
          <w:bCs/>
          <w:i w:val="false"/>
          <w:iCs w:val="false"/>
          <w:caps w:val="false"/>
          <w:sz w:val="22"/>
          <w:szCs w:val="22"/>
        </w:rPr>
        <w:t xml:space="preserve">2.1 Claroty xDome — Discovery and Classification Layer</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Claroty xDome is the IoT/OT asset discovery and classification platform. Claroty Edge — a lightweight software component — deploys on any existing Windows host at each site. No SPAN port, TAP device, or network hardware provisioning is required. Claroty Edge produces a full IoT/OT/IT-IoT asset inventory within 24–48 hours of deployment, including device type, manufacturer, firmware version, communication baseline, and risk score.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Claroty device classifications and risk signals feed into Forescout CounterACT via API, providing the device inventory that drives IoT/OT MAB policy decisions. Claroty risk signals can also feed dynamic policy updates for east-west segmentation when a device crosses a behavioral risk threshold.</w:t>
      </w:r>
    </w:p>
    <w:p>
      <w:pPr>
        <w:pStyle w:val="Heading2"/>
        <w:spacing w:after="120" w:before="280"/>
      </w:pPr>
      <w:r>
        <w:rPr>
          <w:rFonts w:ascii="Times New Roman" w:cs="Times New Roman" w:eastAsia="Times New Roman" w:hAnsi="Times New Roman"/>
          <w:b/>
          <w:bCs/>
          <w:i w:val="false"/>
          <w:iCs w:val="false"/>
          <w:caps w:val="false"/>
          <w:sz w:val="22"/>
          <w:szCs w:val="22"/>
        </w:rPr>
        <w:t xml:space="preserve">2.2 Forescout CounterACT — NAC Enforcement Layer</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Forescout CounterACT is the NAC enforcement and continuous validation engine. In the updated architecture, Forescout performs two functions only: admission enforcement via RADIUS MAB, and continuous posture validation via API integration with the endpoint management stack.</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Forescout does not perform its own active OT scanning. All IoT/OT device profiling is sourced from Claroty. For managed endpoints, posture data is sourced from Intune, Jamf, CrowdStrike, Qualys, Tanium, and SCCM via their respective APIs. Forescout evaluates the posture data against the eight-point check policy and assigns the admission outcome accordingly. Tier 2 enforcement is applied by pushing an L3 dynamic ACL directly to the access layer switch — no VLAN change, no firewall policy update required.</w:t>
      </w:r>
    </w:p>
    <w:p>
      <w:pPr>
        <w:pStyle w:val="Heading2"/>
        <w:spacing w:after="120" w:before="280"/>
      </w:pPr>
      <w:r>
        <w:rPr>
          <w:rFonts w:ascii="Times New Roman" w:cs="Times New Roman" w:eastAsia="Times New Roman" w:hAnsi="Times New Roman"/>
          <w:b/>
          <w:bCs/>
          <w:i w:val="false"/>
          <w:iCs w:val="false"/>
          <w:caps w:val="false"/>
          <w:sz w:val="22"/>
          <w:szCs w:val="22"/>
        </w:rPr>
        <w:t xml:space="preserve">2.3 Palo Alto NGFW — East-West Segmentation Layer</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Note:</w:t>
      </w:r>
      <w:r>
        <w:rPr>
          <w:rFonts w:ascii="Times New Roman" w:cs="Times New Roman" w:eastAsia="Times New Roman" w:hAnsi="Times New Roman"/>
          <w:b w:val="false"/>
          <w:bCs w:val="false"/>
          <w:i w:val="false"/>
          <w:iCs w:val="false"/>
          <w:caps w:val="false"/>
          <w:sz w:val="22"/>
          <w:szCs w:val="22"/>
        </w:rPr>
        <w:t xml:space="preserve"> The Palo Alto NGFW is not the enforcement mechanism for Tier 2 managed device state. Tier 2 enforcement is executed by Forescout pushing an L3 dynamic ACL to the access layer switch. The PAN NGFW role is east-west traffic segmentation and IT-to-OT boundary enforcement — it does not make admission decisions and is not involved in the managed endpoint Tier 2 policy.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For IoT/OT devices at Stage 3 maturity, the PAN NGFW enforces OT micro-segmentation policy using device classifications sourced from Claroty. Dynamic policy updates are triggered by Claroty risk signal breaches fed through Forescout CoA.</w:t>
      </w:r>
    </w:p>
    <w:p>
      <w:pPr>
        <w:spacing w:after="80" w:before="120"/>
        <w:jc w:val="center"/>
      </w:pPr>
      <w:r>
        <w:rPr>
          <w:rFonts w:ascii="Times New Roman" w:cs="Times New Roman" w:eastAsia="Times New Roman" w:hAnsi="Times New Roman"/>
          <w:b w:val="false"/>
          <w:bCs w:val="false"/>
          <w:i/>
          <w:iCs/>
          <w:caps w:val="false"/>
          <w:sz w:val="20"/>
          <w:szCs w:val="20"/>
        </w:rPr>
        <w:t xml:space="preserve">Table 2. Control Plane — Tool Function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364"/>
        <w:gridCol w:w="3364"/>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Tool</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Role</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Does Not Do</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xDome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IoT/OT discovery, classification, behavioral baselining, risk scoring</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Enforcement, admission decisions</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CounterACT</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admission, L3 dynamic ACL enforcement on switch, continuous posture validation via API, CoA</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 OT active scanning, VLAN assignment</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Palo Alto NGFW</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East-west segmentation, IT-to-OT boundary enforcement, OT micro-segmentation (Stage 3)</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Admission decisions, Tier 2 managed device enforcement, device classification</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 Jamf / SCCM</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MDM enrollment, compliance enforcement, patch management</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Network admission, traffic enforcement</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CrowdStrike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EDR, threat telemetry, sensor health (posture input to Forescout)</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Network admission</w:t>
            </w:r>
          </w:p>
        </w:tc>
      </w:tr>
      <w:tr>
        <w:trPr>
          <w:cantSplit/>
          <w:tblHeader w:val="false"/>
        </w:trP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Qualys / Tanium</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Vulnerability posture, agent presence (posture input to Forescout)</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Network admission</w:t>
            </w:r>
          </w:p>
        </w:tc>
      </w:tr>
    </w:tbl>
    <w:p>
      <w:pPr>
        <w:spacing w:after="60"/>
      </w:pPr>
    </w:p>
    <w:p>
      <w:pPr>
        <w:pStyle w:val="Heading1"/>
        <w:spacing w:after="160" w:before="360"/>
      </w:pPr>
      <w:r>
        <w:rPr>
          <w:rFonts w:ascii="Times New Roman" w:cs="Times New Roman" w:eastAsia="Times New Roman" w:hAnsi="Times New Roman"/>
          <w:b/>
          <w:bCs/>
          <w:i w:val="false"/>
          <w:iCs w:val="false"/>
          <w:caps w:val="false"/>
          <w:sz w:val="26"/>
          <w:szCs w:val="26"/>
        </w:rPr>
        <w:t xml:space="preserve">3. ENFORCEMENT MODEL</w:t>
      </w:r>
    </w:p>
    <w:p>
      <w:pPr>
        <w:pStyle w:val="Heading2"/>
        <w:spacing w:after="120" w:before="280"/>
      </w:pPr>
      <w:r>
        <w:rPr>
          <w:rFonts w:ascii="Times New Roman" w:cs="Times New Roman" w:eastAsia="Times New Roman" w:hAnsi="Times New Roman"/>
          <w:b/>
          <w:bCs/>
          <w:i w:val="false"/>
          <w:iCs w:val="false"/>
          <w:caps w:val="false"/>
          <w:sz w:val="22"/>
          <w:szCs w:val="22"/>
        </w:rPr>
        <w:t xml:space="preserve">3.1 Admission Decision Logic</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Every device connecting to a CVS Health wired network port is subject to the following admission decision tree. The decision is made by Forescout via RADIUS MAB at connection time and is continuously re-evaluated post-admission.</w:t>
      </w:r>
    </w:p>
    <w:p>
      <w:pPr>
        <w:spacing w:after="80" w:before="120"/>
        <w:jc w:val="center"/>
      </w:pPr>
      <w:r>
        <w:rPr>
          <w:rFonts w:ascii="Times New Roman" w:cs="Times New Roman" w:eastAsia="Times New Roman" w:hAnsi="Times New Roman"/>
          <w:b w:val="false"/>
          <w:bCs w:val="false"/>
          <w:i/>
          <w:iCs/>
          <w:caps w:val="false"/>
          <w:sz w:val="20"/>
          <w:szCs w:val="20"/>
        </w:rPr>
        <w:t xml:space="preserve">Table 3. Admission Outcomes by Device Type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328"/>
      </w:tblGrid>
      <w:tr>
        <w:trPr>
          <w:cantSplit/>
          <w:tblHeader/>
        </w:trPr>
        <w:tc>
          <w:tcPr>
            <w:tcW w:type="dxa" w:w="2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Device Category</w:t>
            </w:r>
          </w:p>
        </w:tc>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Admission Outcome</w:t>
            </w:r>
          </w:p>
        </w:tc>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Enforcement Mechanism</w:t>
            </w:r>
          </w:p>
        </w:tc>
        <w:tc>
          <w:tcPr>
            <w:tcW w:type="dxa" w:w="23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Notes</w:t>
            </w:r>
          </w:p>
        </w:tc>
      </w:tr>
      <w:tr>
        <w:trPr>
          <w:cantSplit/>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Unmanaged Windows or Mac</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HARD BLOCK — no access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deny</w:t>
            </w:r>
          </w:p>
        </w:tc>
        <w:tc>
          <w:tcPr>
            <w:tcW w:type="dxa" w:w="2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 remediation path from the network.</w:t>
            </w:r>
          </w:p>
        </w:tc>
      </w:tr>
      <w:tr>
        <w:trPr>
          <w:cantSplit/>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 / OT Device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ADMITTED — IoT segment, logged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MAB classification + device-class L3 ACL on static VLAN</w:t>
            </w:r>
          </w:p>
        </w:tc>
        <w:tc>
          <w:tcPr>
            <w:tcW w:type="dxa" w:w="2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 posture check. Claroty begins behavioral baselining.</w:t>
            </w:r>
          </w:p>
        </w:tc>
      </w:tr>
      <w:tr>
        <w:trPr>
          <w:cantSplit/>
          <w:tblHeader w:val="false"/>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Managed — all 8 checks pass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 1 — Full access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Dynamic MAC admit + full-access L3 ACL</w:t>
            </w:r>
          </w:p>
        </w:tc>
        <w:tc>
          <w:tcPr>
            <w:tcW w:type="dxa" w:w="2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Full CVS internal + M365 + Zscaler internet egress.</w:t>
            </w:r>
          </w:p>
        </w:tc>
      </w:tr>
      <w:tr>
        <w:trPr>
          <w:cantSplit/>
          <w:tblHeader w:val="false"/>
        </w:trPr>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Managed — one or more checks fail</w:t>
            </w:r>
          </w:p>
        </w:tc>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 2 — Limited access</w:t>
            </w:r>
          </w:p>
        </w:tc>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Dynamic MAC admit + restricted L3 ACL pushed to switch</w:t>
            </w:r>
          </w:p>
        </w:tc>
        <w:tc>
          <w:tcPr>
            <w:tcW w:type="dxa" w:w="23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Management plane reachable. Auto-promoted via CoA when all checks pass. No VLAN change.</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3.2 Eight-Point Endpoint Check Policy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For a managed Windows or Mac endpoint to be admitted at Tier 1, all eight checks must pass. Any single failure results in Tier 2. Checks are evaluated at admission and continuously re-evaluated post-admission. A mid-session failure triggers CoA demotion to Tier 2 with a target P95 enforcement latency of 15 seconds.</w:t>
      </w:r>
    </w:p>
    <w:p>
      <w:pPr>
        <w:spacing w:after="80" w:before="120"/>
        <w:jc w:val="center"/>
      </w:pPr>
      <w:r>
        <w:rPr>
          <w:rFonts w:ascii="Times New Roman" w:cs="Times New Roman" w:eastAsia="Times New Roman" w:hAnsi="Times New Roman"/>
          <w:b w:val="false"/>
          <w:bCs w:val="false"/>
          <w:i/>
          <w:iCs/>
          <w:caps w:val="false"/>
          <w:sz w:val="20"/>
          <w:szCs w:val="20"/>
        </w:rPr>
        <w:t xml:space="preserve">Table 4. Eight-Point Managed Endpoint Check Policy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128"/>
      </w:tblGrid>
      <w:tr>
        <w:trPr>
          <w:cantSplit/>
          <w:tblHeader/>
        </w:trPr>
        <w:tc>
          <w:tcPr>
            <w:tcW w:type="dxa" w:w="6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w:t>
            </w:r>
          </w:p>
        </w:tc>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Check</w:t>
            </w:r>
          </w:p>
        </w:tc>
        <w:tc>
          <w:tcPr>
            <w:tcW w:type="dxa" w:w="2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Tool</w:t>
            </w:r>
          </w:p>
        </w:tc>
        <w:tc>
          <w:tcPr>
            <w:tcW w:type="dxa" w:w="41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Validation Criterion</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agent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CounterACT</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Agent heartbeat active; check-in within threshold</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enrollment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Microsoft Intune API</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Device enrolled; compliance state = Compliant</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Azure AD join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Entra ID / Azure AD API</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Device registered; Azure AD join confirmed</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CrowdStrike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CrowdStrike API</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Sensor healthy; prevention policy active; no critical alerts</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Qualys</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Qualys API</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Agent present; last check-in within threshold; no critical unpatched CVEs beyond defined age</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6</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Tanium</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Tanium API</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Agent online; last check-in within threshold</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7</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Jamf (Mac) / SCCM (Windows)</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Jamf API / SCCM</w:t>
            </w:r>
          </w:p>
        </w:tc>
        <w:tc>
          <w:tcPr>
            <w:tcW w:type="dxa" w:w="41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Device enrolled; compliance check passed; managed configuration applied</w:t>
            </w:r>
          </w:p>
        </w:tc>
      </w:tr>
      <w:tr>
        <w:trPr>
          <w:cantSplit/>
          <w:tblHeader w:val="false"/>
        </w:trPr>
        <w:tc>
          <w:tcPr>
            <w:tcW w:type="dxa" w:w="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8</w:t>
            </w:r>
          </w:p>
        </w:tc>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Patch posture</w:t>
            </w:r>
          </w:p>
        </w:tc>
        <w:tc>
          <w:tcPr>
            <w:tcW w:type="dxa" w:w="2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SCCM / Qualys</w:t>
            </w:r>
          </w:p>
        </w:tc>
        <w:tc>
          <w:tcPr>
            <w:tcW w:type="dxa" w:w="41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 critical or high severity unpatched vulnerabilities beyond defined remediation SLA</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3.3 Tier 2 Non-Compliant State — L3 Dynamic ACL on Switch</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The Tier 2 enforcement model does not use a holding VLAN, a remediation VLAN, or a Palo Alto NGFW SGT policy.</w:t>
      </w:r>
      <w:r>
        <w:rPr>
          <w:rFonts w:ascii="Times New Roman" w:cs="Times New Roman" w:eastAsia="Times New Roman" w:hAnsi="Times New Roman"/>
          <w:b w:val="false"/>
          <w:bCs w:val="false"/>
          <w:i w:val="false"/>
          <w:iCs w:val="false"/>
          <w:caps w:val="false"/>
          <w:sz w:val="22"/>
          <w:szCs w:val="22"/>
        </w:rPr>
        <w:t xml:space="preserve"> Tier 2 is enforced by Forescout pushing an L3 dynamic ACL directly to the access layer switch. The device remains on its static VLAN. The ACL permits only the specific destinations required for automated remediation and blocks all other access.</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This model is driven by the CVS Health network topology: there is no local internet breakout at site level. All traffic — including traffic to Zscaler, Azure AD, CrowdStrike, Jamf, Intune, and SCCM — traverses the CVS internal network. A traditional remediation VLAN that blocks internal network access would sever the management plane entirely, preventing automated remediation and requiring physical intervention for every non-compliant device.</w:t>
      </w:r>
    </w:p>
    <w:p>
      <w:pPr>
        <w:spacing w:after="80" w:before="120"/>
        <w:jc w:val="left"/>
      </w:pPr>
      <w:r>
        <w:rPr>
          <w:rFonts w:ascii="Times New Roman" w:cs="Times New Roman" w:eastAsia="Times New Roman" w:hAnsi="Times New Roman"/>
          <w:b/>
          <w:bCs/>
          <w:i w:val="false"/>
          <w:iCs w:val="false"/>
          <w:caps w:val="false"/>
          <w:sz w:val="22"/>
          <w:szCs w:val="22"/>
        </w:rPr>
        <w:t xml:space="preserve">Tier 2 L3 ACL — Permitted Destinations (explicit enumeration required, no implicit inheritance):</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Zscaler ZIA</w:t>
      </w:r>
      <w:r>
        <w:rPr>
          <w:rFonts w:ascii="Times New Roman" w:cs="Times New Roman" w:eastAsia="Times New Roman" w:hAnsi="Times New Roman"/>
          <w:b w:val="false"/>
          <w:bCs w:val="false"/>
          <w:i w:val="false"/>
          <w:iCs w:val="false"/>
          <w:caps w:val="false"/>
          <w:sz w:val="22"/>
          <w:szCs w:val="22"/>
        </w:rPr>
        <w:t xml:space="preserve"> — internet egress for all cloud-bound traffic</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Azure AD / Microsoft Entra ID</w:t>
      </w:r>
      <w:r>
        <w:rPr>
          <w:rFonts w:ascii="Times New Roman" w:cs="Times New Roman" w:eastAsia="Times New Roman" w:hAnsi="Times New Roman"/>
          <w:b w:val="false"/>
          <w:bCs w:val="false"/>
          <w:i w:val="false"/>
          <w:iCs w:val="false"/>
          <w:caps w:val="false"/>
          <w:sz w:val="22"/>
          <w:szCs w:val="22"/>
        </w:rPr>
        <w:t xml:space="preserve"> — device authentication and identity plane</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CrowdStrike</w:t>
      </w:r>
      <w:r>
        <w:rPr>
          <w:rFonts w:ascii="Times New Roman" w:cs="Times New Roman" w:eastAsia="Times New Roman" w:hAnsi="Times New Roman"/>
          <w:b w:val="false"/>
          <w:bCs w:val="false"/>
          <w:i w:val="false"/>
          <w:iCs w:val="false"/>
          <w:caps w:val="false"/>
          <w:sz w:val="22"/>
          <w:szCs w:val="22"/>
        </w:rPr>
        <w:t xml:space="preserve"> — EDR telemetry and sensor management channel</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Microsoft Intune</w:t>
      </w:r>
      <w:r>
        <w:rPr>
          <w:rFonts w:ascii="Times New Roman" w:cs="Times New Roman" w:eastAsia="Times New Roman" w:hAnsi="Times New Roman"/>
          <w:b w:val="false"/>
          <w:bCs w:val="false"/>
          <w:i w:val="false"/>
          <w:iCs w:val="false"/>
          <w:caps w:val="false"/>
          <w:sz w:val="22"/>
          <w:szCs w:val="22"/>
        </w:rPr>
        <w:t xml:space="preserve"> — MDM compliance push and policy delivery</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Jamf Cloud</w:t>
      </w:r>
      <w:r>
        <w:rPr>
          <w:rFonts w:ascii="Times New Roman" w:cs="Times New Roman" w:eastAsia="Times New Roman" w:hAnsi="Times New Roman"/>
          <w:b w:val="false"/>
          <w:bCs w:val="false"/>
          <w:i w:val="false"/>
          <w:iCs w:val="false"/>
          <w:caps w:val="false"/>
          <w:sz w:val="22"/>
          <w:szCs w:val="22"/>
        </w:rPr>
        <w:t xml:space="preserve"> — macOS/iOS MDM management plane</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SCCM / Configuration Manager</w:t>
      </w:r>
      <w:r>
        <w:rPr>
          <w:rFonts w:ascii="Times New Roman" w:cs="Times New Roman" w:eastAsia="Times New Roman" w:hAnsi="Times New Roman"/>
          <w:b w:val="false"/>
          <w:bCs w:val="false"/>
          <w:i w:val="false"/>
          <w:iCs w:val="false"/>
          <w:caps w:val="false"/>
          <w:sz w:val="22"/>
          <w:szCs w:val="22"/>
        </w:rPr>
        <w:t xml:space="preserve"> — Windows patch and software management</w:t>
      </w:r>
    </w:p>
    <w:p>
      <w:pPr>
        <w:spacing w:after="80" w:before="120"/>
        <w:jc w:val="left"/>
      </w:pPr>
      <w:r>
        <w:rPr>
          <w:rFonts w:ascii="Times New Roman" w:cs="Times New Roman" w:eastAsia="Times New Roman" w:hAnsi="Times New Roman"/>
          <w:b/>
          <w:bCs/>
          <w:i w:val="false"/>
          <w:iCs w:val="false"/>
          <w:caps w:val="false"/>
          <w:sz w:val="22"/>
          <w:szCs w:val="22"/>
        </w:rPr>
        <w:t xml:space="preserve">Tier 2 Blocked Destinations: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All CVS Health internal network resources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Microsoft 365 (Exchange Online, SharePoint, Teams, OneDrive)</w:t>
      </w:r>
    </w:p>
    <w:p>
      <w:pPr>
        <w:pStyle w:val="Heading1"/>
        <w:spacing w:after="160" w:before="360"/>
      </w:pPr>
      <w:r>
        <w:rPr>
          <w:rFonts w:ascii="Times New Roman" w:cs="Times New Roman" w:eastAsia="Times New Roman" w:hAnsi="Times New Roman"/>
          <w:b/>
          <w:bCs/>
          <w:i w:val="false"/>
          <w:iCs w:val="false"/>
          <w:caps w:val="false"/>
          <w:sz w:val="26"/>
          <w:szCs w:val="26"/>
        </w:rPr>
        <w:t xml:space="preserve">4. IOT/OT DISCOVERY — ARCHITECTURAL DEPENDENCY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Full Forescout IoT/OT enforcement capability is conditional on Claroty xDome deployment. In the absence of Claroty, Forescout IoT/OT enforcement is limited to DHCP-fingerprinted devices in monitor-only mode.</w:t>
      </w:r>
    </w:p>
    <w:p>
      <w:pPr>
        <w:pStyle w:val="Heading2"/>
        <w:spacing w:after="120" w:before="280"/>
      </w:pPr>
      <w:r>
        <w:rPr>
          <w:rFonts w:ascii="Times New Roman" w:cs="Times New Roman" w:eastAsia="Times New Roman" w:hAnsi="Times New Roman"/>
          <w:b/>
          <w:bCs/>
          <w:i w:val="false"/>
          <w:iCs w:val="false"/>
          <w:caps w:val="false"/>
          <w:sz w:val="22"/>
          <w:szCs w:val="22"/>
        </w:rPr>
        <w:t xml:space="preserve">4.1 Forescout Native IoT Discovery — Limitations</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DHCP Integration:</w:t>
      </w:r>
      <w:r>
        <w:rPr>
          <w:rFonts w:ascii="Times New Roman" w:cs="Times New Roman" w:eastAsia="Times New Roman" w:hAnsi="Times New Roman"/>
          <w:b w:val="false"/>
          <w:bCs w:val="false"/>
          <w:i w:val="false"/>
          <w:iCs w:val="false"/>
          <w:caps w:val="false"/>
          <w:sz w:val="22"/>
          <w:szCs w:val="22"/>
        </w:rPr>
        <w:t xml:space="preserve"> Effective for IT devices. IoT/OT devices with static IPs or non-standard DHCP behavior are not reliably classified. Insufficient as a basis for enforcement policy.</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NetFlow:</w:t>
      </w:r>
      <w:r>
        <w:rPr>
          <w:rFonts w:ascii="Times New Roman" w:cs="Times New Roman" w:eastAsia="Times New Roman" w:hAnsi="Times New Roman"/>
          <w:b w:val="false"/>
          <w:bCs w:val="false"/>
          <w:i w:val="false"/>
          <w:iCs w:val="false"/>
          <w:caps w:val="false"/>
          <w:sz w:val="22"/>
          <w:szCs w:val="22"/>
        </w:rPr>
        <w:t xml:space="preserve"> Provides flow metadata only — source/destination IP, port, protocol. Cannot derive device type, manufacturer, or OT protocol identity. Not a classification tool.</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Agent-Based Discovery:</w:t>
      </w:r>
      <w:r>
        <w:rPr>
          <w:rFonts w:ascii="Times New Roman" w:cs="Times New Roman" w:eastAsia="Times New Roman" w:hAnsi="Times New Roman"/>
          <w:b w:val="false"/>
          <w:bCs w:val="false"/>
          <w:i w:val="false"/>
          <w:iCs w:val="false"/>
          <w:caps w:val="false"/>
          <w:sz w:val="22"/>
          <w:szCs w:val="22"/>
        </w:rPr>
        <w:t xml:space="preserve"> Forescout agents operate on Windows and Mac only. IoT and OT devices do not run software agents. Zero coverage of the IoT/OT device surface.</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Active Scanning:</w:t>
      </w:r>
      <w:r>
        <w:rPr>
          <w:rFonts w:ascii="Times New Roman" w:cs="Times New Roman" w:eastAsia="Times New Roman" w:hAnsi="Times New Roman"/>
          <w:b w:val="false"/>
          <w:bCs w:val="false"/>
          <w:i w:val="false"/>
          <w:iCs w:val="false"/>
          <w:caps w:val="false"/>
          <w:sz w:val="22"/>
          <w:szCs w:val="22"/>
        </w:rPr>
        <w:t xml:space="preserve"> Categorically prohibited on OT network segments. Unrecognized probes can crash PLCs and interrupt real-time control loops.</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SPAN/TAP Passive DPI:</w:t>
      </w:r>
      <w:r>
        <w:rPr>
          <w:rFonts w:ascii="Times New Roman" w:cs="Times New Roman" w:eastAsia="Times New Roman" w:hAnsi="Times New Roman"/>
          <w:b w:val="false"/>
          <w:bCs w:val="false"/>
          <w:i w:val="false"/>
          <w:iCs w:val="false"/>
          <w:caps w:val="false"/>
          <w:sz w:val="22"/>
          <w:szCs w:val="22"/>
        </w:rPr>
        <w:t xml:space="preserve"> Meaningful OT classification depth but requires hardware provisioning at every IoT-bearing switch segment across 97 sites — material capital and ongoing operational commitment. ~100 OT protocols vs. Claroty's 450+.</w:t>
      </w:r>
    </w:p>
    <w:p>
      <w:pPr>
        <w:pStyle w:val="Heading2"/>
        <w:spacing w:after="120" w:before="280"/>
      </w:pPr>
      <w:r>
        <w:rPr>
          <w:rFonts w:ascii="Times New Roman" w:cs="Times New Roman" w:eastAsia="Times New Roman" w:hAnsi="Times New Roman"/>
          <w:b/>
          <w:bCs/>
          <w:i w:val="false"/>
          <w:iCs w:val="false"/>
          <w:caps w:val="false"/>
          <w:sz w:val="22"/>
          <w:szCs w:val="22"/>
        </w:rPr>
        <w:t xml:space="preserve">4.2 Claroty xDome — Recommended Discovery Architecture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Claroty xDome via Claroty Edge eliminates the SPAN/TAP dependency entirely. Claroty Edge is a lightweight software component that deploys on any existing Windows host — no network hardware, no SPAN port, no TAP device. It produces a full IoT/OT asset inventory within 24–48 hours using passive protocol analysis, safe OT-aware active enrichment, and engineering file parsing. Claroty supports 450+ OT/ICS protocols.</w:t>
      </w:r>
    </w:p>
    <w:p>
      <w:pPr>
        <w:spacing w:after="80" w:before="120"/>
        <w:jc w:val="center"/>
      </w:pPr>
      <w:r>
        <w:rPr>
          <w:rFonts w:ascii="Times New Roman" w:cs="Times New Roman" w:eastAsia="Times New Roman" w:hAnsi="Times New Roman"/>
          <w:b w:val="false"/>
          <w:bCs w:val="false"/>
          <w:i/>
          <w:iCs/>
          <w:caps w:val="false"/>
          <w:sz w:val="20"/>
          <w:szCs w:val="20"/>
        </w:rPr>
        <w:t xml:space="preserve">Table 5. Claroty Discovery Methods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728"/>
      </w:tblGrid>
      <w:tr>
        <w:trPr>
          <w:cantSplit/>
          <w:tblHeader/>
        </w:trPr>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Method</w:t>
            </w:r>
          </w:p>
        </w:tc>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SPAN Required</w:t>
            </w:r>
          </w:p>
        </w:tc>
        <w:tc>
          <w:tcPr>
            <w:tcW w:type="dxa" w:w="47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Description</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Edge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w:t>
            </w:r>
          </w:p>
        </w:tc>
        <w:tc>
          <w:tcPr>
            <w:tcW w:type="dxa" w:w="4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Software agent on existing Windows host. Primary method at all CVS sites. Full inventory within 24–48 hours.</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Safe Queries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w:t>
            </w:r>
          </w:p>
        </w:tc>
        <w:tc>
          <w:tcPr>
            <w:tcW w:type="dxa" w:w="4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OT-safe active probes for firmware version and serial number enrichment. Applied after baseline inventory is established.</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Project File Analysis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w:t>
            </w:r>
          </w:p>
        </w:tc>
        <w:tc>
          <w:tcPr>
            <w:tcW w:type="dxa" w:w="4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Parses PLC and HMI engineering workstation project files. No network traffic required.</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Passive Monitoring</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Yes</w:t>
            </w:r>
          </w:p>
        </w:tc>
        <w:tc>
          <w:tcPr>
            <w:tcW w:type="dxa" w:w="4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Full DPI via SPAN port. 450+ OT protocol support. Used where SPAN infrastructure already exists.</w:t>
            </w:r>
          </w:p>
        </w:tc>
      </w:tr>
      <w:tr>
        <w:trPr>
          <w:cantSplit/>
          <w:tblHeader w:val="false"/>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Ecosystem Enrichment</w:t>
            </w:r>
          </w:p>
        </w:tc>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w:t>
            </w:r>
          </w:p>
        </w:tc>
        <w:tc>
          <w:tcPr>
            <w:tcW w:type="dxa" w:w="47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Integrates with existing CMDB, CrowdStrike, Intune, and Qualys to enrich device records.</w:t>
            </w:r>
          </w:p>
        </w:tc>
      </w:tr>
    </w:tbl>
    <w:p>
      <w:pPr>
        <w:spacing w:after="60"/>
      </w:pPr>
    </w:p>
    <w:p>
      <w:pPr>
        <w:pStyle w:val="Heading1"/>
        <w:spacing w:after="160" w:before="360"/>
      </w:pPr>
      <w:r>
        <w:rPr>
          <w:rFonts w:ascii="Times New Roman" w:cs="Times New Roman" w:eastAsia="Times New Roman" w:hAnsi="Times New Roman"/>
          <w:b/>
          <w:bCs/>
          <w:i w:val="false"/>
          <w:iCs w:val="false"/>
          <w:caps w:val="false"/>
          <w:sz w:val="26"/>
          <w:szCs w:val="26"/>
        </w:rPr>
        <w:t xml:space="preserve">5. IOT/OT ENFORCEMENT MATURATION ROADMAP</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IoT/OT enforcement is a separate workstream from end-user workstation NAC enforcement and is independent of Phase 1 success criteria.</w:t>
      </w:r>
      <w:r>
        <w:rPr>
          <w:rFonts w:ascii="Times New Roman" w:cs="Times New Roman" w:eastAsia="Times New Roman" w:hAnsi="Times New Roman"/>
          <w:b w:val="false"/>
          <w:bCs w:val="false"/>
          <w:i w:val="false"/>
          <w:iCs w:val="false"/>
          <w:caps w:val="false"/>
          <w:sz w:val="22"/>
          <w:szCs w:val="22"/>
        </w:rPr>
        <w:t xml:space="preserve"> Enforcement is not applied to IoT/OT devices until Claroty has established an authoritative device inventory and behavioral baseline. Rushing enforcement before the inventory is authoritative creates unacceptable operational risk in OT environments.</w:t>
      </w:r>
    </w:p>
    <w:p>
      <w:pPr>
        <w:spacing w:after="80" w:before="120"/>
        <w:jc w:val="center"/>
      </w:pPr>
      <w:r>
        <w:rPr>
          <w:rFonts w:ascii="Times New Roman" w:cs="Times New Roman" w:eastAsia="Times New Roman" w:hAnsi="Times New Roman"/>
          <w:b w:val="false"/>
          <w:bCs w:val="false"/>
          <w:i/>
          <w:iCs/>
          <w:caps w:val="false"/>
          <w:sz w:val="20"/>
          <w:szCs w:val="20"/>
        </w:rPr>
        <w:t xml:space="preserve">Table 6. IoT/OT Enforcement Maturation Stages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528"/>
      </w:tblGrid>
      <w:tr>
        <w:trPr>
          <w:cantSplit/>
          <w:tblHeader/>
        </w:trPr>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Stage</w:t>
            </w:r>
          </w:p>
        </w:tc>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Timeline</w:t>
            </w:r>
          </w:p>
        </w:tc>
        <w:tc>
          <w:tcPr>
            <w:tcW w:type="dxa" w:w="2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Activity</w:t>
            </w:r>
          </w:p>
        </w:tc>
        <w:tc>
          <w:tcPr>
            <w:tcW w:type="dxa" w:w="25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Enforcement</w:t>
            </w:r>
          </w:p>
        </w:tc>
      </w:tr>
      <w:tr>
        <w:trPr>
          <w:cantSplit/>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1 — Discovery</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M1–M18 (parallel to Phase 1)</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Edge deployed at all sites. Passive discovery, device classification, behavioral baselining. Forescout ingests Claroty data via API.</w:t>
            </w:r>
          </w:p>
        </w:tc>
        <w:tc>
          <w:tcPr>
            <w:tcW w:type="dxa" w:w="2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None — Forescout logs IoT connections and admits without enforcement.</w:t>
            </w:r>
          </w:p>
        </w:tc>
      </w:tr>
      <w:tr>
        <w:trPr>
          <w:cantSplit/>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2 — Low-Risk IoT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M18–M30 (aligned to Phase 2)</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MAB enforcement for well-understood, low-risk IoT classes: printers, IP cameras, HVAC/BAS controllers (non-critical), badge readers, VoIP phones.</w:t>
            </w:r>
          </w:p>
        </w:tc>
        <w:tc>
          <w:tcPr>
            <w:tcW w:type="dxa" w:w="2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Known MAC + Claroty class = admitted to IoT segment. Unknown MAC in IoT port = restricted. No agent, no posture check.</w:t>
            </w:r>
          </w:p>
        </w:tc>
      </w:tr>
      <w:tr>
        <w:trPr>
          <w:cantSplit/>
          <w:tblHeader w:val="false"/>
        </w:trPr>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3 — OT/SCADA</w:t>
            </w:r>
          </w:p>
        </w:tc>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M30+</w:t>
            </w:r>
          </w:p>
        </w:tc>
        <w:tc>
          <w:tcPr>
            <w:tcW w:type="dxa" w:w="2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Full MAB enforcement extended to OT/SCADA. Requires minimum 12 months Claroty behavioral baseline and per-device policy review.</w:t>
            </w:r>
          </w:p>
        </w:tc>
        <w:tc>
          <w:tcPr>
            <w:tcW w:type="dxa" w:w="25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Allow-list only. MAC not in Claroty-sourced approved inventory = blocked from OT segment.</w:t>
            </w:r>
          </w:p>
        </w:tc>
      </w:tr>
    </w:tbl>
    <w:p>
      <w:pPr>
        <w:spacing w:after="60"/>
      </w:pP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Stage 1 completion — a full Claroty inventory across all Phase 1 and Phase 2 sites — is the gate condition for Stage 2 enforcement conversations. Actual IoT timetables are tied to completion of the Forescout renewal and deployment of new hardware; IoT elements are not critical to the start and success of the initial endpoint model.</w:t>
      </w:r>
    </w:p>
    <w:p>
      <w:pPr>
        <w:pStyle w:val="Heading2"/>
        <w:spacing w:after="120" w:before="280"/>
      </w:pPr>
      <w:r>
        <w:rPr>
          <w:rFonts w:ascii="Times New Roman" w:cs="Times New Roman" w:eastAsia="Times New Roman" w:hAnsi="Times New Roman"/>
          <w:b/>
          <w:bCs/>
          <w:i w:val="false"/>
          <w:iCs w:val="false"/>
          <w:caps w:val="false"/>
          <w:sz w:val="22"/>
          <w:szCs w:val="22"/>
        </w:rPr>
        <w:t xml:space="preserve">5.1 Long-Term Steady State</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Claroty xDome</w:t>
      </w:r>
      <w:r>
        <w:rPr>
          <w:rFonts w:ascii="Times New Roman" w:cs="Times New Roman" w:eastAsia="Times New Roman" w:hAnsi="Times New Roman"/>
          <w:b w:val="false"/>
          <w:bCs w:val="false"/>
          <w:i w:val="false"/>
          <w:iCs w:val="false"/>
          <w:caps w:val="false"/>
          <w:sz w:val="22"/>
          <w:szCs w:val="22"/>
        </w:rPr>
        <w:t xml:space="preserve"> — continuous IoT/OT behavioral monitoring and risk scoring. Feeds classification and risk signals to Forescout in real time.</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Forescout CounterACT</w:t>
      </w:r>
      <w:r>
        <w:rPr>
          <w:rFonts w:ascii="Times New Roman" w:cs="Times New Roman" w:eastAsia="Times New Roman" w:hAnsi="Times New Roman"/>
          <w:b w:val="false"/>
          <w:bCs w:val="false"/>
          <w:i w:val="false"/>
          <w:iCs w:val="false"/>
          <w:caps w:val="false"/>
          <w:sz w:val="22"/>
          <w:szCs w:val="22"/>
        </w:rPr>
        <w:t xml:space="preserve"> — RADIUS MAB enforcement for all device types. Workstations (Tier 1/2 posture-based via L3 ACL on switch), IoT (class-based admission), OT (allow-list only). CoA triggers on Claroty risk signal breach.</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Palo Alto NGFW</w:t>
      </w:r>
      <w:r>
        <w:rPr>
          <w:rFonts w:ascii="Times New Roman" w:cs="Times New Roman" w:eastAsia="Times New Roman" w:hAnsi="Times New Roman"/>
          <w:b w:val="false"/>
          <w:bCs w:val="false"/>
          <w:i w:val="false"/>
          <w:iCs w:val="false"/>
          <w:caps w:val="false"/>
          <w:sz w:val="22"/>
          <w:szCs w:val="22"/>
        </w:rPr>
        <w:t xml:space="preserve"> — east-west segmentation. IT-to-OT boundary enforcement. OT micro-segmentation per device class at Stage 3. Dynamic policy update on CoA signal from Forescout.</w:t>
      </w:r>
    </w:p>
    <w:p>
      <w:pPr>
        <w:pStyle w:val="Heading1"/>
        <w:spacing w:after="160" w:before="360"/>
      </w:pPr>
      <w:r>
        <w:rPr>
          <w:rFonts w:ascii="Times New Roman" w:cs="Times New Roman" w:eastAsia="Times New Roman" w:hAnsi="Times New Roman"/>
          <w:b/>
          <w:bCs/>
          <w:i w:val="false"/>
          <w:iCs w:val="false"/>
          <w:caps w:val="false"/>
          <w:sz w:val="26"/>
          <w:szCs w:val="26"/>
        </w:rPr>
        <w:t xml:space="preserve">6. DEPLOYMENT PLAN</w:t>
      </w:r>
    </w:p>
    <w:p>
      <w:pPr>
        <w:pStyle w:val="Heading2"/>
        <w:spacing w:after="120" w:before="280"/>
      </w:pPr>
      <w:r>
        <w:rPr>
          <w:rFonts w:ascii="Times New Roman" w:cs="Times New Roman" w:eastAsia="Times New Roman" w:hAnsi="Times New Roman"/>
          <w:b/>
          <w:bCs/>
          <w:i w:val="false"/>
          <w:iCs w:val="false"/>
          <w:caps w:val="false"/>
          <w:sz w:val="22"/>
          <w:szCs w:val="22"/>
        </w:rPr>
        <w:t xml:space="preserve">6.1 Validation-First POC Sequencing</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program does not proceed to broad deployment until three enforcement models have been independently validated at POC sites. Agreement on POC locations is a near-term program decision.</w:t>
      </w:r>
    </w:p>
    <w:p>
      <w:pPr>
        <w:spacing w:after="80" w:before="120"/>
        <w:jc w:val="left"/>
      </w:pPr>
      <w:r>
        <w:rPr>
          <w:rFonts w:ascii="Times New Roman" w:cs="Times New Roman" w:eastAsia="Times New Roman" w:hAnsi="Times New Roman"/>
          <w:b/>
          <w:bCs/>
          <w:i w:val="false"/>
          <w:iCs w:val="false"/>
          <w:caps w:val="false"/>
          <w:sz w:val="22"/>
          <w:szCs w:val="22"/>
        </w:rPr>
        <w:t xml:space="preserve">Validation 1 — Corporate Campus + Distribution Center POC</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Validates the corporate workstation enforcement model and the Distribution Center enforcement model simultaneously</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Confirms: API posture check policy, dynamic MAC filter, L3 ACL on static VLAN, Tier 1/Tier 2 outcomes, CoA mid-session enforcement, P95 15-second latency target</w:t>
      </w:r>
    </w:p>
    <w:p>
      <w:pPr>
        <w:spacing w:after="80" w:before="120"/>
        <w:jc w:val="left"/>
      </w:pPr>
      <w:r>
        <w:rPr>
          <w:rFonts w:ascii="Times New Roman" w:cs="Times New Roman" w:eastAsia="Times New Roman" w:hAnsi="Times New Roman"/>
          <w:b/>
          <w:bCs/>
          <w:i w:val="false"/>
          <w:iCs w:val="false"/>
          <w:caps w:val="false"/>
          <w:sz w:val="22"/>
          <w:szCs w:val="22"/>
        </w:rPr>
        <w:t xml:space="preserve">Validation 2 — Distribution Center Model Confirmed</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DC enforcement model signed off as deployment-ready based on Validation 1 results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Accounts for DC device profile — higher IoT/OT density, operational technology presence, different workstation population</w:t>
      </w:r>
    </w:p>
    <w:p>
      <w:pPr>
        <w:spacing w:after="80" w:before="120"/>
        <w:jc w:val="left"/>
      </w:pPr>
      <w:r>
        <w:rPr>
          <w:rFonts w:ascii="Times New Roman" w:cs="Times New Roman" w:eastAsia="Times New Roman" w:hAnsi="Times New Roman"/>
          <w:b/>
          <w:bCs/>
          <w:i w:val="false"/>
          <w:iCs w:val="false"/>
          <w:caps w:val="false"/>
          <w:sz w:val="22"/>
          <w:szCs w:val="22"/>
        </w:rPr>
        <w:t xml:space="preserve">Validation 3 — Mail Order Pharmacy</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Site TBD — agreement on Mail Order POC location required</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Validates the Mail Order enforcement model — regulated pharmacy environment, distinct device mix and operational profile</w:t>
      </w:r>
    </w:p>
    <w:p>
      <w:pPr>
        <w:spacing w:after="80" w:before="120"/>
        <w:jc w:val="left"/>
      </w:pPr>
      <w:r>
        <w:rPr>
          <w:rFonts w:ascii="Times New Roman" w:cs="Times New Roman" w:eastAsia="Times New Roman" w:hAnsi="Times New Roman"/>
          <w:b/>
          <w:bCs/>
          <w:i w:val="false"/>
          <w:iCs w:val="false"/>
          <w:caps w:val="false"/>
          <w:sz w:val="22"/>
          <w:szCs w:val="22"/>
        </w:rPr>
        <w:t xml:space="preserve">Wider Deployment</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Phase 1 and Phase 2 broad rollout proceeds only after all three models are validated and signed off</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Any policy model issue surfaced during validation must be resolved before the broader schedule proceeds</w:t>
      </w:r>
    </w:p>
    <w:p>
      <w:pPr>
        <w:pStyle w:val="Heading2"/>
        <w:spacing w:after="120" w:before="280"/>
      </w:pPr>
      <w:r>
        <w:rPr>
          <w:rFonts w:ascii="Times New Roman" w:cs="Times New Roman" w:eastAsia="Times New Roman" w:hAnsi="Times New Roman"/>
          <w:b/>
          <w:bCs/>
          <w:i w:val="false"/>
          <w:iCs w:val="false"/>
          <w:caps w:val="false"/>
          <w:sz w:val="22"/>
          <w:szCs w:val="22"/>
        </w:rPr>
        <w:t xml:space="preserve">6.2 Site Scoping Decisions</w:t>
      </w:r>
    </w:p>
    <w:p>
      <w:pPr>
        <w:spacing w:after="80" w:before="120"/>
        <w:jc w:val="center"/>
      </w:pPr>
      <w:r>
        <w:rPr>
          <w:rFonts w:ascii="Times New Roman" w:cs="Times New Roman" w:eastAsia="Times New Roman" w:hAnsi="Times New Roman"/>
          <w:b w:val="false"/>
          <w:bCs w:val="false"/>
          <w:i/>
          <w:iCs/>
          <w:caps w:val="false"/>
          <w:sz w:val="20"/>
          <w:szCs w:val="20"/>
        </w:rPr>
        <w:t xml:space="preserve">Table 7. Site Scoping Decisions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728"/>
      </w:tblGrid>
      <w:tr>
        <w:trPr>
          <w:cantSplit/>
          <w:tblHeader/>
        </w:trPr>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Decision</w:t>
            </w:r>
          </w:p>
        </w:tc>
        <w:tc>
          <w:tcPr>
            <w:tcW w:type="dxa" w:w="2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Scope</w:t>
            </w:r>
          </w:p>
        </w:tc>
        <w:tc>
          <w:tcPr>
            <w:tcW w:type="dxa" w:w="37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Rationale</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Aetna locations</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 — all Aetna sites</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Aetna operates independent 802.1X wired and wireless NAC infrastructure.</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Hartford CT (CT1501/1504/1507)</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Aetna corporate campus.</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Franklin TN (TN3004)</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89% AETNA BU population.</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Omnicare</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Excluded per program decision.</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CarePlus</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Excluded per program decision.</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Plymouth MN / New Albany OH</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Small offices — &lt;35 CVS staff each.</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Call Centers — IoT enforcement</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OUT OF SCOPE (Phase 1)</w:t>
            </w:r>
          </w:p>
        </w:tc>
        <w:tc>
          <w:tcPr>
            <w:tcW w:type="dxa" w:w="37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 scope for workstation NAC. IoT/OT enforcement out of scope Phase 1.</w:t>
            </w:r>
          </w:p>
        </w:tc>
      </w:tr>
      <w:tr>
        <w:trPr>
          <w:cantSplit/>
          <w:tblHeader w:val="false"/>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Mixed sites with Aetna BU staff</w:t>
            </w:r>
          </w:p>
        </w:tc>
        <w:tc>
          <w:tcPr>
            <w:tcW w:type="dxa" w:w="2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 SCOPE — CVS staff only</w:t>
            </w:r>
          </w:p>
        </w:tc>
        <w:tc>
          <w:tcPr>
            <w:tcW w:type="dxa" w:w="37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Network infrastructure is CVS-managed. Aetna BU headcount excluded from scope counts.</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6.3 Per-Site Deployment Sequence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Every site follows the same four-gate deployment sequence. Enforcement activation is the final gate and cannot precede the preceding steps.</w:t>
      </w:r>
    </w:p>
    <w:p>
      <w:pPr>
        <w:spacing w:after="80" w:before="120"/>
        <w:jc w:val="center"/>
      </w:pPr>
      <w:r>
        <w:rPr>
          <w:rFonts w:ascii="Times New Roman" w:cs="Times New Roman" w:eastAsia="Times New Roman" w:hAnsi="Times New Roman"/>
          <w:b w:val="false"/>
          <w:bCs w:val="false"/>
          <w:i/>
          <w:iCs/>
          <w:caps w:val="false"/>
          <w:sz w:val="20"/>
          <w:szCs w:val="20"/>
        </w:rPr>
        <w:t xml:space="preserve">Table 8. Four-Gate Per-Site Sequence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500"/>
        <w:gridCol w:w="2228"/>
      </w:tblGrid>
      <w:tr>
        <w:trPr>
          <w:cantSplit/>
          <w:tblHeader/>
        </w:trPr>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Gate</w:t>
            </w:r>
          </w:p>
        </w:tc>
        <w:tc>
          <w:tcPr>
            <w:tcW w:type="dxa" w:w="3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Activity</w:t>
            </w:r>
          </w:p>
        </w:tc>
        <w:tc>
          <w:tcPr>
            <w:tcW w:type="dxa" w:w="15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Duration</w:t>
            </w:r>
          </w:p>
        </w:tc>
        <w:tc>
          <w:tcPr>
            <w:tcW w:type="dxa" w:w="22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Output</w:t>
            </w:r>
          </w:p>
        </w:tc>
      </w:tr>
      <w:tr>
        <w:trPr>
          <w:cantSplit/>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Gate 1 — Claroty Edge</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Edge deployed on existing Windows host. No network changes. Full IoT/OT inventory produced. Mandatory first action at every site.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Days 1–2</w:t>
            </w:r>
          </w:p>
        </w:tc>
        <w:tc>
          <w:tcPr>
            <w:tcW w:type="dxa" w:w="22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Site IoT/OT asset inventory.</w:t>
            </w:r>
          </w:p>
        </w:tc>
      </w:tr>
      <w:tr>
        <w:trPr>
          <w:cantSplit/>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Gate 2 — Forescout Staging</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sensor deployed and integrated with site DHCP. Connected to RADIUS infrastructure. Switch port MAB configured. Monitor-only mode.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Days 3–14</w:t>
            </w:r>
          </w:p>
        </w:tc>
        <w:tc>
          <w:tcPr>
            <w:tcW w:type="dxa" w:w="22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monitoring active. No enforcement.</w:t>
            </w:r>
          </w:p>
        </w:tc>
      </w:tr>
      <w:tr>
        <w:trPr>
          <w:cantSplit/>
          <w:tblHeader w:val="false"/>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Gate 3 — Policy Baseline</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classifications feed Forescout MAB policy. 30–60 day monitor-only period. Unknown MACs resolved. Classification exceptions documented and approved.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Days 15–75</w:t>
            </w:r>
          </w:p>
        </w:tc>
        <w:tc>
          <w:tcPr>
            <w:tcW w:type="dxa" w:w="22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Approved device list. Exception register. Eight-point check validation report.</w:t>
            </w:r>
          </w:p>
        </w:tc>
      </w:tr>
      <w:tr>
        <w:trPr>
          <w:cantSplit/>
          <w:tblHeader w:val="false"/>
        </w:trPr>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Gate 4 — Enforcement Activation</w:t>
            </w:r>
          </w:p>
        </w:tc>
        <w:tc>
          <w:tcPr>
            <w:tcW w:type="dxa" w:w="3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enforcement activated. CoA enabled. L3 dynamic ACL Tier 2 policy validated. P95 CoA latency validated at 15 seconds or below.</w:t>
            </w:r>
          </w:p>
        </w:tc>
        <w:tc>
          <w:tcPr>
            <w:tcW w:type="dxa" w:w="15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Day 76+</w:t>
            </w:r>
          </w:p>
        </w:tc>
        <w:tc>
          <w:tcPr>
            <w:tcW w:type="dxa" w:w="22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Full NAC enforcement active. Site complete.</w:t>
            </w:r>
          </w:p>
        </w:tc>
      </w:tr>
    </w:tbl>
    <w:p>
      <w:pPr>
        <w:spacing w:after="60"/>
      </w:pPr>
    </w:p>
    <w:p>
      <w:pPr>
        <w:pStyle w:val="Heading1"/>
        <w:spacing w:after="160" w:before="360"/>
      </w:pPr>
      <w:r>
        <w:rPr>
          <w:rFonts w:ascii="Times New Roman" w:cs="Times New Roman" w:eastAsia="Times New Roman" w:hAnsi="Times New Roman"/>
          <w:b/>
          <w:bCs/>
          <w:i w:val="false"/>
          <w:iCs w:val="false"/>
          <w:caps w:val="false"/>
          <w:sz w:val="26"/>
          <w:szCs w:val="26"/>
        </w:rPr>
        <w:t xml:space="preserve">7. IMPLEMENTATION WORKSTREAMS</w:t>
      </w:r>
    </w:p>
    <w:p>
      <w:pPr>
        <w:spacing w:after="80" w:before="120"/>
        <w:jc w:val="center"/>
      </w:pPr>
      <w:r>
        <w:rPr>
          <w:rFonts w:ascii="Times New Roman" w:cs="Times New Roman" w:eastAsia="Times New Roman" w:hAnsi="Times New Roman"/>
          <w:b w:val="false"/>
          <w:bCs w:val="false"/>
          <w:i/>
          <w:iCs/>
          <w:caps w:val="false"/>
          <w:sz w:val="20"/>
          <w:szCs w:val="20"/>
        </w:rPr>
        <w:t xml:space="preserve">Table 9. Implementation Workstream Summary</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1928"/>
      </w:tblGrid>
      <w:tr>
        <w:trPr>
          <w:cantSplit/>
          <w:tblHeader/>
        </w:trPr>
        <w:tc>
          <w:tcPr>
            <w:tcW w:type="dxa" w:w="6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w:t>
            </w:r>
          </w:p>
        </w:tc>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Workstream</w:t>
            </w:r>
          </w:p>
        </w:tc>
        <w:tc>
          <w:tcPr>
            <w:tcW w:type="dxa" w:w="4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Key Activities</w:t>
            </w:r>
          </w:p>
        </w:tc>
        <w:tc>
          <w:tcPr>
            <w:tcW w:type="dxa" w:w="19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Gates</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1</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Infrastructure Refresh</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Replace all EOL/EOS Forescout appliances. Inventory, procure, stage, and validate. Hardware delivery 30–45 days post-contract signature.</w:t>
            </w:r>
          </w:p>
        </w:tc>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All workstreams</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Implementation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Deploy RADIUS in HA per region. Define MAB authorization policies. Build Tier 2 L3 ACL permitted-destination list. Validate CoA flows end-to-end.</w:t>
            </w:r>
          </w:p>
        </w:tc>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WS 4, 5</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3</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Endpoint API Integration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Connect Forescout to Intune, Jamf, CrowdStrike, Qualys, Tanium, SCCM, Azure AD via API. Validate all posture data feeds.</w:t>
            </w:r>
          </w:p>
        </w:tc>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WS 6</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Site Switching Integration</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Configure MAB on access layer switches per site. Integrate site DHCP. Validate L3 dynamic ACL capability per switch vendor.</w:t>
            </w:r>
          </w:p>
        </w:tc>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Enforcement activation</w:t>
            </w:r>
          </w:p>
        </w:tc>
      </w:tr>
      <w:tr>
        <w:trPr>
          <w:cantSplit/>
          <w:tblHeader w:val="false"/>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Policy Scope Rebuild</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Rebuild enforcement scope from scratch on refreshed infrastructure. Do not migrate from EOL configuration. Map Claroty classifications into Forescout policy.</w:t>
            </w:r>
          </w:p>
        </w:tc>
        <w:tc>
          <w:tcPr>
            <w:tcW w:type="dxa" w:w="19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Enforcement activation</w:t>
            </w:r>
          </w:p>
        </w:tc>
      </w:tr>
      <w:tr>
        <w:trPr>
          <w:cantSplit/>
          <w:tblHeader w:val="false"/>
        </w:trPr>
        <w:tc>
          <w:tcPr>
            <w:tcW w:type="dxa" w:w="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6</w:t>
            </w:r>
          </w:p>
        </w:tc>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Posture Check Policy Build &amp; Validation</w:t>
            </w:r>
          </w:p>
        </w:tc>
        <w:tc>
          <w:tcPr>
            <w:tcW w:type="dxa" w:w="4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Build API-driven eight-point check policy. 30–60 day monitor-only baseline before any enforcement activates.</w:t>
            </w:r>
          </w:p>
        </w:tc>
        <w:tc>
          <w:tcPr>
            <w:tcW w:type="dxa" w:w="19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Enforcement activation</w:t>
            </w:r>
          </w:p>
        </w:tc>
      </w:tr>
    </w:tbl>
    <w:p>
      <w:pPr>
        <w:spacing w:after="60"/>
      </w:pPr>
    </w:p>
    <w:p>
      <w:pPr>
        <w:pStyle w:val="Heading1"/>
        <w:spacing w:after="160" w:before="360"/>
      </w:pPr>
      <w:r>
        <w:rPr>
          <w:rFonts w:ascii="Times New Roman" w:cs="Times New Roman" w:eastAsia="Times New Roman" w:hAnsi="Times New Roman"/>
          <w:b/>
          <w:bCs/>
          <w:i w:val="false"/>
          <w:iCs w:val="false"/>
          <w:caps w:val="false"/>
          <w:sz w:val="26"/>
          <w:szCs w:val="26"/>
        </w:rPr>
        <w:t xml:space="preserve">8. ENTERPRISE EXPANSION</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Upon the successful completion of this NAC transformation program, the team will return to leadership with a proposal for expanding the program to the remainder of the CVS Health enterprise — including business units and environments not covered under the current phase portfolio.</w:t>
      </w:r>
    </w:p>
    <w:p>
      <w:pPr>
        <w:pStyle w:val="Heading1"/>
        <w:pageBreakBefore/>
        <w:spacing w:after="160" w:before="360"/>
      </w:pPr>
      <w:r>
        <w:rPr>
          <w:rFonts w:ascii="Times New Roman" w:cs="Times New Roman" w:eastAsia="Times New Roman" w:hAnsi="Times New Roman"/>
          <w:b/>
          <w:bCs/>
          <w:i w:val="false"/>
          <w:iCs w:val="false"/>
          <w:caps w:val="false"/>
          <w:sz w:val="26"/>
          <w:szCs w:val="26"/>
        </w:rPr>
        <w:t xml:space="preserve">APPENDIX A. LEGACY FORESCOUT VS. UPDATED ARCHITECTURE — POLICY AND ENFORCEMENT MODEL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This appendix compares the policy and enforcement approach that the 2025 Forescout engagement reached turn-on readiness against with the model defined in this architecture. The 2025 state is drawn from the Forescout at CVS Health: Findings and Analysis of the 2025 Enforcement Engagement (v1.0, 22 April 2026). The purpose of this appendix is to make explicit — for program leadership, architecture review, and the incoming deployment partner — which specific properties of the legacy approach are being rejected and why, and to anchor the updated architecture against the root causes identified in that review.</w:t>
      </w:r>
    </w:p>
    <w:p>
      <w:pPr>
        <w:pStyle w:val="Heading2"/>
        <w:spacing w:after="120" w:before="280"/>
      </w:pPr>
      <w:r>
        <w:rPr>
          <w:rFonts w:ascii="Times New Roman" w:cs="Times New Roman" w:eastAsia="Times New Roman" w:hAnsi="Times New Roman"/>
          <w:b/>
          <w:bCs/>
          <w:i w:val="false"/>
          <w:iCs w:val="false"/>
          <w:caps w:val="false"/>
          <w:sz w:val="22"/>
          <w:szCs w:val="22"/>
        </w:rPr>
        <w:t xml:space="preserve">A.1 Scope-Declaration Model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single most consequential difference between the two approaches is how the enforcement scope is produced. In the 2025 engagement, the switch population, segment inventory, and licensed host population were produced by the NAC during deployment, principally through Forescout Switch Plugin auto-discovery. The auto-discovery traversal expanded the manually-curated 400-switch inventory to approximately 1,080 switches in a single sweep, surfaced downstream data-center fabric and out-of-band management populations that were structurally ineligible for the admission-control action the license existed to perform, and placed approximately 40 percent of the expanded estate into a broken-integration state. The segment policy the NAC would validate against was never ratified in writing; the deployment proceeded under the tacit assumption that one existed.</w:t>
      </w:r>
    </w:p>
    <w:p>
      <w:pPr>
        <w:spacing w:after="120" w:line="276" w:lineRule="exact"/>
        <w:jc w:val="both"/>
      </w:pPr>
      <w:r>
        <w:rPr>
          <w:rFonts w:ascii="Times New Roman" w:cs="Times New Roman" w:eastAsia="Times New Roman" w:hAnsi="Times New Roman"/>
          <w:b/>
          <w:bCs/>
          <w:i w:val="false"/>
          <w:iCs w:val="false"/>
          <w:caps w:val="false"/>
          <w:sz w:val="22"/>
          <w:szCs w:val="22"/>
        </w:rPr>
        <w:t xml:space="preserve">The updated architecture inverts this relationship.</w:t>
      </w:r>
      <w:r>
        <w:rPr>
          <w:rFonts w:ascii="Times New Roman" w:cs="Times New Roman" w:eastAsia="Times New Roman" w:hAnsi="Times New Roman"/>
          <w:b w:val="false"/>
          <w:bCs w:val="false"/>
          <w:i w:val="false"/>
          <w:iCs w:val="false"/>
          <w:caps w:val="false"/>
          <w:sz w:val="22"/>
          <w:szCs w:val="22"/>
        </w:rPr>
        <w:t xml:space="preserve"> The NAC is validated against a scope declaration that is authored outside the tool and signed before any switch is integrated. Specifically:</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No switch auto-discovery will be employed.</w:t>
      </w:r>
      <w:r>
        <w:rPr>
          <w:rFonts w:ascii="Times New Roman" w:cs="Times New Roman" w:eastAsia="Times New Roman" w:hAnsi="Times New Roman"/>
          <w:b w:val="false"/>
          <w:bCs w:val="false"/>
          <w:i w:val="false"/>
          <w:iCs w:val="false"/>
          <w:caps w:val="false"/>
          <w:sz w:val="22"/>
          <w:szCs w:val="22"/>
        </w:rPr>
        <w:t xml:space="preserve"> The Forescout Switch Plugin auto-discovery feature is explicitly disabled. Switches are not surfaced by graph traversal of CDP/LLDP neighbor tables, MAC address tables, ARP tables, or SNMP sweeps against Segment Manager entries. Every switch enters the Forescout configuration through a deliberate, approved onboarding action.</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All switches are explicitly defined.</w:t>
      </w:r>
      <w:r>
        <w:rPr>
          <w:rFonts w:ascii="Times New Roman" w:cs="Times New Roman" w:eastAsia="Times New Roman" w:hAnsi="Times New Roman"/>
          <w:b w:val="false"/>
          <w:bCs w:val="false"/>
          <w:i w:val="false"/>
          <w:iCs w:val="false"/>
          <w:caps w:val="false"/>
          <w:sz w:val="22"/>
          <w:szCs w:val="22"/>
        </w:rPr>
        <w:t xml:space="preserve"> The authoritative switch inventory is produced by network engineering from IPAM and the network registry before deployment begins. Each in-scope switch is enumerated by hostname, management IP, site, role (access / distribution / core / ToR / OOB), vendor, model, and enforcement disposition (enforced / observed / out-of-scope). The Switch Plugin inventory is configured to match this list. Switches not on the list are not integrated.</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The enforcement domain is explicitly defined.</w:t>
      </w:r>
      <w:r>
        <w:rPr>
          <w:rFonts w:ascii="Times New Roman" w:cs="Times New Roman" w:eastAsia="Times New Roman" w:hAnsi="Times New Roman"/>
          <w:b w:val="false"/>
          <w:bCs w:val="false"/>
          <w:i w:val="false"/>
          <w:iCs w:val="false"/>
          <w:caps w:val="false"/>
          <w:sz w:val="22"/>
          <w:szCs w:val="22"/>
        </w:rPr>
        <w:t xml:space="preserve"> The enforcement domain — the set of CIDRs, VLANs, and sites where Forescout-driven admission control is active — is declared in a ratified segment policy outside the NAC. The segment policy assigns each enterprise CIDR a disposition of enforced, observed, or out-of-scope, names the compensating controls covering every excluded segment, and is signed by Information Security, Network Engineering, and Endpoint Engineering before deployment begins. Segment Manager is configured to match; out-of-scope segments receive no entries.</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The target device population is enumerated per enforced segment.</w:t>
      </w:r>
      <w:r>
        <w:rPr>
          <w:rFonts w:ascii="Times New Roman" w:cs="Times New Roman" w:eastAsia="Times New Roman" w:hAnsi="Times New Roman"/>
          <w:b w:val="false"/>
          <w:bCs w:val="false"/>
          <w:i w:val="false"/>
          <w:iCs w:val="false"/>
          <w:caps w:val="false"/>
          <w:sz w:val="22"/>
          <w:szCs w:val="22"/>
        </w:rPr>
        <w:t xml:space="preserve"> Estimated device counts by class (managed Windows, managed Mac, IoT, OT, contractor, BYOD) are produced against an authoritative inventory source outside the NAC and reconciled to the enforcement domain before policy design begins.</w:t>
      </w:r>
    </w:p>
    <w:p>
      <w:pPr>
        <w:pStyle w:val="ListParagraph"/>
        <w:numPr>
          <w:ilvl w:val="0"/>
          <w:numId w:val="2"/>
        </w:numPr>
        <w:spacing w:after="60" w:line="276" w:lineRule="exact"/>
        <w:jc w:val="both"/>
      </w:pPr>
      <w:r>
        <w:rPr>
          <w:rFonts w:ascii="Times New Roman" w:cs="Times New Roman" w:eastAsia="Times New Roman" w:hAnsi="Times New Roman"/>
          <w:b/>
          <w:bCs/>
          <w:i w:val="false"/>
          <w:iCs w:val="false"/>
          <w:caps w:val="false"/>
          <w:sz w:val="22"/>
          <w:szCs w:val="22"/>
        </w:rPr>
        <w:t xml:space="preserve">Cross-boundary discoveries are governance events, not NAC-console approvals.</w:t>
      </w:r>
      <w:r>
        <w:rPr>
          <w:rFonts w:ascii="Times New Roman" w:cs="Times New Roman" w:eastAsia="Times New Roman" w:hAnsi="Times New Roman"/>
          <w:b w:val="false"/>
          <w:bCs w:val="false"/>
          <w:i w:val="false"/>
          <w:iCs w:val="false"/>
          <w:caps w:val="false"/>
          <w:sz w:val="22"/>
          <w:szCs w:val="22"/>
        </w:rPr>
        <w:t xml:space="preserve"> Any device or switch observed by Forescout that falls outside the declared scope is routed to the segment-policy owner as a governance alert. It is not added to the host inventory or the Switch Plugin by default.</w:t>
      </w:r>
    </w:p>
    <w:p>
      <w:pPr>
        <w:pStyle w:val="Heading2"/>
        <w:spacing w:after="120" w:before="280"/>
      </w:pPr>
      <w:r>
        <w:rPr>
          <w:rFonts w:ascii="Times New Roman" w:cs="Times New Roman" w:eastAsia="Times New Roman" w:hAnsi="Times New Roman"/>
          <w:b/>
          <w:bCs/>
          <w:i w:val="false"/>
          <w:iCs w:val="false"/>
          <w:caps w:val="false"/>
          <w:sz w:val="22"/>
          <w:szCs w:val="22"/>
        </w:rPr>
        <w:t xml:space="preserve">A.2 Admission Decision Model</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2025 Control policy collapsed the admission decision to a single binary trust signal: domain membership verified by credentialed Remote Inspection using a Forescout-held domain service account. Posture — CrowdStrike check-in state, antivirus state, patch level, disk encryption, approved-software compliance — was explicitly deferred to a future Compliance-to-Connect phase that had not been defined. Under that rule, a fully compliant corporate laptop, a laptop three years out of patch with CrowdStrike uninstalled, and a domain-joined host an attacker had reached via lateral movement would all pass admission as equivalent. Non-Windows endpoints and Windows hosts the domain service account could not reach fell outside the admission decision entirely.</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updated architecture treats identity, posture, and authorization as three distinct questions that the admission decision must answer sequentially. Admission is gated by RADIUS MAB at connection time against a classification produced by Claroty for IoT/OT and by an eight-point posture check evaluated by Forescout for managed Windows and Mac endpoints. The posture check is sourced via API from Intune, Entra ID, CrowdStrike, Qualys, Tanium, Jamf, and SCCM, and is continuously re-evaluated post-admission with a P95 15-second CoA latency target for mid-session demotion. Any single check failure results in Tier 2, enforced by an L3 dynamic ACL pushed to the access-layer switch rather than by VLAN reassignment.</w:t>
      </w:r>
    </w:p>
    <w:p>
      <w:pPr>
        <w:spacing w:after="80" w:before="120"/>
        <w:jc w:val="center"/>
      </w:pPr>
      <w:r>
        <w:rPr>
          <w:rFonts w:ascii="Times New Roman" w:cs="Times New Roman" w:eastAsia="Times New Roman" w:hAnsi="Times New Roman"/>
          <w:b w:val="false"/>
          <w:bCs w:val="false"/>
          <w:i/>
          <w:iCs/>
          <w:caps w:val="false"/>
          <w:sz w:val="20"/>
          <w:szCs w:val="20"/>
        </w:rPr>
        <w:t xml:space="preserve">Table A.1. Admission Decision Model — 2025 Engagement vs. Updated Architecture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28"/>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Decision Layer</w:t>
            </w:r>
          </w:p>
        </w:tc>
        <w:tc>
          <w:tcPr>
            <w:tcW w:type="dxa" w:w="3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2025 Control Policy</w:t>
            </w:r>
          </w:p>
        </w:tc>
        <w:tc>
          <w:tcPr>
            <w:tcW w:type="dxa" w:w="35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Updated Architecture</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Identity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authenticates to the endpoint via domain service account (Remote Inspection); admits any Windows host that accepts the inbound RPC call and confirms domain membership</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at connection time. Device class sourced from Claroty for IoT/OT; managed-endpoint identity confirmed via Entra ID / Azure AD join state</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Posture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None. Deferred to future Compliance-to-Connect phase</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Eight-point check, sourced via API from Intune, CrowdStrike, Qualys, Tanium, Jamf, SCCM, evaluated at admission and continuously</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Authorization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Binary: allow on connected VLAN, or quarantine via switch-port ACL</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Tiered: Tier 1 full access, Tier 2 restricted L3 ACL on static VLAN, Hard Block for unmanaged IT endpoints</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Mid-session enforcement</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None. Next validation cycle only</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CoA demotion to Tier 2 on any check failure, P95 15s enforcement latency</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Coverage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Windows domain-joined only; Mac, Linux, IoT, OT, third-party, BYOD structurally excluded</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All managed Windows and Mac endpoints; IoT/OT via Claroty classification feeding MAB (staged through Stages 1–3)</w:t>
            </w:r>
          </w:p>
        </w:tc>
      </w:tr>
      <w:tr>
        <w:trPr>
          <w:cantSplit/>
          <w:tblHeader w:val="false"/>
        </w:trP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Trust proof</w:t>
            </w:r>
          </w:p>
        </w:tc>
        <w:tc>
          <w:tcPr>
            <w:tcW w:type="dxa" w:w="3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Reachability of a domain service account to endpoint WMI surface</w:t>
            </w:r>
          </w:p>
        </w:tc>
        <w:tc>
          <w:tcPr>
            <w:tcW w:type="dxa" w:w="35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Endpoint posture state across eight independent controls, revalidated continuously</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A.3 Enforcement Mechanism</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2025 engagement planned to enforce non-compliant state via switch-port ACL quarantine. Earlier in the engagement, Virtual Firewall (VFW) had been considered as the Control mechanism; Jason Coniglio's 1 July 2025 reset corrected this explicitly, noting that VFW has limitations on UDP traffic, requires L2 packet visibility CVS did not have, and is not used at scale in organizations of CVS's size. The intended end state was a binary allow-or-quarantine action at the switch port, with no differentiated restricted-access state between fully-admitted and fully-quarantined.</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updated architecture uses L3 dynamic ACLs pushed by Forescout directly to the access-layer switch as the Tier 2 enforcement mechanism. This is driven by the CVS Health network topology: there is no local internet breakout at site level, so a traditional remediation VLAN severs the management plane to Zscaler, Entra ID, CrowdStrike, Jamf, Intune, and SCCM and prevents automated remediation. The L3 dynamic ACL leaves the device on its static VLAN and permits only the explicitly enumerated management-plane destinations required for automated remediation. SGT/TrustSec and Palo Alto NGFW policy updates are not involved in the managed-endpoint Tier 2 enforcement path.</w:t>
      </w:r>
    </w:p>
    <w:p>
      <w:pPr>
        <w:spacing w:after="80" w:before="120"/>
        <w:jc w:val="center"/>
      </w:pPr>
      <w:r>
        <w:rPr>
          <w:rFonts w:ascii="Times New Roman" w:cs="Times New Roman" w:eastAsia="Times New Roman" w:hAnsi="Times New Roman"/>
          <w:b w:val="false"/>
          <w:bCs w:val="false"/>
          <w:i/>
          <w:iCs/>
          <w:caps w:val="false"/>
          <w:sz w:val="20"/>
          <w:szCs w:val="20"/>
        </w:rPr>
        <w:t xml:space="preserve">Table A.2. Enforcement Mechanism — 2025 Engagement vs. Updated Architecture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528"/>
      </w:tblGrid>
      <w:tr>
        <w:trPr>
          <w:cantSplit/>
          <w:tblHeader/>
        </w:trP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Dimension</w:t>
            </w:r>
          </w:p>
        </w:tc>
        <w:tc>
          <w:tcPr>
            <w:tcW w:type="dxa" w:w="3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2025 Control Policy</w:t>
            </w:r>
          </w:p>
        </w:tc>
        <w:tc>
          <w:tcPr>
            <w:tcW w:type="dxa" w:w="35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Updated Architecture</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Non-compliant enforcement action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Switch-port quarantine ACL; earlier plans considered Virtual Firewall</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L3 dynamic ACL on static VLAN, pushed by Forescout to access-layer switch</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VLAN behaviour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Implicit reassignment via quarantine ACL</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Device never leaves its static VLAN</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Management plane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Severed under quarantine; no differentiated restricted-access state</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Preserved; Tier 2 ACL permits Zscaler, Entra ID, CrowdStrike, Intune, Jamf, SCCM explicitly</w:t>
            </w:r>
          </w:p>
        </w:tc>
      </w:tr>
      <w:tr>
        <w:trPr>
          <w:cantSplit/>
          <w:tblHeader w:val="false"/>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 path</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Not defined; SCCM integration listed as a pre-enforcement step that was not completed</w:t>
            </w:r>
          </w:p>
        </w:tc>
        <w:tc>
          <w:tcPr>
            <w:tcW w:type="dxa" w:w="35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Automated via the endpoint management stack over the preserved management plane</w:t>
            </w:r>
          </w:p>
        </w:tc>
      </w:tr>
      <w:tr>
        <w:trPr>
          <w:cantSplit/>
          <w:tblHeader w:val="false"/>
        </w:trP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Tiering</w:t>
            </w:r>
          </w:p>
        </w:tc>
        <w:tc>
          <w:tcPr>
            <w:tcW w:type="dxa" w:w="3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Binary admit/quarantine</w:t>
            </w:r>
          </w:p>
        </w:tc>
        <w:tc>
          <w:tcPr>
            <w:tcW w:type="dxa" w:w="35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Tier 1 / Tier 2 / Hard Block, with CoA auto-promotion on posture recovery</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A.4 Role Allocation — What Forescout Does and Does Not Do</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2025 Forescout positioning inherited from the 2013 deployment treated Forescout as a multi-function admission, validation, and remediation platform, with Forescout-native posture checks, Forescout-native IoT classification where possible, and Forescout remediation workflows. The 2025 Control policy — having deferred posture entirely — narrowed this in practice to admission-by-domain-membership, but the platform scope remained broad by configuration and by licensed footprint.</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updated architecture collapses Forescout to two functions: RADIUS MAB admission enforcement, and continuous posture validation via API against the existing endpoint management stack. Remediation transfers entirely to Intune, Jamf, CrowdStrike, and SCCM. IoT/OT discovery and classification transfer entirely to Claroty xDome. East-west segmentation and IT-to-OT boundary enforcement transfer to the Palo Alto NGFW. Each function has exactly one authoritative owner.</w:t>
      </w:r>
    </w:p>
    <w:p>
      <w:pPr>
        <w:spacing w:after="80" w:before="120"/>
        <w:jc w:val="center"/>
      </w:pPr>
      <w:r>
        <w:rPr>
          <w:rFonts w:ascii="Times New Roman" w:cs="Times New Roman" w:eastAsia="Times New Roman" w:hAnsi="Times New Roman"/>
          <w:b w:val="false"/>
          <w:bCs w:val="false"/>
          <w:i/>
          <w:iCs/>
          <w:caps w:val="false"/>
          <w:sz w:val="20"/>
          <w:szCs w:val="20"/>
        </w:rPr>
        <w:t xml:space="preserve">Table A.3. Role Allocation — 2025 Engagement vs. Updated Architecture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28"/>
      </w:tblGrid>
      <w:tr>
        <w:trPr>
          <w:cantSplit/>
          <w:tblHeader/>
        </w:trPr>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Function</w:t>
            </w:r>
          </w:p>
        </w:tc>
        <w:tc>
          <w:tcPr>
            <w:tcW w:type="dxa" w:w="3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2025 Engagement</w:t>
            </w:r>
          </w:p>
        </w:tc>
        <w:tc>
          <w:tcPr>
            <w:tcW w:type="dxa" w:w="33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Updated Architecture</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Admission decision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Remote Inspection (Windows domain-joined only)</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RADIUS MAB (all device classes)</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Posture assessment</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native (deferred in the 2025 policy)</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CrowdStrike, Qualys, Tanium, Jamf, SCCM via API — Forescout reads and enforces</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remediation workflows (planned)</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 Jamf / CrowdStrike / SCCM — not Forescout</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IoT/OT discovery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native (DHCP, SNMP, SPAN-dependent)</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xDome via Claroty Edge; no SPAN required</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IoT/OT classification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native, limited</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xDome, 450+ OT protocols; feeds Forescout via API</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East-west segmentation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Unassigned in 2025 Control policy</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Palo Alto NGFW, with Claroty-sourced device classifications at Stage 3</w:t>
            </w:r>
          </w:p>
        </w:tc>
      </w:tr>
      <w:tr>
        <w:trPr>
          <w:cantSplit/>
          <w:tblHeader w:val="false"/>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SPAN/tap infrastructure</w:t>
            </w:r>
          </w:p>
        </w:tc>
        <w:tc>
          <w:tcPr>
            <w:tcW w:type="dxa" w:w="3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Treated as Control prerequisite (incorrectly, per the 1 July reset)</w:t>
            </w:r>
          </w:p>
        </w:tc>
        <w:tc>
          <w:tcPr>
            <w:tcW w:type="dxa" w:w="33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Not required. DPI is a Claroty concern, solved by Claroty Edge</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A.5 Commercial and Licensing Posture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2025 engagement's commercial outcome — a four-month procurement rebid producing a different partner selection and new pricing terms — traces directly to the scope-declaration failure described in A.1. Forescout license consumption is a function of the host-inventory population, and every switch auto-discovery added to the Switch Plugin contributes its full ARP and MAC address tables to that population. Data-center fabric, out-of-band management interfaces, iSCSI initiators, hypervisor cluster interconnects, and transient virtual machines all entered the licensed count despite being structurally ineligible for the Windows-domain-joined admission policy. The vendor's contract posture at renewal — “this is what you are using, price accordingly” — and the customer's posture — “we never intended to enforce against most of this” — were irreconcilable within a renewal conversation, which is why a rebid was the only available mechanism to reset the baseline.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updated architecture prevents the conditions that produced this outcome.</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License sizing is declared against the enumerated target population in the signed segment policy, not against the host-inventory footprint the NAC discovers.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Infrastructure-tier switches — data-center fabric, out-of-band management, core and aggregation — are integrated only where a specific, documented use case justifies it, and are priced under the appropriate SKU.</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Host-inventory hygiene is a continuous control. Infrastructure populations that should not be counted are actively suppressed via classification rules and group-based exclusions.</w:t>
      </w:r>
    </w:p>
    <w:p>
      <w:pPr>
        <w:pStyle w:val="ListParagraph"/>
        <w:numPr>
          <w:ilvl w:val="0"/>
          <w:numId w:val="2"/>
        </w:numPr>
        <w:spacing w:after="60" w:line="276" w:lineRule="exact"/>
        <w:jc w:val="both"/>
      </w:pPr>
      <w:r>
        <w:rPr>
          <w:rFonts w:ascii="Times New Roman" w:cs="Times New Roman" w:eastAsia="Times New Roman" w:hAnsi="Times New Roman"/>
          <w:b w:val="false"/>
          <w:bCs w:val="false"/>
          <w:i w:val="false"/>
          <w:iCs w:val="false"/>
          <w:caps w:val="false"/>
          <w:sz w:val="22"/>
          <w:szCs w:val="22"/>
        </w:rPr>
        <w:t xml:space="preserve">The segment policy is the customer's leverage artifact at each renewal cycle. License sizing is reviewed against declared scope, not against discovered footprint.</w:t>
      </w:r>
    </w:p>
    <w:p>
      <w:pPr>
        <w:pStyle w:val="Heading2"/>
        <w:spacing w:after="120" w:before="280"/>
      </w:pPr>
      <w:r>
        <w:rPr>
          <w:rFonts w:ascii="Times New Roman" w:cs="Times New Roman" w:eastAsia="Times New Roman" w:hAnsi="Times New Roman"/>
          <w:b/>
          <w:bCs/>
          <w:i w:val="false"/>
          <w:iCs w:val="false"/>
          <w:caps w:val="false"/>
          <w:sz w:val="22"/>
          <w:szCs w:val="22"/>
        </w:rPr>
        <w:t xml:space="preserve">A.6 Summary of Structural Differences</w:t>
      </w:r>
    </w:p>
    <w:p>
      <w:pPr>
        <w:spacing w:after="80" w:before="120"/>
        <w:jc w:val="center"/>
      </w:pPr>
      <w:r>
        <w:rPr>
          <w:rFonts w:ascii="Times New Roman" w:cs="Times New Roman" w:eastAsia="Times New Roman" w:hAnsi="Times New Roman"/>
          <w:b w:val="false"/>
          <w:bCs w:val="false"/>
          <w:i/>
          <w:iCs/>
          <w:caps w:val="false"/>
          <w:sz w:val="20"/>
          <w:szCs w:val="20"/>
        </w:rPr>
        <w:t xml:space="preserve">Table A.4. Summary — 2025 Engagement vs. Updated Architecture</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28"/>
      </w:tblGrid>
      <w:tr>
        <w:trPr>
          <w:cantSplit/>
          <w:tblHeader/>
        </w:trPr>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Property</w:t>
            </w:r>
          </w:p>
        </w:tc>
        <w:tc>
          <w:tcPr>
            <w:tcW w:type="dxa" w:w="3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2025 Engagement</w:t>
            </w:r>
          </w:p>
        </w:tc>
        <w:tc>
          <w:tcPr>
            <w:tcW w:type="dxa" w:w="33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lineRule="exact"/>
              <w:jc w:val="center"/>
            </w:pPr>
            <w:r>
              <w:rPr>
                <w:rFonts w:ascii="Times New Roman" w:cs="Times New Roman" w:eastAsia="Times New Roman" w:hAnsi="Times New Roman"/>
                <w:b/>
                <w:bCs/>
                <w:i w:val="false"/>
                <w:iCs w:val="false"/>
                <w:caps w:val="false"/>
                <w:sz w:val="19"/>
                <w:szCs w:val="19"/>
              </w:rPr>
              <w:t xml:space="preserve">Updated Architecture</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Segment policy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Tacit; never ratified in writing</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Signed before deployment begins; authoritative outside the NAC</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Switch inventory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Manually curated (400), expanded to ~1,080 via NAC auto-discovery</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Explicitly enumerated by network engineering; matches Switch Plugin configuration one-to-one</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Switch auto-discovery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Enabled; graph traversal of CDP/LLDP, MAC, ARP, SNMP</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Disabled. No CDP/LLDP traversal, no ARP/MAC sweeps, no candidate queue</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Enforcement domain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Implied by integrated switches</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Declared in segment policy; Segment Manager configured to match</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Admission trust proof</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Domain membership, binary</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RADIUS MAB + eight-point posture check, continuously revalidated</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Posture</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Deferred</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Enforced at admission and mid-session (P95 15s CoA)</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Non-compliant enforcement</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Quarantine ACL at switch port; earlier VFW consideration</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L3 dynamic ACL on static VLAN; management plane preserved</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Remediation owner</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 (planned)</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Intune / Jamf / CrowdStrike / SCCM</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IoT/OT discovery</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Forescout-native, SPAN-dependent</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Claroty xDome via Claroty Edge; no SPAN</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License sizing</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Derived from discovered host inventory</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Declared against enumerated target population per segment</w:t>
            </w:r>
          </w:p>
        </w:tc>
      </w:tr>
      <w:tr>
        <w:trPr>
          <w:cantSplit/>
          <w:tblHeader w:val="false"/>
        </w:trPr>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Cross-boundary observation</w:t>
            </w:r>
          </w:p>
        </w:tc>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NAC-console approval candidate</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Governance alert to segment-policy owner</w:t>
            </w:r>
          </w:p>
        </w:tc>
      </w:tr>
      <w:tr>
        <w:trPr>
          <w:cantSplit/>
          <w:tblHeader w:val="false"/>
        </w:trPr>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Coverage</w:t>
            </w:r>
          </w:p>
        </w:tc>
        <w:tc>
          <w:tcPr>
            <w:tcW w:type="dxa" w:w="3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Windows domain-joined only</w:t>
            </w:r>
          </w:p>
        </w:tc>
        <w:tc>
          <w:tcPr>
            <w:tcW w:type="dxa" w:w="33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lineRule="exact"/>
              <w:jc w:val="left"/>
            </w:pPr>
            <w:r>
              <w:rPr>
                <w:rFonts w:ascii="Times New Roman" w:cs="Times New Roman" w:eastAsia="Times New Roman" w:hAnsi="Times New Roman"/>
                <w:b w:val="false"/>
                <w:bCs w:val="false"/>
                <w:i w:val="false"/>
                <w:iCs w:val="false"/>
                <w:caps w:val="false"/>
                <w:sz w:val="19"/>
                <w:szCs w:val="19"/>
              </w:rPr>
              <w:t xml:space="preserve">Managed Windows / Mac (Phase 1); IoT / OT staged via Claroty (Phase 2–3)</w:t>
            </w:r>
          </w:p>
        </w:tc>
      </w:tr>
    </w:tbl>
    <w:p>
      <w:pPr>
        <w:spacing w:after="60"/>
      </w:pPr>
    </w:p>
    <w:p>
      <w:pPr>
        <w:pStyle w:val="Heading2"/>
        <w:spacing w:after="120" w:before="280"/>
      </w:pPr>
      <w:r>
        <w:rPr>
          <w:rFonts w:ascii="Times New Roman" w:cs="Times New Roman" w:eastAsia="Times New Roman" w:hAnsi="Times New Roman"/>
          <w:b/>
          <w:bCs/>
          <w:i w:val="false"/>
          <w:iCs w:val="false"/>
          <w:caps w:val="false"/>
          <w:sz w:val="22"/>
          <w:szCs w:val="22"/>
        </w:rPr>
        <w:t xml:space="preserve">A.7 Closing Note</w:t>
      </w:r>
    </w:p>
    <w:p>
      <w:pPr>
        <w:spacing w:after="120" w:line="276" w:lineRule="exact"/>
        <w:jc w:val="both"/>
      </w:pPr>
      <w:r>
        <w:rPr>
          <w:rFonts w:ascii="Times New Roman" w:cs="Times New Roman" w:eastAsia="Times New Roman" w:hAnsi="Times New Roman"/>
          <w:b w:val="false"/>
          <w:bCs w:val="false"/>
          <w:i w:val="false"/>
          <w:iCs w:val="false"/>
          <w:caps w:val="false"/>
          <w:sz w:val="22"/>
          <w:szCs w:val="22"/>
        </w:rPr>
        <w:t xml:space="preserve">The 2025 engagement did not fail because of product selection, vendor execution inside the scope given, or the strategic-accounts team's sequencing. It failed because the foundational scope artifacts a NAC enforcement program depends on — a ratified segment policy, a compliant-device definition, and an enumerated target population — did not exist in the form the deployment plan assumed, and because auto-discovery was permitted to substitute a discovered footprint for a declared one. The updated architecture treats those artifacts as pre-deployment prerequisites, signed before vendor engineering begins rather than discovered during it. Every downstream decision — switch onboarding, Segment Manager configuration, policy design, Tier 2 ACL destination enumeration, and license sizing — follows from the declared scope rather than from what the NAC finds when it starts looking.</w:t>
      </w:r>
    </w:p>
    <w:sectPr>
      <w:headerReference w:type="default" r:id="rId7"/>
      <w:pgSz w:w="12240" w:h="15840" w:orient="portrait"/>
      <w:pgMar w:top="1440" w:right="1656" w:bottom="1440" w:left="165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jc w:val="left"/>
    </w:pPr>
    <w:r>
      <w:rPr>
        <w:rFonts w:ascii="Times New Roman" w:cs="Times New Roman" w:eastAsia="Times New Roman" w:hAnsi="Times New Roman"/>
        <w:i/>
        <w:iCs/>
        <w:color w:val="888888"/>
        <w:sz w:val="16"/>
        <w:szCs w:val="16"/>
      </w:rPr>
      <w:t xml:space="preserve">CVS Health ZTNA-NAC Program · v5.1</w:t>
    </w:r>
    <w:r>
      <w:rPr>
        <w:rFonts w:ascii="Times New Roman" w:cs="Times New Roman" w:eastAsia="Times New Roman" w:hAnsi="Times New Roman"/>
        <w:sz w:val="16"/>
        <w:szCs w:val="16"/>
      </w:rPr>
      <w:t xml:space="preserve">	</w:t>
    </w:r>
    <w:r>
      <w:rPr>
        <w:rFonts w:ascii="Times New Roman" w:cs="Times New Roman" w:eastAsia="Times New Roman" w:hAnsi="Times New Roman"/>
        <w:i/>
        <w:iCs/>
        <w:color w:val="888888"/>
        <w:sz w:val="16"/>
        <w:szCs w:val="16"/>
      </w:rPr>
      <w:t xml:space="preserve">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color w:val="000000"/>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 Health ZTNA-NAC Program</dc:title>
  <dc:creator>Michael J. Martin</dc:creator>
  <cp:lastModifiedBy>Un-named</cp:lastModifiedBy>
  <cp:revision>1</cp:revision>
  <dcterms:created xsi:type="dcterms:W3CDTF">2026-04-23T00:46:52.731Z</dcterms:created>
  <dcterms:modified xsi:type="dcterms:W3CDTF">2026-04-23T00:46:52.739Z</dcterms:modified>
</cp:coreProperties>
</file>

<file path=docProps/custom.xml><?xml version="1.0" encoding="utf-8"?>
<Properties xmlns="http://schemas.openxmlformats.org/officeDocument/2006/custom-properties" xmlns:vt="http://schemas.openxmlformats.org/officeDocument/2006/docPropsVTypes"/>
</file>