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lineRule="exact"/>
        <w:jc w:val="center"/>
      </w:pPr>
      <w:r>
        <w:rPr>
          <w:rFonts w:ascii="Times New Roman" w:cs="Times New Roman" w:eastAsia="Times New Roman" w:hAnsi="Times New Roman"/>
          <w:b/>
          <w:bCs/>
          <w:i w:val="false"/>
          <w:iCs w:val="false"/>
          <w:caps w:val="false"/>
          <w:sz w:val="32"/>
          <w:szCs w:val="32"/>
        </w:rPr>
        <w:t xml:space="preserve">CVS Health ZTNA-NAC Program</w:t>
      </w:r>
    </w:p>
    <w:p>
      <w:pPr>
        <w:spacing w:after="120" w:before="0" w:line="276" w:lineRule="exact"/>
        <w:jc w:val="center"/>
      </w:pPr>
      <w:r>
        <w:rPr>
          <w:rFonts w:ascii="Times New Roman" w:cs="Times New Roman" w:eastAsia="Times New Roman" w:hAnsi="Times New Roman"/>
          <w:b w:val="false"/>
          <w:bCs w:val="false"/>
          <w:i w:val="false"/>
          <w:iCs w:val="false"/>
          <w:caps w:val="false"/>
          <w:sz w:val="26"/>
          <w:szCs w:val="26"/>
        </w:rPr>
        <w:t xml:space="preserve">Executive Summary — Updated Architecture (v5.1)</w:t>
      </w:r>
    </w:p>
    <w:p>
      <w:pPr>
        <w:spacing w:after="60" w:before="0" w:line="276" w:lineRule="exact"/>
        <w:jc w:val="center"/>
      </w:pPr>
      <w:r>
        <w:rPr>
          <w:rFonts w:ascii="Times New Roman" w:cs="Times New Roman" w:eastAsia="Times New Roman" w:hAnsi="Times New Roman"/>
          <w:b w:val="false"/>
          <w:bCs w:val="false"/>
          <w:i w:val="false"/>
          <w:iCs w:val="false"/>
          <w:caps w:val="false"/>
          <w:sz w:val="22"/>
          <w:szCs w:val="22"/>
        </w:rPr>
        <w:t xml:space="preserve">Michael J. Martin, Lead Director, Information Security</w:t>
      </w:r>
    </w:p>
    <w:p>
      <w:pPr>
        <w:spacing w:after="60" w:before="0" w:line="276" w:lineRule="exact"/>
        <w:jc w:val="center"/>
      </w:pPr>
      <w:r>
        <w:rPr>
          <w:rFonts w:ascii="Times New Roman" w:cs="Times New Roman" w:eastAsia="Times New Roman" w:hAnsi="Times New Roman"/>
          <w:b w:val="false"/>
          <w:bCs w:val="false"/>
          <w:i w:val="false"/>
          <w:iCs w:val="false"/>
          <w:caps w:val="false"/>
          <w:sz w:val="20"/>
          <w:szCs w:val="20"/>
        </w:rPr>
        <w:t xml:space="preserve">April 2026</w:t>
      </w:r>
    </w:p>
    <w:p>
      <w:pPr>
        <w:spacing w:after="60" w:before="0" w:line="276" w:lineRule="exact"/>
        <w:jc w:val="center"/>
      </w:pPr>
      <w:r>
        <w:rPr>
          <w:rFonts w:ascii="Times New Roman" w:cs="Times New Roman" w:eastAsia="Times New Roman" w:hAnsi="Times New Roman"/>
          <w:b w:val="false"/>
          <w:bCs w:val="false"/>
          <w:i w:val="false"/>
          <w:iCs w:val="false"/>
          <w:caps w:val="false"/>
          <w:sz w:val="20"/>
          <w:szCs w:val="20"/>
        </w:rPr>
        <w:t xml:space="preserve">CONFIDENTIAL / INTERNAL</w:t>
      </w:r>
    </w:p>
    <w:p>
      <w:pPr>
        <w:spacing w:after="60" w:before="0" w:line="276" w:lineRule="exact"/>
        <w:jc w:val="center"/>
      </w:pPr>
      <w:r>
        <w:rPr>
          <w:rFonts w:ascii="Times New Roman" w:cs="Times New Roman" w:eastAsia="Times New Roman" w:hAnsi="Times New Roman"/>
          <w:b w:val="false"/>
          <w:bCs w:val="false"/>
          <w:i w:val="false"/>
          <w:iCs w:val="false"/>
          <w:caps w:val="false"/>
          <w:sz w:val="20"/>
          <w:szCs w:val="20"/>
        </w:rPr>
        <w:t xml:space="preserve">Version 5.1 · Companion to Architecture Document v5.1</w:t>
      </w:r>
    </w:p>
    <w:p>
      <w:pPr>
        <w:spacing w:after="120" w:before="240" w:line="276" w:lineRule="exact"/>
        <w:jc w:val="center"/>
      </w:pPr>
      <w:r>
        <w:rPr>
          <w:rFonts w:ascii="Times New Roman" w:cs="Times New Roman" w:eastAsia="Times New Roman" w:hAnsi="Times New Roman"/>
          <w:b/>
          <w:bCs/>
          <w:i w:val="false"/>
          <w:iCs w:val="false"/>
          <w:caps w:val="false"/>
          <w:sz w:val="22"/>
          <w:szCs w:val="22"/>
        </w:rPr>
        <w:t xml:space="preserve">Abstract</w:t>
      </w:r>
    </w:p>
    <w:p>
      <w:pPr>
        <w:spacing w:after="120" w:line="276" w:lineRule="exact"/>
        <w:ind w:left="360" w:right="360"/>
        <w:jc w:val="both"/>
      </w:pPr>
      <w:r>
        <w:rPr>
          <w:rFonts w:ascii="Times New Roman" w:cs="Times New Roman" w:eastAsia="Times New Roman" w:hAnsi="Times New Roman"/>
          <w:b w:val="false"/>
          <w:bCs w:val="false"/>
          <w:i w:val="false"/>
          <w:iCs w:val="false"/>
          <w:caps w:val="false"/>
          <w:sz w:val="20"/>
          <w:szCs w:val="20"/>
        </w:rPr>
        <w:t xml:space="preserve">This executive summary distils the updated Zero Trust Network Access Control (ZTNA-NAC) architecture into the decisions leadership must endorse. It establishes why the 2013 Forescout operating model is being retired, what the corrected three-layer enforcement architecture looks like, how managed-device enforcement has been simplified from SGT/TrustSec and Palo Alto NGFW dependency to an L3 dynamic ACL pushed directly to the access-layer switch by Forescout, and how the program will be validated before enterprise rollout. It also summarises the legacy-versus-updated contrast captured in Appendix A of the full architecture document — most importantly the removal of switch auto-discovery in favour of explicitly declared switches and an explicitly declared enforcement domain.</w:t>
      </w:r>
    </w:p>
    <w:p>
      <w:r>
        <w:br w:type="page"/>
      </w:r>
    </w:p>
    <w:p>
      <w:pPr>
        <w:pStyle w:val="Heading1"/>
        <w:spacing w:after="160" w:before="360" w:line="276" w:lineRule="exact"/>
        <w:jc w:val="left"/>
      </w:pPr>
      <w:r>
        <w:rPr>
          <w:rFonts w:ascii="Times New Roman" w:cs="Times New Roman" w:eastAsia="Times New Roman" w:hAnsi="Times New Roman"/>
          <w:b/>
          <w:bCs/>
          <w:i w:val="false"/>
          <w:iCs w:val="false"/>
          <w:caps/>
          <w:sz w:val="26"/>
          <w:szCs w:val="26"/>
        </w:rPr>
        <w:t xml:space="preserve">1. Program in One Paragraph</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CVS Health is re-architecting its Network Access Control programme to align with the endpoint security stack the enterprise already operates. The 2013 Forescout deployment treated NAC as a monolithic admission, validation, and remediation platform. The updated architecture treats NAC as a narrow admission and segmentation control that consumes posture from the enterprise endpoint stack — Intune, Jamf, CrowdStrike, Qualys, Tanium, and SCCM — and enforces at the access layer. The programme delivers Zero Trust segmentation for managed endpoints first, then matures to IoT/OT enforcement once discovery fidelity is proven, and finally expands across the enterprise.</w:t>
      </w:r>
    </w:p>
    <w:p>
      <w:pPr>
        <w:pStyle w:val="Heading1"/>
        <w:spacing w:after="160" w:before="360" w:line="276" w:lineRule="exact"/>
        <w:jc w:val="left"/>
      </w:pPr>
      <w:r>
        <w:rPr>
          <w:rFonts w:ascii="Times New Roman" w:cs="Times New Roman" w:eastAsia="Times New Roman" w:hAnsi="Times New Roman"/>
          <w:b/>
          <w:bCs/>
          <w:i w:val="false"/>
          <w:iCs w:val="false"/>
          <w:caps/>
          <w:sz w:val="26"/>
          <w:szCs w:val="26"/>
        </w:rPr>
        <w:t xml:space="preserve">2. Why Re-Architect Now</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2013 operating model predates the current endpoint management and security toolchain. Remediation, patch enforcement, configuration drift, malware containment, and vulnerability response are already owned by dedicated platforms with mature operational processes. Continuing to operate Forescout as a parallel remediation engine duplicates capability, creates ambiguous ownership during incidents, and consumes engineering effort that should be directed at segmentation outcomes. The updated model collapses Forescout's role to what only it can do at the network edge — admission decisioning and dynamic access-layer enforcement.</w:t>
      </w:r>
    </w:p>
    <w:p>
      <w:pPr>
        <w:pStyle w:val="Heading1"/>
        <w:spacing w:after="160" w:before="360" w:line="276" w:lineRule="exact"/>
        <w:jc w:val="left"/>
      </w:pPr>
      <w:r>
        <w:rPr>
          <w:rFonts w:ascii="Times New Roman" w:cs="Times New Roman" w:eastAsia="Times New Roman" w:hAnsi="Times New Roman"/>
          <w:b/>
          <w:bCs/>
          <w:i w:val="false"/>
          <w:iCs w:val="false"/>
          <w:caps/>
          <w:sz w:val="26"/>
          <w:szCs w:val="26"/>
        </w:rPr>
        <w:t xml:space="preserve">3. Corrected Enforcement Model</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single most important technical correction in v5.1 is the Tier 2 managed-device enforcement mechanism. Version 4 assumed SGT/TrustSec tagging with Palo Alto NGFW as the east-west enforcement point for non-compliant managed devices. That dependency has been removed. Non-compliant Tier 2 endpoints are now enforced by an L3 dynamic ACL pushed directly to the access-layer switch by Forescout. Palo Alto NGFW remains the east-west segmentation layer for inter-zone traffic, but is no longer on the critical path for managed-device admission enforcement. This shortens the enforcement path, reduces inter-team dependency, and makes the Phase 1 outcome achievable without TrustSec deployment.</w:t>
      </w:r>
    </w:p>
    <w:p>
      <w:pPr>
        <w:pStyle w:val="Heading1"/>
        <w:spacing w:after="160" w:before="360" w:line="276" w:lineRule="exact"/>
        <w:jc w:val="left"/>
      </w:pPr>
      <w:r>
        <w:rPr>
          <w:rFonts w:ascii="Times New Roman" w:cs="Times New Roman" w:eastAsia="Times New Roman" w:hAnsi="Times New Roman"/>
          <w:b/>
          <w:bCs/>
          <w:i w:val="false"/>
          <w:iCs w:val="false"/>
          <w:caps/>
          <w:sz w:val="26"/>
          <w:szCs w:val="26"/>
        </w:rPr>
        <w:t xml:space="preserve">4. Three-Layer Architecture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updated architecture has three integrated layers with clean separation of function — no two layers share primary responsibility for the same control.</w:t>
      </w:r>
    </w:p>
    <w:p>
      <w:pPr>
        <w:spacing w:after="80" w:before="120" w:line="276" w:lineRule="exact"/>
        <w:jc w:val="center"/>
      </w:pPr>
      <w:r>
        <w:rPr>
          <w:rFonts w:ascii="Times New Roman" w:cs="Times New Roman" w:eastAsia="Times New Roman" w:hAnsi="Times New Roman"/>
          <w:b w:val="false"/>
          <w:bCs w:val="false"/>
          <w:i/>
          <w:iCs/>
          <w:caps w:val="false"/>
          <w:sz w:val="20"/>
          <w:szCs w:val="20"/>
        </w:rPr>
        <w:t xml:space="preserve">Table 1. Control-plane layer responsibilities.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bCs/>
                <w:i w:val="false"/>
                <w:iCs w:val="false"/>
                <w:caps w:val="false"/>
                <w:sz w:val="19"/>
                <w:szCs w:val="19"/>
              </w:rPr>
              <w:t xml:space="preserve">Layer</w:t>
            </w:r>
          </w:p>
        </w:tc>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bCs/>
                <w:i w:val="false"/>
                <w:iCs w:val="false"/>
                <w:caps w:val="false"/>
                <w:sz w:val="19"/>
                <w:szCs w:val="19"/>
              </w:rPr>
              <w:t xml:space="preserve">Platform</w:t>
            </w:r>
          </w:p>
        </w:tc>
        <w:tc>
          <w:tcPr>
            <w:tcW w:type="dxa" w:w="45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bCs/>
                <w:i w:val="false"/>
                <w:iCs w:val="false"/>
                <w:caps w:val="false"/>
                <w:sz w:val="19"/>
                <w:szCs w:val="19"/>
              </w:rPr>
              <w:t xml:space="preserve">Primary Responsibility</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Discovery and classification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xDome</w:t>
            </w:r>
          </w:p>
        </w:tc>
        <w:tc>
          <w:tcPr>
            <w:tcW w:type="dxa" w:w="4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Passive IoT/OT discovery, device classification, and behavioural baselining</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NAC enforcement</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CounterACT</w:t>
            </w:r>
          </w:p>
        </w:tc>
        <w:tc>
          <w:tcPr>
            <w:tcW w:type="dxa" w:w="4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Admission decisioning and L3 dynamic ACL enforcement at the access layer</w:t>
            </w:r>
          </w:p>
        </w:tc>
      </w:tr>
      <w:tr>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East-west segmentation</w:t>
            </w:r>
          </w:p>
        </w:tc>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Palo Alto NGFW</w:t>
            </w:r>
          </w:p>
        </w:tc>
        <w:tc>
          <w:tcPr>
            <w:tcW w:type="dxa" w:w="45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Inter-zone policy enforcement between declared segments</w:t>
            </w:r>
          </w:p>
        </w:tc>
      </w:tr>
    </w:tbl>
    <w:p>
      <w:pPr>
        <w:pStyle w:val="Heading1"/>
        <w:spacing w:after="160" w:before="360" w:line="276" w:lineRule="exact"/>
        <w:jc w:val="left"/>
      </w:pPr>
      <w:r>
        <w:rPr>
          <w:rFonts w:ascii="Times New Roman" w:cs="Times New Roman" w:eastAsia="Times New Roman" w:hAnsi="Times New Roman"/>
          <w:b/>
          <w:bCs/>
          <w:i w:val="false"/>
          <w:iCs w:val="false"/>
          <w:caps/>
          <w:sz w:val="26"/>
          <w:szCs w:val="26"/>
        </w:rPr>
        <w:t xml:space="preserve">5. IoT/OT Track — Decoupled from Phase 1</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Full Forescout IoT/OT enforcement is conditional on Claroty xDome deployment. Forescout's native IoT discovery — DHCP fingerprinting and limited active probing — is insufficient for confident enforcement of clinical, facilities, and operational technology estates. The updated plan therefore decouples the IoT/OT track from Phase 1 managed-endpoint success criteria. IoT/OT begins in monitor-only mode, matures through Claroty-driven classification, and transitions to enforcement only when discovery fidelity and behavioural baselines justify it. Phase 1 is not blocked by this track.</w:t>
      </w:r>
    </w:p>
    <w:p>
      <w:pPr>
        <w:pStyle w:val="Heading1"/>
        <w:spacing w:after="160" w:before="360" w:line="276" w:lineRule="exact"/>
        <w:jc w:val="left"/>
      </w:pPr>
      <w:r>
        <w:rPr>
          <w:rFonts w:ascii="Times New Roman" w:cs="Times New Roman" w:eastAsia="Times New Roman" w:hAnsi="Times New Roman"/>
          <w:b/>
          <w:bCs/>
          <w:i w:val="false"/>
          <w:iCs w:val="false"/>
          <w:caps/>
          <w:sz w:val="26"/>
          <w:szCs w:val="26"/>
        </w:rPr>
        <w:t xml:space="preserve">6. Validation-First Deployment</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deployment plan is validation-first. A bounded POC proves the admission decision, the L3 dynamic ACL push, and the posture-signal integrations against a declared set of access switches and an explicitly declared enforcement domain before any site is cut over. Site selection, per-site sequencing, and expansion criteria flow from POC signal quality rather than calendar pressure.</w:t>
      </w:r>
    </w:p>
    <w:p>
      <w:pPr>
        <w:pStyle w:val="Heading1"/>
        <w:spacing w:after="160" w:before="360" w:line="276" w:lineRule="exact"/>
        <w:jc w:val="left"/>
      </w:pPr>
      <w:r>
        <w:rPr>
          <w:rFonts w:ascii="Times New Roman" w:cs="Times New Roman" w:eastAsia="Times New Roman" w:hAnsi="Times New Roman"/>
          <w:b/>
          <w:bCs/>
          <w:i w:val="false"/>
          <w:iCs w:val="false"/>
          <w:caps/>
          <w:sz w:val="26"/>
          <w:szCs w:val="26"/>
        </w:rPr>
        <w:t xml:space="preserve">7. Legacy vs. Updated — Headline Differences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Appendix A of the architecture document contrasts the 2013 legacy engagement with the updated model across scope declaration, admission decisioning, enforcement mechanism, role allocation, and commercial posture. Three differences warrant leadership attention.</w:t>
      </w:r>
    </w:p>
    <w:p>
      <w:pPr>
        <w:spacing w:after="80" w:before="120" w:line="276" w:lineRule="exact"/>
        <w:jc w:val="center"/>
      </w:pPr>
      <w:r>
        <w:rPr>
          <w:rFonts w:ascii="Times New Roman" w:cs="Times New Roman" w:eastAsia="Times New Roman" w:hAnsi="Times New Roman"/>
          <w:b w:val="false"/>
          <w:bCs w:val="false"/>
          <w:i/>
          <w:iCs/>
          <w:caps w:val="false"/>
          <w:sz w:val="20"/>
          <w:szCs w:val="20"/>
        </w:rPr>
        <w:t xml:space="preserve">Table 2. Legacy versus updated — headline differences.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bCs/>
                <w:i w:val="false"/>
                <w:iCs w:val="false"/>
                <w:caps w:val="false"/>
                <w:sz w:val="19"/>
                <w:szCs w:val="19"/>
              </w:rPr>
              <w:t xml:space="preserve">Dimension</w:t>
            </w:r>
          </w:p>
        </w:tc>
        <w:tc>
          <w:tcPr>
            <w:tcW w:type="dxa" w:w="35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bCs/>
                <w:i w:val="false"/>
                <w:iCs w:val="false"/>
                <w:caps w:val="false"/>
                <w:sz w:val="19"/>
                <w:szCs w:val="19"/>
              </w:rPr>
              <w:t xml:space="preserve">Legacy (2013)</w:t>
            </w:r>
          </w:p>
        </w:tc>
        <w:tc>
          <w:tcPr>
            <w:tcW w:type="dxa" w:w="35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bCs/>
                <w:i w:val="false"/>
                <w:iCs w:val="false"/>
                <w:caps w:val="false"/>
                <w:sz w:val="19"/>
                <w:szCs w:val="19"/>
              </w:rPr>
              <w:t xml:space="preserve">Updated (v5.1)</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Switch scope</w:t>
            </w:r>
          </w:p>
        </w:tc>
        <w:tc>
          <w:tcPr>
            <w:tcW w:type="dxa" w:w="35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Auto-discovery across routable reachability</w:t>
            </w:r>
          </w:p>
        </w:tc>
        <w:tc>
          <w:tcPr>
            <w:tcW w:type="dxa" w:w="35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 auto-discovery — switches are explicitly declared</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Enforcement domain</w:t>
            </w:r>
          </w:p>
        </w:tc>
        <w:tc>
          <w:tcPr>
            <w:tcW w:type="dxa" w:w="35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Implicit, defined by what Forescout could reach</w:t>
            </w:r>
          </w:p>
        </w:tc>
        <w:tc>
          <w:tcPr>
            <w:tcW w:type="dxa" w:w="35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Explicitly declared in a signed segment policy</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Tier 2 enforcement</w:t>
            </w:r>
          </w:p>
        </w:tc>
        <w:tc>
          <w:tcPr>
            <w:tcW w:type="dxa" w:w="35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Broker-assisted; SGT/TrustSec + NGFW assumed</w:t>
            </w:r>
          </w:p>
        </w:tc>
        <w:tc>
          <w:tcPr>
            <w:tcW w:type="dxa" w:w="35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L3 dynamic ACL pushed to the access-layer switch</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Remediation</w:t>
            </w:r>
          </w:p>
        </w:tc>
        <w:tc>
          <w:tcPr>
            <w:tcW w:type="dxa" w:w="35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Owned by Forescout policy engine</w:t>
            </w:r>
          </w:p>
        </w:tc>
        <w:tc>
          <w:tcPr>
            <w:tcW w:type="dxa" w:w="35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Owned by Intune, Jamf, CrowdStrike, Qualys, Tanium, SCCM</w:t>
            </w:r>
          </w:p>
        </w:tc>
      </w:tr>
      <w:tr>
        <w:tc>
          <w:tcPr>
            <w:tcW w:type="dxa" w:w="1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IoT/OT readiness</w:t>
            </w:r>
          </w:p>
        </w:tc>
        <w:tc>
          <w:tcPr>
            <w:tcW w:type="dxa" w:w="35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DHCP fingerprint only</w:t>
            </w:r>
          </w:p>
        </w:tc>
        <w:tc>
          <w:tcPr>
            <w:tcW w:type="dxa" w:w="35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Claroty-driven classification before enforcement</w:t>
            </w:r>
          </w:p>
        </w:tc>
      </w:tr>
    </w:tbl>
    <w:p>
      <w:pPr>
        <w:pStyle w:val="Heading1"/>
        <w:spacing w:after="160" w:before="360" w:line="276" w:lineRule="exact"/>
        <w:jc w:val="left"/>
      </w:pPr>
      <w:r>
        <w:rPr>
          <w:rFonts w:ascii="Times New Roman" w:cs="Times New Roman" w:eastAsia="Times New Roman" w:hAnsi="Times New Roman"/>
          <w:b/>
          <w:bCs/>
          <w:i w:val="false"/>
          <w:iCs w:val="false"/>
          <w:caps/>
          <w:sz w:val="26"/>
          <w:szCs w:val="26"/>
        </w:rPr>
        <w:t xml:space="preserve">8. Enterprise Expansion</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On successful completion of the NAC transformation programme, the team will return to leadership with a proposal to expand the programme across the remainder of the CVS Health enterprise. Expansion scope and sequencing will be proposed in a follow-on document; v5.1 establishes the architecture on which that expansion will depend.</w:t>
      </w:r>
    </w:p>
    <w:p>
      <w:pPr>
        <w:pStyle w:val="Heading1"/>
        <w:spacing w:after="160" w:before="360" w:line="276" w:lineRule="exact"/>
        <w:jc w:val="left"/>
      </w:pPr>
      <w:r>
        <w:rPr>
          <w:rFonts w:ascii="Times New Roman" w:cs="Times New Roman" w:eastAsia="Times New Roman" w:hAnsi="Times New Roman"/>
          <w:b/>
          <w:bCs/>
          <w:i w:val="false"/>
          <w:iCs w:val="false"/>
          <w:caps/>
          <w:sz w:val="26"/>
          <w:szCs w:val="26"/>
        </w:rPr>
        <w:t xml:space="preserve">9. Decisions Requested</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Leadership endorsement is requested on the following points, each of which is treated as load-bearing in the full architecture document.</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Endorse the collapsed Forescout role — admission and access-layer enforcement only; remediation remains with the endpoint stack.</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Endorse L3 dynamic ACL as the Tier 2 managed-device enforcement mechanism, replacing the SGT/TrustSec and NGFW dependency assumed in v4.</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Endorse the explicit switch declaration and explicit enforcement domain model — no switch auto-discovery.</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Endorse the decoupling of the IoT/OT track from Phase 1 success criteria, contingent on Claroty xDome deployment.</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Endorse the validation-first POC sequencing model and the enterprise expansion statement as the basis for the follow-on programme proposal.</w:t>
      </w:r>
    </w:p>
    <w:sectPr>
      <w:headerReference w:type="default" r:id="rId7"/>
      <w:pgSz w:w="12240" w:h="15840" w:orient="portrait"/>
      <w:pgMar w:top="1440" w:right="1656" w:bottom="1440" w:left="165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jc w:val="left"/>
    </w:pPr>
    <w:r>
      <w:rPr>
        <w:rFonts w:ascii="Times New Roman" w:cs="Times New Roman" w:eastAsia="Times New Roman" w:hAnsi="Times New Roman"/>
        <w:b w:val="false"/>
        <w:bCs w:val="false"/>
        <w:i/>
        <w:iCs/>
        <w:caps w:val="false"/>
        <w:color w:val="888888"/>
        <w:sz w:val="16"/>
        <w:szCs w:val="16"/>
      </w:rPr>
      <w:t xml:space="preserve">CVS Health ZTNA-NAC Program · Executive Summary · v5.1</w:t>
    </w:r>
    <w:r>
      <w:rPr>
        <w:rFonts w:ascii="Times New Roman" w:cs="Times New Roman" w:eastAsia="Times New Roman" w:hAnsi="Times New Roman"/>
        <w:sz w:val="16"/>
        <w:szCs w:val="16"/>
      </w:rPr>
      <w:t xml:space="preserve">	</w:t>
    </w:r>
    <w:r>
      <w:rPr>
        <w:rFonts w:ascii="Times New Roman" w:cs="Times New Roman" w:eastAsia="Times New Roman" w:hAnsi="Times New Roman"/>
        <w:i/>
        <w:iCs/>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CVS Health ZTNA-NAC Program</dc:title>
  <dc:creator>CVS Health Information Security</dc:creator>
  <cp:lastModifiedBy>Un-named</cp:lastModifiedBy>
  <cp:revision>1</cp:revision>
  <dcterms:created xsi:type="dcterms:W3CDTF">2026-04-23T01:00:33.095Z</dcterms:created>
  <dcterms:modified xsi:type="dcterms:W3CDTF">2026-04-23T01:00:33.096Z</dcterms:modified>
</cp:coreProperties>
</file>

<file path=docProps/custom.xml><?xml version="1.0" encoding="utf-8"?>
<Properties xmlns="http://schemas.openxmlformats.org/officeDocument/2006/custom-properties" xmlns:vt="http://schemas.openxmlformats.org/officeDocument/2006/docPropsVTypes"/>
</file>