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864"/>
          <w:sz w:val="36"/>
        </w:rPr>
        <w:t>ZTNA-NAC Architecture</w:t>
      </w:r>
    </w:p>
    <w:p>
      <w:pPr>
        <w:pStyle w:val="Heading2"/>
      </w:pPr>
      <w:r>
        <w:rPr>
          <w:color w:val="1F3864"/>
          <w:sz w:val="26"/>
        </w:rPr>
        <w:t>Zero Trust Network Access Control — Updated Architecture and Deployment Plan</w:t>
      </w:r>
    </w:p>
    <w:p>
      <w:pPr>
        <w:spacing w:after="120"/>
      </w:pPr>
      <w:r>
        <w:rPr>
          <w:b w:val="0"/>
          <w:i/>
          <w:sz w:val="18"/>
        </w:rPr>
        <w:t>Michael J. Martin, Lead Director, Information Security</w:t>
      </w:r>
    </w:p>
    <w:p>
      <w:pPr>
        <w:spacing w:after="120"/>
      </w:pPr>
      <w:r>
        <w:rPr>
          <w:b w:val="0"/>
          <w:i/>
          <w:sz w:val="18"/>
        </w:rPr>
        <w:t>CVS Health Corporation</w:t>
      </w:r>
    </w:p>
    <w:p>
      <w:pPr>
        <w:spacing w:after="120"/>
      </w:pPr>
      <w:r>
        <w:rPr>
          <w:b w:val="0"/>
          <w:i/>
          <w:sz w:val="18"/>
        </w:rPr>
        <w:t>Version 5.0 | April 2026</w:t>
      </w:r>
    </w:p>
    <w:p>
      <w:pPr>
        <w:spacing w:after="120"/>
      </w:pPr>
      <w:r>
        <w:rPr>
          <w:b/>
          <w:i w:val="0"/>
          <w:sz w:val="18"/>
        </w:rPr>
        <w:t>CONFIDENTIAL / INTERNAL</w:t>
      </w:r>
    </w:p>
    <w:p>
      <w:pPr>
        <w:pBdr>
          <w:bottom w:val="single" w:sz="6" w:space="1" w:color="1F3864"/>
        </w:pBdr>
        <w:spacing w:after="80"/>
      </w:pPr>
    </w:p>
    <w:p>
      <w:pPr>
        <w:pStyle w:val="Heading2"/>
      </w:pPr>
      <w:r>
        <w:rPr>
          <w:color w:val="1F3864"/>
          <w:sz w:val="26"/>
        </w:rPr>
        <w:t>Abstract</w:t>
      </w:r>
    </w:p>
    <w:p>
      <w:pPr>
        <w:spacing w:after="120"/>
      </w:pPr>
      <w:r>
        <w:rPr>
          <w:b w:val="0"/>
          <w:i w:val="0"/>
          <w:sz w:val="20"/>
        </w:rPr>
        <w:t>This document describes the updated Zero Trust Network Access Control (ZTNA-NAC) architecture for CVS Health, superseding Version 4 (April 2026). It captures a fundamental re-architecture of the Forescout CounterACT deployment — originally implemented in 2013 — into a purpose-built constant validation and admission enforcement engine. The updated architecture defines a three-tier enforcement model using RADIUS MAB and L3 dynamic ACLs applied at the switch layer, with a revised non-compliant managed device policy that preserves the management plane without VLAN changes. This document also defines the phased deployment plan, validation-first POC sequencing, implementation workstreams, and the IoT/OT enforcement maturation roadmap.</w:t>
      </w:r>
    </w:p>
    <w:p>
      <w:pPr>
        <w:pBdr>
          <w:bottom w:val="single" w:sz="6" w:space="1" w:color="1F3864"/>
        </w:pBdr>
        <w:spacing w:after="80"/>
      </w:pPr>
    </w:p>
    <w:p>
      <w:pPr>
        <w:pStyle w:val="Heading2"/>
      </w:pPr>
      <w:r>
        <w:rPr>
          <w:color w:val="1F3864"/>
          <w:sz w:val="26"/>
        </w:rPr>
        <w:t>1. Background and Re-Architecture Rationale</w:t>
      </w:r>
    </w:p>
    <w:p>
      <w:pPr>
        <w:spacing w:after="120"/>
      </w:pPr>
      <w:r>
        <w:rPr>
          <w:b w:val="0"/>
          <w:i w:val="0"/>
          <w:sz w:val="20"/>
        </w:rPr>
        <w:t>The CVS Health Forescout CounterACT platform was initially deployed in 2013. The original architecture positioned Forescout as a multi-function admission, validation, and remediation platform. At the time, Forescout performed periodic host-based posture checking using its baseline host check policy — engineered to validate system health and endpoint client policy compliance — because CVS Health did not yet have a modern endpoint management and security stack. Admission was enforced via dynamic MAC filters tied to Active Directory group membership, confirming identity on a schedule rather than validating security posture state in real time. The only enforcement option for non-compliant devices was a remediation VLAN, which would have severed the CVS management plane entirely.</w:t>
      </w:r>
    </w:p>
    <w:p>
      <w:pPr>
        <w:spacing w:after="120"/>
      </w:pPr>
      <w:r>
        <w:rPr>
          <w:b w:val="0"/>
          <w:i w:val="0"/>
          <w:sz w:val="20"/>
        </w:rPr>
        <w:t>Since 2013, CVS Health has deployed a mature endpoint management and security toolchain — Microsoft Intune, Jamf, CrowdStrike Falcon, Qualys, Tanium, and SCCM — that collectively owns the remediation and compliance enforcement function. Continuing to assign posture assessment and remediation responsibility to Forescout creates architectural overlap, operational complexity, and policy fragmentation across tools that are purpose-built for those functions.</w:t>
      </w:r>
    </w:p>
    <w:p>
      <w:pPr>
        <w:spacing w:after="120"/>
      </w:pPr>
      <w:r>
        <w:rPr>
          <w:b w:val="0"/>
          <w:i w:val="0"/>
          <w:sz w:val="20"/>
        </w:rPr>
        <w:t>This re-architecture collapses the Forescout operational model to two functions: admission enforcement and continuous validation. Posture assessment and remediation responsibility transfer entirely to the existing endpoint management stack. Forescout becomes the enforcement gate, not the assessment engine. This produces a cleaner separation of function, reduces policy complexity, and enables the platform to operate at the scale required to support constant validation across the full CVS Health corporate and specialty site portfolio.</w:t>
      </w:r>
    </w:p>
    <w:p>
      <w:pPr>
        <w:pStyle w:val="Heading3"/>
      </w:pPr>
      <w:r>
        <w:rPr>
          <w:color w:val="1F3864"/>
          <w:sz w:val="22"/>
        </w:rPr>
        <w:t>1.1 Original vs. Updated Operating Model</w:t>
      </w:r>
    </w:p>
    <w:p>
      <w:pPr>
        <w:spacing w:after="120"/>
      </w:pPr>
      <w:r>
        <w:rPr>
          <w:b w:val="0"/>
          <w:i/>
          <w:sz w:val="18"/>
        </w:rPr>
        <w:t>Table 1. Forescout Operating Model — 2013 vs. 2026</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
              <w:rPr>
                <w:b/>
                <w:color w:val="FFFFFF"/>
                <w:sz w:val="18"/>
              </w:rPr>
              <w:t>Function</w:t>
            </w:r>
          </w:p>
        </w:tc>
        <w:tc>
          <w:tcPr>
            <w:tcW w:type="dxa" w:w="2880"/>
            <w:shd w:val="clear" w:color="auto" w:fill="1F3864"/>
          </w:tcPr>
          <w:p>
            <w:pPr>
              <w:jc w:val="center"/>
            </w:pPr>
            <w:r/>
            <w:r>
              <w:rPr>
                <w:b/>
                <w:color w:val="FFFFFF"/>
                <w:sz w:val="18"/>
              </w:rPr>
              <w:t>2013 Model</w:t>
            </w:r>
          </w:p>
        </w:tc>
        <w:tc>
          <w:tcPr>
            <w:tcW w:type="dxa" w:w="2880"/>
            <w:shd w:val="clear" w:color="auto" w:fill="1F3864"/>
          </w:tcPr>
          <w:p>
            <w:pPr>
              <w:jc w:val="center"/>
            </w:pPr>
            <w:r/>
            <w:r>
              <w:rPr>
                <w:b/>
                <w:color w:val="FFFFFF"/>
                <w:sz w:val="18"/>
              </w:rPr>
              <w:t>2026 Model</w:t>
            </w:r>
          </w:p>
        </w:tc>
      </w:tr>
      <w:tr>
        <w:tc>
          <w:tcPr>
            <w:tcW w:type="dxa" w:w="2880"/>
          </w:tcPr>
          <w:p>
            <w:r/>
            <w:r>
              <w:rPr>
                <w:b w:val="0"/>
                <w:sz w:val="18"/>
              </w:rPr>
              <w:t>Admission enforcement</w:t>
            </w:r>
          </w:p>
        </w:tc>
        <w:tc>
          <w:tcPr>
            <w:tcW w:type="dxa" w:w="2880"/>
          </w:tcPr>
          <w:p>
            <w:r/>
            <w:r>
              <w:rPr>
                <w:b w:val="0"/>
                <w:sz w:val="18"/>
              </w:rPr>
              <w:t>Dynamic MAC filter — AD group membership; periodic, scheduled validation</w:t>
            </w:r>
          </w:p>
        </w:tc>
        <w:tc>
          <w:tcPr>
            <w:tcW w:type="dxa" w:w="2880"/>
          </w:tcPr>
          <w:p>
            <w:r/>
            <w:r>
              <w:rPr>
                <w:b w:val="0"/>
                <w:sz w:val="18"/>
              </w:rPr>
              <w:t>RADIUS MAB — continuous real-time admission and posture enforcement</w:t>
            </w:r>
          </w:p>
        </w:tc>
      </w:tr>
      <w:tr>
        <w:tc>
          <w:tcPr>
            <w:tcW w:type="dxa" w:w="2880"/>
            <w:shd w:val="clear" w:color="auto" w:fill="DCE6F1"/>
          </w:tcPr>
          <w:p>
            <w:r/>
            <w:r>
              <w:rPr>
                <w:b w:val="0"/>
                <w:sz w:val="18"/>
              </w:rPr>
              <w:t>Posture validation</w:t>
            </w:r>
          </w:p>
        </w:tc>
        <w:tc>
          <w:tcPr>
            <w:tcW w:type="dxa" w:w="2880"/>
            <w:shd w:val="clear" w:color="auto" w:fill="DCE6F1"/>
          </w:tcPr>
          <w:p>
            <w:r/>
            <w:r>
              <w:rPr>
                <w:b w:val="0"/>
                <w:sz w:val="18"/>
              </w:rPr>
              <w:t>Forescout baseline host check policy — native host checks, periodic</w:t>
            </w:r>
          </w:p>
        </w:tc>
        <w:tc>
          <w:tcPr>
            <w:tcW w:type="dxa" w:w="2880"/>
            <w:shd w:val="clear" w:color="auto" w:fill="DCE6F1"/>
          </w:tcPr>
          <w:p>
            <w:r/>
            <w:r>
              <w:rPr>
                <w:b w:val="0"/>
                <w:sz w:val="18"/>
              </w:rPr>
              <w:t>Continuous — real-time API query against endpoint security stack (Intune, CrowdStrike, Qualys, Jamf, Tanium, SCCM)</w:t>
            </w:r>
          </w:p>
        </w:tc>
      </w:tr>
      <w:tr>
        <w:tc>
          <w:tcPr>
            <w:tcW w:type="dxa" w:w="2880"/>
          </w:tcPr>
          <w:p>
            <w:r/>
            <w:r>
              <w:rPr>
                <w:b w:val="0"/>
                <w:sz w:val="18"/>
              </w:rPr>
              <w:t>Posture assessment engine</w:t>
            </w:r>
          </w:p>
        </w:tc>
        <w:tc>
          <w:tcPr>
            <w:tcW w:type="dxa" w:w="2880"/>
          </w:tcPr>
          <w:p>
            <w:r/>
            <w:r>
              <w:rPr>
                <w:b w:val="0"/>
                <w:sz w:val="18"/>
              </w:rPr>
              <w:t>Forescout native host checks</w:t>
            </w:r>
          </w:p>
        </w:tc>
        <w:tc>
          <w:tcPr>
            <w:tcW w:type="dxa" w:w="2880"/>
          </w:tcPr>
          <w:p>
            <w:r/>
            <w:r>
              <w:rPr>
                <w:b w:val="0"/>
                <w:sz w:val="18"/>
              </w:rPr>
              <w:t>Intune, CrowdStrike, Qualys, Jamf, Tanium, SCCM — Forescout reads and enforces</w:t>
            </w:r>
          </w:p>
        </w:tc>
      </w:tr>
      <w:tr>
        <w:tc>
          <w:tcPr>
            <w:tcW w:type="dxa" w:w="2880"/>
            <w:shd w:val="clear" w:color="auto" w:fill="DCE6F1"/>
          </w:tcPr>
          <w:p>
            <w:r/>
            <w:r>
              <w:rPr>
                <w:b w:val="0"/>
                <w:sz w:val="18"/>
              </w:rPr>
              <w:t>Mid-session enforcement</w:t>
            </w:r>
          </w:p>
        </w:tc>
        <w:tc>
          <w:tcPr>
            <w:tcW w:type="dxa" w:w="2880"/>
            <w:shd w:val="clear" w:color="auto" w:fill="DCE6F1"/>
          </w:tcPr>
          <w:p>
            <w:r/>
            <w:r>
              <w:rPr>
                <w:b w:val="0"/>
                <w:sz w:val="18"/>
              </w:rPr>
              <w:t>No — next validation cycle only</w:t>
            </w:r>
          </w:p>
        </w:tc>
        <w:tc>
          <w:tcPr>
            <w:tcW w:type="dxa" w:w="2880"/>
            <w:shd w:val="clear" w:color="auto" w:fill="DCE6F1"/>
          </w:tcPr>
          <w:p>
            <w:r/>
            <w:r>
              <w:rPr>
                <w:b w:val="0"/>
                <w:sz w:val="18"/>
              </w:rPr>
              <w:t>Yes — L3 ACL updated on switch within P95 15 seconds via CoA</w:t>
            </w:r>
          </w:p>
        </w:tc>
      </w:tr>
      <w:tr>
        <w:tc>
          <w:tcPr>
            <w:tcW w:type="dxa" w:w="2880"/>
          </w:tcPr>
          <w:p>
            <w:r/>
            <w:r>
              <w:rPr>
                <w:b w:val="0"/>
                <w:sz w:val="18"/>
              </w:rPr>
              <w:t>Remediation</w:t>
            </w:r>
          </w:p>
        </w:tc>
        <w:tc>
          <w:tcPr>
            <w:tcW w:type="dxa" w:w="2880"/>
          </w:tcPr>
          <w:p>
            <w:r/>
            <w:r>
              <w:rPr>
                <w:b w:val="0"/>
                <w:sz w:val="18"/>
              </w:rPr>
              <w:t>Forescout remediation workflows</w:t>
            </w:r>
          </w:p>
        </w:tc>
        <w:tc>
          <w:tcPr>
            <w:tcW w:type="dxa" w:w="2880"/>
          </w:tcPr>
          <w:p>
            <w:r/>
            <w:r>
              <w:rPr>
                <w:b w:val="0"/>
                <w:sz w:val="18"/>
              </w:rPr>
              <w:t>Intune / Jamf / CrowdStrike / SCCM — Forescout has no remediation role</w:t>
            </w:r>
          </w:p>
        </w:tc>
      </w:tr>
      <w:tr>
        <w:tc>
          <w:tcPr>
            <w:tcW w:type="dxa" w:w="2880"/>
            <w:shd w:val="clear" w:color="auto" w:fill="DCE6F1"/>
          </w:tcPr>
          <w:p>
            <w:r/>
            <w:r>
              <w:rPr>
                <w:b w:val="0"/>
                <w:sz w:val="18"/>
              </w:rPr>
              <w:t>Non-compliant state</w:t>
            </w:r>
          </w:p>
        </w:tc>
        <w:tc>
          <w:tcPr>
            <w:tcW w:type="dxa" w:w="2880"/>
            <w:shd w:val="clear" w:color="auto" w:fill="DCE6F1"/>
          </w:tcPr>
          <w:p>
            <w:r/>
            <w:r>
              <w:rPr>
                <w:b w:val="0"/>
                <w:sz w:val="18"/>
              </w:rPr>
              <w:t>Remediation VLAN — severed management plane</w:t>
            </w:r>
          </w:p>
        </w:tc>
        <w:tc>
          <w:tcPr>
            <w:tcW w:type="dxa" w:w="2880"/>
            <w:shd w:val="clear" w:color="auto" w:fill="DCE6F1"/>
          </w:tcPr>
          <w:p>
            <w:r/>
            <w:r>
              <w:rPr>
                <w:b w:val="0"/>
                <w:sz w:val="18"/>
              </w:rPr>
              <w:t>Tier 2 — L3 dynamic ACL on static VLAN; management plane preserved; no VLAN change</w:t>
            </w:r>
          </w:p>
        </w:tc>
      </w:tr>
      <w:tr>
        <w:tc>
          <w:tcPr>
            <w:tcW w:type="dxa" w:w="2880"/>
          </w:tcPr>
          <w:p>
            <w:r/>
            <w:r>
              <w:rPr>
                <w:b w:val="0"/>
                <w:sz w:val="18"/>
              </w:rPr>
              <w:t>IoT/OT discovery</w:t>
            </w:r>
          </w:p>
        </w:tc>
        <w:tc>
          <w:tcPr>
            <w:tcW w:type="dxa" w:w="2880"/>
          </w:tcPr>
          <w:p>
            <w:r/>
            <w:r>
              <w:rPr>
                <w:b w:val="0"/>
                <w:sz w:val="18"/>
              </w:rPr>
              <w:t>Limited — DHCP, SNMP, SPAN-dependent</w:t>
            </w:r>
          </w:p>
        </w:tc>
        <w:tc>
          <w:tcPr>
            <w:tcW w:type="dxa" w:w="2880"/>
          </w:tcPr>
          <w:p>
            <w:r/>
            <w:r>
              <w:rPr>
                <w:b w:val="0"/>
                <w:sz w:val="18"/>
              </w:rPr>
              <w:t>Claroty xDome (Claroty Edge, no SPAN required)</w:t>
            </w:r>
          </w:p>
        </w:tc>
      </w:tr>
      <w:tr>
        <w:tc>
          <w:tcPr>
            <w:tcW w:type="dxa" w:w="2880"/>
            <w:shd w:val="clear" w:color="auto" w:fill="DCE6F1"/>
          </w:tcPr>
          <w:p>
            <w:r/>
            <w:r>
              <w:rPr>
                <w:b w:val="0"/>
                <w:sz w:val="18"/>
              </w:rPr>
              <w:t>IoT/OT enforcement</w:t>
            </w:r>
          </w:p>
        </w:tc>
        <w:tc>
          <w:tcPr>
            <w:tcW w:type="dxa" w:w="2880"/>
            <w:shd w:val="clear" w:color="auto" w:fill="DCE6F1"/>
          </w:tcPr>
          <w:p>
            <w:r/>
            <w:r>
              <w:rPr>
                <w:b w:val="0"/>
                <w:sz w:val="18"/>
              </w:rPr>
              <w:t>Not implemented</w:t>
            </w:r>
          </w:p>
        </w:tc>
        <w:tc>
          <w:tcPr>
            <w:tcW w:type="dxa" w:w="2880"/>
            <w:shd w:val="clear" w:color="auto" w:fill="DCE6F1"/>
          </w:tcPr>
          <w:p>
            <w:r/>
            <w:r>
              <w:rPr>
                <w:b w:val="0"/>
                <w:sz w:val="18"/>
              </w:rPr>
              <w:t>Phased — post-Claroty inventory (see Section 5)</w:t>
            </w:r>
          </w:p>
        </w:tc>
      </w:tr>
    </w:tbl>
    <w:p/>
    <w:p>
      <w:pPr>
        <w:pBdr>
          <w:bottom w:val="single" w:sz="6" w:space="1" w:color="1F3864"/>
        </w:pBdr>
        <w:spacing w:after="80"/>
      </w:pPr>
    </w:p>
    <w:p>
      <w:pPr>
        <w:pStyle w:val="Heading2"/>
      </w:pPr>
      <w:r>
        <w:rPr>
          <w:color w:val="1F3864"/>
          <w:sz w:val="26"/>
        </w:rPr>
        <w:t>2. Updated Control Plane Architecture</w:t>
      </w:r>
    </w:p>
    <w:p>
      <w:pPr>
        <w:spacing w:after="120"/>
      </w:pPr>
      <w:r>
        <w:rPr>
          <w:b w:val="0"/>
          <w:i w:val="0"/>
          <w:sz w:val="20"/>
        </w:rPr>
        <w:t>The enforcement architecture comprises three integrated layers with clean separation of function. No two layers share primary responsibility for the same function.</w:t>
      </w:r>
    </w:p>
    <w:p>
      <w:pPr>
        <w:pStyle w:val="Heading3"/>
      </w:pPr>
      <w:r>
        <w:rPr>
          <w:color w:val="1F3864"/>
          <w:sz w:val="22"/>
        </w:rPr>
        <w:t>2.1 Claroty xDome — Discovery and Classification Layer</w:t>
      </w:r>
    </w:p>
    <w:p>
      <w:pPr>
        <w:spacing w:after="120"/>
      </w:pPr>
      <w:r>
        <w:rPr>
          <w:b w:val="0"/>
          <w:i w:val="0"/>
          <w:sz w:val="20"/>
        </w:rPr>
        <w:t>Claroty xDome is the IoT/OT asset discovery and classification platform. Claroty Edge — a lightweight software component — deploys on any existing Windows host at each site. No SPAN port, TAP device, or network hardware provisioning is required. Claroty Edge produces a full IoT/OT/IT-IoT asset inventory within 24–48 hours of deployment, including device type, manufacturer, firmware version, communication baseline, and risk score.</w:t>
      </w:r>
    </w:p>
    <w:p>
      <w:pPr>
        <w:spacing w:after="120"/>
      </w:pPr>
      <w:r>
        <w:rPr>
          <w:b w:val="0"/>
          <w:i w:val="0"/>
          <w:sz w:val="20"/>
        </w:rPr>
        <w:t>Claroty supports five discovery methods, only one of which requires a SPAN port. In the CVS Health deployment, Claroty Edge is the primary method at all sites. Safe Queries (OT-safe active probes for firmware and serial enrichment) and Project File Analysis (PLC/HMI engineering file parsing) are used as supplementary enrichment methods. Claroty device classifications and risk signals feed into Forescout CounterACT via API, providing the device inventory that drives IoT/OT MAB policy decisions.</w:t>
      </w:r>
    </w:p>
    <w:p>
      <w:pPr>
        <w:pStyle w:val="Heading3"/>
      </w:pPr>
      <w:r>
        <w:rPr>
          <w:color w:val="1F3864"/>
          <w:sz w:val="22"/>
        </w:rPr>
        <w:t>2.2 Forescout CounterACT — NAC Enforcement Layer</w:t>
      </w:r>
    </w:p>
    <w:p>
      <w:pPr>
        <w:spacing w:after="120"/>
      </w:pPr>
      <w:r>
        <w:rPr>
          <w:b w:val="0"/>
          <w:i w:val="0"/>
          <w:sz w:val="20"/>
        </w:rPr>
        <w:t>Forescout CounterACT is the NAC enforcement and continuous validation engine. In the updated architecture, Forescout performs two functions only: admission enforcement via RADIUS MAB, and continuous posture validation via API integration with the endpoint management stack. Forescout does not perform its own active OT scanning and has no remediation role. All IoT/OT device profiling is sourced from Claroty. For managed endpoints, posture data is sourced from Intune, Jamf, CrowdStrike, Qualys, Tanium, and SCCM via their respective APIs.</w:t>
      </w:r>
    </w:p>
    <w:p>
      <w:pPr>
        <w:spacing w:after="120"/>
      </w:pPr>
      <w:r>
        <w:rPr>
          <w:b w:val="0"/>
          <w:i w:val="0"/>
          <w:sz w:val="20"/>
        </w:rPr>
        <w:t xml:space="preserve">Tier 2 enforcement for non-compliant managed devices is implemented as an </w:t>
      </w:r>
      <w:r>
        <w:rPr>
          <w:b/>
          <w:i w:val="0"/>
          <w:sz w:val="20"/>
        </w:rPr>
        <w:t>L3 dynamic ACL pushed directly to the access layer switch</w:t>
      </w:r>
      <w:r>
        <w:rPr>
          <w:b w:val="0"/>
          <w:i w:val="0"/>
          <w:sz w:val="20"/>
        </w:rPr>
        <w:t xml:space="preserve"> via CoA. This ACL permits only the management plane destinations required for automated remediation and blocks all other CVS internal resources. The device remains on its static VLAN — no VLAN change occurs. This is the critical design decision that preserves the management plane and enables automated remediation without a help desk call.</w:t>
      </w:r>
    </w:p>
    <w:p>
      <w:pPr>
        <w:pStyle w:val="Heading3"/>
      </w:pPr>
      <w:r>
        <w:rPr>
          <w:color w:val="1F3864"/>
          <w:sz w:val="22"/>
        </w:rPr>
        <w:t>2.3 Control Plane Tool Function Summary</w:t>
      </w:r>
    </w:p>
    <w:p>
      <w:pPr>
        <w:spacing w:after="120"/>
      </w:pPr>
      <w:r>
        <w:rPr>
          <w:b w:val="0"/>
          <w:i/>
          <w:sz w:val="18"/>
        </w:rPr>
        <w:t>Table 2. Control Plane — Tool Function Summary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
              <w:rPr>
                <w:b/>
                <w:color w:val="FFFFFF"/>
                <w:sz w:val="18"/>
              </w:rPr>
              <w:t>Tool</w:t>
            </w:r>
          </w:p>
        </w:tc>
        <w:tc>
          <w:tcPr>
            <w:tcW w:type="dxa" w:w="2880"/>
            <w:shd w:val="clear" w:color="auto" w:fill="1F3864"/>
          </w:tcPr>
          <w:p>
            <w:pPr>
              <w:jc w:val="center"/>
            </w:pPr>
            <w:r/>
            <w:r>
              <w:rPr>
                <w:b/>
                <w:color w:val="FFFFFF"/>
                <w:sz w:val="18"/>
              </w:rPr>
              <w:t>Function</w:t>
            </w:r>
          </w:p>
        </w:tc>
        <w:tc>
          <w:tcPr>
            <w:tcW w:type="dxa" w:w="2880"/>
            <w:shd w:val="clear" w:color="auto" w:fill="1F3864"/>
          </w:tcPr>
          <w:p>
            <w:pPr>
              <w:jc w:val="center"/>
            </w:pPr>
            <w:r/>
            <w:r>
              <w:rPr>
                <w:b/>
                <w:color w:val="FFFFFF"/>
                <w:sz w:val="18"/>
              </w:rPr>
              <w:t>Does Not Do</w:t>
            </w:r>
          </w:p>
        </w:tc>
      </w:tr>
      <w:tr>
        <w:tc>
          <w:tcPr>
            <w:tcW w:type="dxa" w:w="2880"/>
          </w:tcPr>
          <w:p>
            <w:r/>
            <w:r>
              <w:rPr>
                <w:b w:val="0"/>
                <w:sz w:val="18"/>
              </w:rPr>
              <w:t>Claroty xDome</w:t>
            </w:r>
          </w:p>
        </w:tc>
        <w:tc>
          <w:tcPr>
            <w:tcW w:type="dxa" w:w="2880"/>
          </w:tcPr>
          <w:p>
            <w:r/>
            <w:r>
              <w:rPr>
                <w:b w:val="0"/>
                <w:sz w:val="18"/>
              </w:rPr>
              <w:t>IoT/OT discovery, classification, behavioral baselining, risk scoring</w:t>
            </w:r>
          </w:p>
        </w:tc>
        <w:tc>
          <w:tcPr>
            <w:tcW w:type="dxa" w:w="2880"/>
          </w:tcPr>
          <w:p>
            <w:r/>
            <w:r>
              <w:rPr>
                <w:b w:val="0"/>
                <w:sz w:val="18"/>
              </w:rPr>
              <w:t>Enforcement, admission decisions</w:t>
            </w:r>
          </w:p>
        </w:tc>
      </w:tr>
      <w:tr>
        <w:tc>
          <w:tcPr>
            <w:tcW w:type="dxa" w:w="2880"/>
            <w:shd w:val="clear" w:color="auto" w:fill="DCE6F1"/>
          </w:tcPr>
          <w:p>
            <w:r/>
            <w:r>
              <w:rPr>
                <w:b w:val="0"/>
                <w:sz w:val="18"/>
              </w:rPr>
              <w:t>Forescout CounterACT</w:t>
            </w:r>
          </w:p>
        </w:tc>
        <w:tc>
          <w:tcPr>
            <w:tcW w:type="dxa" w:w="2880"/>
            <w:shd w:val="clear" w:color="auto" w:fill="DCE6F1"/>
          </w:tcPr>
          <w:p>
            <w:r/>
            <w:r>
              <w:rPr>
                <w:b w:val="0"/>
                <w:sz w:val="18"/>
              </w:rPr>
              <w:t>RADIUS MAB admission, continuous posture validation, L3 ACL push to switch, CoA</w:t>
            </w:r>
          </w:p>
        </w:tc>
        <w:tc>
          <w:tcPr>
            <w:tcW w:type="dxa" w:w="2880"/>
            <w:shd w:val="clear" w:color="auto" w:fill="DCE6F1"/>
          </w:tcPr>
          <w:p>
            <w:r/>
            <w:r>
              <w:rPr>
                <w:b w:val="0"/>
                <w:sz w:val="18"/>
              </w:rPr>
              <w:t>Remediation, OT active scanning, VLAN assignment</w:t>
            </w:r>
          </w:p>
        </w:tc>
      </w:tr>
      <w:tr>
        <w:tc>
          <w:tcPr>
            <w:tcW w:type="dxa" w:w="2880"/>
          </w:tcPr>
          <w:p>
            <w:r/>
            <w:r>
              <w:rPr>
                <w:b w:val="0"/>
                <w:sz w:val="18"/>
              </w:rPr>
              <w:t>Intune / Jamf / SCCM</w:t>
            </w:r>
          </w:p>
        </w:tc>
        <w:tc>
          <w:tcPr>
            <w:tcW w:type="dxa" w:w="2880"/>
          </w:tcPr>
          <w:p>
            <w:r/>
            <w:r>
              <w:rPr>
                <w:b w:val="0"/>
                <w:sz w:val="18"/>
              </w:rPr>
              <w:t>MDM enrollment, compliance enforcement, patch management</w:t>
            </w:r>
          </w:p>
        </w:tc>
        <w:tc>
          <w:tcPr>
            <w:tcW w:type="dxa" w:w="2880"/>
          </w:tcPr>
          <w:p>
            <w:r/>
            <w:r>
              <w:rPr>
                <w:b w:val="0"/>
                <w:sz w:val="18"/>
              </w:rPr>
              <w:t>Network admission, traffic enforcement</w:t>
            </w:r>
          </w:p>
        </w:tc>
      </w:tr>
      <w:tr>
        <w:tc>
          <w:tcPr>
            <w:tcW w:type="dxa" w:w="2880"/>
            <w:shd w:val="clear" w:color="auto" w:fill="DCE6F1"/>
          </w:tcPr>
          <w:p>
            <w:r/>
            <w:r>
              <w:rPr>
                <w:b w:val="0"/>
                <w:sz w:val="18"/>
              </w:rPr>
              <w:t>CrowdStrike</w:t>
            </w:r>
          </w:p>
        </w:tc>
        <w:tc>
          <w:tcPr>
            <w:tcW w:type="dxa" w:w="2880"/>
            <w:shd w:val="clear" w:color="auto" w:fill="DCE6F1"/>
          </w:tcPr>
          <w:p>
            <w:r/>
            <w:r>
              <w:rPr>
                <w:b w:val="0"/>
                <w:sz w:val="18"/>
              </w:rPr>
              <w:t>EDR, threat telemetry, sensor health (posture input to Forescout)</w:t>
            </w:r>
          </w:p>
        </w:tc>
        <w:tc>
          <w:tcPr>
            <w:tcW w:type="dxa" w:w="2880"/>
            <w:shd w:val="clear" w:color="auto" w:fill="DCE6F1"/>
          </w:tcPr>
          <w:p>
            <w:r/>
            <w:r>
              <w:rPr>
                <w:b w:val="0"/>
                <w:sz w:val="18"/>
              </w:rPr>
              <w:t>Network admission</w:t>
            </w:r>
          </w:p>
        </w:tc>
      </w:tr>
      <w:tr>
        <w:tc>
          <w:tcPr>
            <w:tcW w:type="dxa" w:w="2880"/>
          </w:tcPr>
          <w:p>
            <w:r/>
            <w:r>
              <w:rPr>
                <w:b w:val="0"/>
                <w:sz w:val="18"/>
              </w:rPr>
              <w:t>Qualys / Tanium</w:t>
            </w:r>
          </w:p>
        </w:tc>
        <w:tc>
          <w:tcPr>
            <w:tcW w:type="dxa" w:w="2880"/>
          </w:tcPr>
          <w:p>
            <w:r/>
            <w:r>
              <w:rPr>
                <w:b w:val="0"/>
                <w:sz w:val="18"/>
              </w:rPr>
              <w:t>Vulnerability posture, agent presence (posture input to Forescout)</w:t>
            </w:r>
          </w:p>
        </w:tc>
        <w:tc>
          <w:tcPr>
            <w:tcW w:type="dxa" w:w="2880"/>
          </w:tcPr>
          <w:p>
            <w:r/>
            <w:r>
              <w:rPr>
                <w:b w:val="0"/>
                <w:sz w:val="18"/>
              </w:rPr>
              <w:t>Network admission</w:t>
            </w:r>
          </w:p>
        </w:tc>
      </w:tr>
    </w:tbl>
    <w:p/>
    <w:p>
      <w:pPr>
        <w:pBdr>
          <w:bottom w:val="single" w:sz="6" w:space="1" w:color="1F3864"/>
        </w:pBdr>
        <w:spacing w:after="80"/>
      </w:pPr>
    </w:p>
    <w:p>
      <w:pPr>
        <w:pStyle w:val="Heading2"/>
      </w:pPr>
      <w:r>
        <w:rPr>
          <w:color w:val="1F3864"/>
          <w:sz w:val="26"/>
        </w:rPr>
        <w:t>3. Enforcement Model</w:t>
      </w:r>
    </w:p>
    <w:p>
      <w:pPr>
        <w:pStyle w:val="Heading3"/>
      </w:pPr>
      <w:r>
        <w:rPr>
          <w:color w:val="1F3864"/>
          <w:sz w:val="22"/>
        </w:rPr>
        <w:t>3.1 Admission Decision Logic</w:t>
      </w:r>
    </w:p>
    <w:p>
      <w:pPr>
        <w:spacing w:after="120"/>
      </w:pPr>
      <w:r>
        <w:rPr>
          <w:b w:val="0"/>
          <w:i w:val="0"/>
          <w:sz w:val="20"/>
        </w:rPr>
        <w:t>Every device connecting to a CVS Health wired network port is subject to the following admission decision tree. The decision is made by Forescout via RADIUS MAB at connection time and is continuously re-evaluated post-admission.</w:t>
      </w:r>
    </w:p>
    <w:p>
      <w:pPr>
        <w:spacing w:after="120"/>
      </w:pPr>
      <w:r>
        <w:rPr>
          <w:b w:val="0"/>
          <w:i/>
          <w:sz w:val="18"/>
        </w:rPr>
        <w:t>Table 3. Admission Outcomes by Device Type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
              <w:rPr>
                <w:b/>
                <w:color w:val="FFFFFF"/>
                <w:sz w:val="18"/>
              </w:rPr>
              <w:t>Device Category</w:t>
            </w:r>
          </w:p>
        </w:tc>
        <w:tc>
          <w:tcPr>
            <w:tcW w:type="dxa" w:w="2160"/>
            <w:shd w:val="clear" w:color="auto" w:fill="1F3864"/>
          </w:tcPr>
          <w:p>
            <w:pPr>
              <w:jc w:val="center"/>
            </w:pPr>
            <w:r/>
            <w:r>
              <w:rPr>
                <w:b/>
                <w:color w:val="FFFFFF"/>
                <w:sz w:val="18"/>
              </w:rPr>
              <w:t>Detection Method</w:t>
            </w:r>
          </w:p>
        </w:tc>
        <w:tc>
          <w:tcPr>
            <w:tcW w:type="dxa" w:w="2160"/>
            <w:shd w:val="clear" w:color="auto" w:fill="1F3864"/>
          </w:tcPr>
          <w:p>
            <w:pPr>
              <w:jc w:val="center"/>
            </w:pPr>
            <w:r/>
            <w:r>
              <w:rPr>
                <w:b/>
                <w:color w:val="FFFFFF"/>
                <w:sz w:val="18"/>
              </w:rPr>
              <w:t>Admission Outcome</w:t>
            </w:r>
          </w:p>
        </w:tc>
        <w:tc>
          <w:tcPr>
            <w:tcW w:type="dxa" w:w="2160"/>
            <w:shd w:val="clear" w:color="auto" w:fill="1F3864"/>
          </w:tcPr>
          <w:p>
            <w:pPr>
              <w:jc w:val="center"/>
            </w:pPr>
            <w:r/>
            <w:r>
              <w:rPr>
                <w:b/>
                <w:color w:val="FFFFFF"/>
                <w:sz w:val="18"/>
              </w:rPr>
              <w:t>Enforcement Mechanism</w:t>
            </w:r>
          </w:p>
        </w:tc>
      </w:tr>
      <w:tr>
        <w:tc>
          <w:tcPr>
            <w:tcW w:type="dxa" w:w="2160"/>
          </w:tcPr>
          <w:p>
            <w:r/>
            <w:r>
              <w:rPr>
                <w:b w:val="0"/>
                <w:sz w:val="18"/>
              </w:rPr>
              <w:t>Unmanaged Windows or Mac</w:t>
            </w:r>
          </w:p>
        </w:tc>
        <w:tc>
          <w:tcPr>
            <w:tcW w:type="dxa" w:w="2160"/>
          </w:tcPr>
          <w:p>
            <w:r/>
            <w:r>
              <w:rPr>
                <w:b w:val="0"/>
                <w:sz w:val="18"/>
              </w:rPr>
              <w:t>No Forescout agent; not in Intune</w:t>
            </w:r>
          </w:p>
        </w:tc>
        <w:tc>
          <w:tcPr>
            <w:tcW w:type="dxa" w:w="2160"/>
          </w:tcPr>
          <w:p>
            <w:r/>
            <w:r>
              <w:rPr>
                <w:b w:val="0"/>
                <w:sz w:val="18"/>
              </w:rPr>
              <w:t>HARD BLOCK — no access</w:t>
            </w:r>
          </w:p>
        </w:tc>
        <w:tc>
          <w:tcPr>
            <w:tcW w:type="dxa" w:w="2160"/>
          </w:tcPr>
          <w:p>
            <w:r/>
            <w:r>
              <w:rPr>
                <w:b w:val="0"/>
                <w:sz w:val="18"/>
              </w:rPr>
              <w:t>RADIUS MAB deny + ACL deny</w:t>
            </w:r>
          </w:p>
        </w:tc>
      </w:tr>
      <w:tr>
        <w:tc>
          <w:tcPr>
            <w:tcW w:type="dxa" w:w="2160"/>
            <w:shd w:val="clear" w:color="auto" w:fill="DCE6F1"/>
          </w:tcPr>
          <w:p>
            <w:r/>
            <w:r>
              <w:rPr>
                <w:b w:val="0"/>
                <w:sz w:val="18"/>
              </w:rPr>
              <w:t>IoT / OT Device</w:t>
            </w:r>
          </w:p>
        </w:tc>
        <w:tc>
          <w:tcPr>
            <w:tcW w:type="dxa" w:w="2160"/>
            <w:shd w:val="clear" w:color="auto" w:fill="DCE6F1"/>
          </w:tcPr>
          <w:p>
            <w:r/>
            <w:r>
              <w:rPr>
                <w:b w:val="0"/>
                <w:sz w:val="18"/>
              </w:rPr>
              <w:t>No agent; IoT fingerprint via Claroty / DHCP</w:t>
            </w:r>
          </w:p>
        </w:tc>
        <w:tc>
          <w:tcPr>
            <w:tcW w:type="dxa" w:w="2160"/>
            <w:shd w:val="clear" w:color="auto" w:fill="DCE6F1"/>
          </w:tcPr>
          <w:p>
            <w:r/>
            <w:r>
              <w:rPr>
                <w:b w:val="0"/>
                <w:sz w:val="18"/>
              </w:rPr>
              <w:t>ADMITTED — bounded L3 ACL per device class</w:t>
            </w:r>
          </w:p>
        </w:tc>
        <w:tc>
          <w:tcPr>
            <w:tcW w:type="dxa" w:w="2160"/>
            <w:shd w:val="clear" w:color="auto" w:fill="DCE6F1"/>
          </w:tcPr>
          <w:p>
            <w:r/>
            <w:r>
              <w:rPr>
                <w:b w:val="0"/>
                <w:sz w:val="18"/>
              </w:rPr>
              <w:t>MAB classification + device-class ACL on static VLAN</w:t>
            </w:r>
          </w:p>
        </w:tc>
      </w:tr>
      <w:tr>
        <w:tc>
          <w:tcPr>
            <w:tcW w:type="dxa" w:w="2160"/>
          </w:tcPr>
          <w:p>
            <w:r/>
            <w:r>
              <w:rPr>
                <w:b w:val="0"/>
                <w:sz w:val="18"/>
              </w:rPr>
              <w:t>Managed device — all checks pass</w:t>
            </w:r>
          </w:p>
        </w:tc>
        <w:tc>
          <w:tcPr>
            <w:tcW w:type="dxa" w:w="2160"/>
          </w:tcPr>
          <w:p>
            <w:r/>
            <w:r>
              <w:rPr>
                <w:b w:val="0"/>
                <w:sz w:val="18"/>
              </w:rPr>
              <w:t>Forescout agent + all 8 endpoint API checks pass</w:t>
            </w:r>
          </w:p>
        </w:tc>
        <w:tc>
          <w:tcPr>
            <w:tcW w:type="dxa" w:w="2160"/>
          </w:tcPr>
          <w:p>
            <w:r/>
            <w:r>
              <w:rPr>
                <w:b w:val="0"/>
                <w:sz w:val="18"/>
              </w:rPr>
              <w:t>TIER 1 — Full access</w:t>
            </w:r>
          </w:p>
        </w:tc>
        <w:tc>
          <w:tcPr>
            <w:tcW w:type="dxa" w:w="2160"/>
          </w:tcPr>
          <w:p>
            <w:r/>
            <w:r>
              <w:rPr>
                <w:b w:val="0"/>
                <w:sz w:val="18"/>
              </w:rPr>
              <w:t>Dynamic MAC admit + full-access ACL</w:t>
            </w:r>
          </w:p>
        </w:tc>
      </w:tr>
      <w:tr>
        <w:tc>
          <w:tcPr>
            <w:tcW w:type="dxa" w:w="2160"/>
            <w:shd w:val="clear" w:color="auto" w:fill="DCE6F1"/>
          </w:tcPr>
          <w:p>
            <w:r/>
            <w:r>
              <w:rPr>
                <w:b w:val="0"/>
                <w:sz w:val="18"/>
              </w:rPr>
              <w:t>Managed device — one or more checks fail</w:t>
            </w:r>
          </w:p>
        </w:tc>
        <w:tc>
          <w:tcPr>
            <w:tcW w:type="dxa" w:w="2160"/>
            <w:shd w:val="clear" w:color="auto" w:fill="DCE6F1"/>
          </w:tcPr>
          <w:p>
            <w:r/>
            <w:r>
              <w:rPr>
                <w:b w:val="0"/>
                <w:sz w:val="18"/>
              </w:rPr>
              <w:t>Forescout agent present; one or more API checks fail</w:t>
            </w:r>
          </w:p>
        </w:tc>
        <w:tc>
          <w:tcPr>
            <w:tcW w:type="dxa" w:w="2160"/>
            <w:shd w:val="clear" w:color="auto" w:fill="DCE6F1"/>
          </w:tcPr>
          <w:p>
            <w:r/>
            <w:r>
              <w:rPr>
                <w:b w:val="0"/>
                <w:sz w:val="18"/>
              </w:rPr>
              <w:t>TIER 2 — Limited access; auto-promoted via CoA on remediation</w:t>
            </w:r>
          </w:p>
        </w:tc>
        <w:tc>
          <w:tcPr>
            <w:tcW w:type="dxa" w:w="2160"/>
            <w:shd w:val="clear" w:color="auto" w:fill="DCE6F1"/>
          </w:tcPr>
          <w:p>
            <w:r/>
            <w:r>
              <w:rPr>
                <w:b w:val="0"/>
                <w:sz w:val="18"/>
              </w:rPr>
              <w:t>Dynamic MAC admit + L3 restricted ACL on static VLAN</w:t>
            </w:r>
          </w:p>
        </w:tc>
      </w:tr>
    </w:tbl>
    <w:p/>
    <w:p>
      <w:pPr>
        <w:pStyle w:val="Heading3"/>
      </w:pPr>
      <w:r>
        <w:rPr>
          <w:color w:val="1F3864"/>
          <w:sz w:val="22"/>
        </w:rPr>
        <w:t>3.2 Eight-Point Endpoint Check Policy</w:t>
      </w:r>
    </w:p>
    <w:p>
      <w:pPr>
        <w:spacing w:after="120"/>
      </w:pPr>
      <w:r>
        <w:rPr>
          <w:b w:val="0"/>
          <w:i w:val="0"/>
          <w:sz w:val="20"/>
        </w:rPr>
        <w:t>For a managed Windows or Mac endpoint to be admitted at Tier 1, all eight of the following checks must pass. Any single failure results in Tier 2 admission. Checks are evaluated at admission and continuously re-evaluated post-admission. A mid-session failure triggers CoA demotion to Tier 2 with a target P95 enforcement latency of 15 seconds.</w:t>
      </w:r>
    </w:p>
    <w:p>
      <w:pPr>
        <w:spacing w:after="120"/>
      </w:pPr>
      <w:r>
        <w:rPr>
          <w:b w:val="0"/>
          <w:i/>
          <w:sz w:val="18"/>
        </w:rPr>
        <w:t>Table 4. Eight-Point Managed Endpoint Check Policy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
              <w:rPr>
                <w:b/>
                <w:color w:val="FFFFFF"/>
                <w:sz w:val="18"/>
              </w:rPr>
              <w:t>#</w:t>
            </w:r>
          </w:p>
        </w:tc>
        <w:tc>
          <w:tcPr>
            <w:tcW w:type="dxa" w:w="2160"/>
            <w:shd w:val="clear" w:color="auto" w:fill="1F3864"/>
          </w:tcPr>
          <w:p>
            <w:pPr>
              <w:jc w:val="center"/>
            </w:pPr>
            <w:r/>
            <w:r>
              <w:rPr>
                <w:b/>
                <w:color w:val="FFFFFF"/>
                <w:sz w:val="18"/>
              </w:rPr>
              <w:t>Check</w:t>
            </w:r>
          </w:p>
        </w:tc>
        <w:tc>
          <w:tcPr>
            <w:tcW w:type="dxa" w:w="2160"/>
            <w:shd w:val="clear" w:color="auto" w:fill="1F3864"/>
          </w:tcPr>
          <w:p>
            <w:pPr>
              <w:jc w:val="center"/>
            </w:pPr>
            <w:r/>
            <w:r>
              <w:rPr>
                <w:b/>
                <w:color w:val="FFFFFF"/>
                <w:sz w:val="18"/>
              </w:rPr>
              <w:t>Tool</w:t>
            </w:r>
          </w:p>
        </w:tc>
        <w:tc>
          <w:tcPr>
            <w:tcW w:type="dxa" w:w="2160"/>
            <w:shd w:val="clear" w:color="auto" w:fill="1F3864"/>
          </w:tcPr>
          <w:p>
            <w:pPr>
              <w:jc w:val="center"/>
            </w:pPr>
            <w:r/>
            <w:r>
              <w:rPr>
                <w:b/>
                <w:color w:val="FFFFFF"/>
                <w:sz w:val="18"/>
              </w:rPr>
              <w:t>Validation Criterion</w:t>
            </w:r>
          </w:p>
        </w:tc>
      </w:tr>
      <w:tr>
        <w:tc>
          <w:tcPr>
            <w:tcW w:type="dxa" w:w="2160"/>
          </w:tcPr>
          <w:p>
            <w:r/>
            <w:r>
              <w:rPr>
                <w:b w:val="0"/>
                <w:sz w:val="18"/>
              </w:rPr>
              <w:t>1</w:t>
            </w:r>
          </w:p>
        </w:tc>
        <w:tc>
          <w:tcPr>
            <w:tcW w:type="dxa" w:w="2160"/>
          </w:tcPr>
          <w:p>
            <w:r/>
            <w:r>
              <w:rPr>
                <w:b w:val="0"/>
                <w:sz w:val="18"/>
              </w:rPr>
              <w:t>Forescout agent</w:t>
            </w:r>
          </w:p>
        </w:tc>
        <w:tc>
          <w:tcPr>
            <w:tcW w:type="dxa" w:w="2160"/>
          </w:tcPr>
          <w:p>
            <w:r/>
            <w:r>
              <w:rPr>
                <w:b w:val="0"/>
                <w:sz w:val="18"/>
              </w:rPr>
              <w:t>Forescout CounterACT</w:t>
            </w:r>
          </w:p>
        </w:tc>
        <w:tc>
          <w:tcPr>
            <w:tcW w:type="dxa" w:w="2160"/>
          </w:tcPr>
          <w:p>
            <w:r/>
            <w:r>
              <w:rPr>
                <w:b w:val="0"/>
                <w:sz w:val="18"/>
              </w:rPr>
              <w:t>Agent heartbeat active; check-in within threshold</w:t>
            </w:r>
          </w:p>
        </w:tc>
      </w:tr>
      <w:tr>
        <w:tc>
          <w:tcPr>
            <w:tcW w:type="dxa" w:w="2160"/>
            <w:shd w:val="clear" w:color="auto" w:fill="DCE6F1"/>
          </w:tcPr>
          <w:p>
            <w:r/>
            <w:r>
              <w:rPr>
                <w:b w:val="0"/>
                <w:sz w:val="18"/>
              </w:rPr>
              <w:t>2</w:t>
            </w:r>
          </w:p>
        </w:tc>
        <w:tc>
          <w:tcPr>
            <w:tcW w:type="dxa" w:w="2160"/>
            <w:shd w:val="clear" w:color="auto" w:fill="DCE6F1"/>
          </w:tcPr>
          <w:p>
            <w:r/>
            <w:r>
              <w:rPr>
                <w:b w:val="0"/>
                <w:sz w:val="18"/>
              </w:rPr>
              <w:t>Intune enrollment</w:t>
            </w:r>
          </w:p>
        </w:tc>
        <w:tc>
          <w:tcPr>
            <w:tcW w:type="dxa" w:w="2160"/>
            <w:shd w:val="clear" w:color="auto" w:fill="DCE6F1"/>
          </w:tcPr>
          <w:p>
            <w:r/>
            <w:r>
              <w:rPr>
                <w:b w:val="0"/>
                <w:sz w:val="18"/>
              </w:rPr>
              <w:t>Microsoft Intune API</w:t>
            </w:r>
          </w:p>
        </w:tc>
        <w:tc>
          <w:tcPr>
            <w:tcW w:type="dxa" w:w="2160"/>
            <w:shd w:val="clear" w:color="auto" w:fill="DCE6F1"/>
          </w:tcPr>
          <w:p>
            <w:r/>
            <w:r>
              <w:rPr>
                <w:b w:val="0"/>
                <w:sz w:val="18"/>
              </w:rPr>
              <w:t>Device enrolled; compliance state = Compliant</w:t>
            </w:r>
          </w:p>
        </w:tc>
      </w:tr>
      <w:tr>
        <w:tc>
          <w:tcPr>
            <w:tcW w:type="dxa" w:w="2160"/>
          </w:tcPr>
          <w:p>
            <w:r/>
            <w:r>
              <w:rPr>
                <w:b w:val="0"/>
                <w:sz w:val="18"/>
              </w:rPr>
              <w:t>3</w:t>
            </w:r>
          </w:p>
        </w:tc>
        <w:tc>
          <w:tcPr>
            <w:tcW w:type="dxa" w:w="2160"/>
          </w:tcPr>
          <w:p>
            <w:r/>
            <w:r>
              <w:rPr>
                <w:b w:val="0"/>
                <w:sz w:val="18"/>
              </w:rPr>
              <w:t>Azure AD join</w:t>
            </w:r>
          </w:p>
        </w:tc>
        <w:tc>
          <w:tcPr>
            <w:tcW w:type="dxa" w:w="2160"/>
          </w:tcPr>
          <w:p>
            <w:r/>
            <w:r>
              <w:rPr>
                <w:b w:val="0"/>
                <w:sz w:val="18"/>
              </w:rPr>
              <w:t>Entra ID / Azure AD API</w:t>
            </w:r>
          </w:p>
        </w:tc>
        <w:tc>
          <w:tcPr>
            <w:tcW w:type="dxa" w:w="2160"/>
          </w:tcPr>
          <w:p>
            <w:r/>
            <w:r>
              <w:rPr>
                <w:b w:val="0"/>
                <w:sz w:val="18"/>
              </w:rPr>
              <w:t>Device registered; Azure AD join confirmed</w:t>
            </w:r>
          </w:p>
        </w:tc>
      </w:tr>
      <w:tr>
        <w:tc>
          <w:tcPr>
            <w:tcW w:type="dxa" w:w="2160"/>
            <w:shd w:val="clear" w:color="auto" w:fill="DCE6F1"/>
          </w:tcPr>
          <w:p>
            <w:r/>
            <w:r>
              <w:rPr>
                <w:b w:val="0"/>
                <w:sz w:val="18"/>
              </w:rPr>
              <w:t>4</w:t>
            </w:r>
          </w:p>
        </w:tc>
        <w:tc>
          <w:tcPr>
            <w:tcW w:type="dxa" w:w="2160"/>
            <w:shd w:val="clear" w:color="auto" w:fill="DCE6F1"/>
          </w:tcPr>
          <w:p>
            <w:r/>
            <w:r>
              <w:rPr>
                <w:b w:val="0"/>
                <w:sz w:val="18"/>
              </w:rPr>
              <w:t>CrowdStrike</w:t>
            </w:r>
          </w:p>
        </w:tc>
        <w:tc>
          <w:tcPr>
            <w:tcW w:type="dxa" w:w="2160"/>
            <w:shd w:val="clear" w:color="auto" w:fill="DCE6F1"/>
          </w:tcPr>
          <w:p>
            <w:r/>
            <w:r>
              <w:rPr>
                <w:b w:val="0"/>
                <w:sz w:val="18"/>
              </w:rPr>
              <w:t>CrowdStrike API</w:t>
            </w:r>
          </w:p>
        </w:tc>
        <w:tc>
          <w:tcPr>
            <w:tcW w:type="dxa" w:w="2160"/>
            <w:shd w:val="clear" w:color="auto" w:fill="DCE6F1"/>
          </w:tcPr>
          <w:p>
            <w:r/>
            <w:r>
              <w:rPr>
                <w:b w:val="0"/>
                <w:sz w:val="18"/>
              </w:rPr>
              <w:t>Sensor healthy; prevention policy active; no critical alerts</w:t>
            </w:r>
          </w:p>
        </w:tc>
      </w:tr>
      <w:tr>
        <w:tc>
          <w:tcPr>
            <w:tcW w:type="dxa" w:w="2160"/>
          </w:tcPr>
          <w:p>
            <w:r/>
            <w:r>
              <w:rPr>
                <w:b w:val="0"/>
                <w:sz w:val="18"/>
              </w:rPr>
              <w:t>5</w:t>
            </w:r>
          </w:p>
        </w:tc>
        <w:tc>
          <w:tcPr>
            <w:tcW w:type="dxa" w:w="2160"/>
          </w:tcPr>
          <w:p>
            <w:r/>
            <w:r>
              <w:rPr>
                <w:b w:val="0"/>
                <w:sz w:val="18"/>
              </w:rPr>
              <w:t>Qualys</w:t>
            </w:r>
          </w:p>
        </w:tc>
        <w:tc>
          <w:tcPr>
            <w:tcW w:type="dxa" w:w="2160"/>
          </w:tcPr>
          <w:p>
            <w:r/>
            <w:r>
              <w:rPr>
                <w:b w:val="0"/>
                <w:sz w:val="18"/>
              </w:rPr>
              <w:t>Qualys API</w:t>
            </w:r>
          </w:p>
        </w:tc>
        <w:tc>
          <w:tcPr>
            <w:tcW w:type="dxa" w:w="2160"/>
          </w:tcPr>
          <w:p>
            <w:r/>
            <w:r>
              <w:rPr>
                <w:b w:val="0"/>
                <w:sz w:val="18"/>
              </w:rPr>
              <w:t>Agent present; last check-in within threshold; no critical unpatched CVEs beyond defined age</w:t>
            </w:r>
          </w:p>
        </w:tc>
      </w:tr>
      <w:tr>
        <w:tc>
          <w:tcPr>
            <w:tcW w:type="dxa" w:w="2160"/>
            <w:shd w:val="clear" w:color="auto" w:fill="DCE6F1"/>
          </w:tcPr>
          <w:p>
            <w:r/>
            <w:r>
              <w:rPr>
                <w:b w:val="0"/>
                <w:sz w:val="18"/>
              </w:rPr>
              <w:t>6</w:t>
            </w:r>
          </w:p>
        </w:tc>
        <w:tc>
          <w:tcPr>
            <w:tcW w:type="dxa" w:w="2160"/>
            <w:shd w:val="clear" w:color="auto" w:fill="DCE6F1"/>
          </w:tcPr>
          <w:p>
            <w:r/>
            <w:r>
              <w:rPr>
                <w:b w:val="0"/>
                <w:sz w:val="18"/>
              </w:rPr>
              <w:t>Tanium</w:t>
            </w:r>
          </w:p>
        </w:tc>
        <w:tc>
          <w:tcPr>
            <w:tcW w:type="dxa" w:w="2160"/>
            <w:shd w:val="clear" w:color="auto" w:fill="DCE6F1"/>
          </w:tcPr>
          <w:p>
            <w:r/>
            <w:r>
              <w:rPr>
                <w:b w:val="0"/>
                <w:sz w:val="18"/>
              </w:rPr>
              <w:t>Tanium API</w:t>
            </w:r>
          </w:p>
        </w:tc>
        <w:tc>
          <w:tcPr>
            <w:tcW w:type="dxa" w:w="2160"/>
            <w:shd w:val="clear" w:color="auto" w:fill="DCE6F1"/>
          </w:tcPr>
          <w:p>
            <w:r/>
            <w:r>
              <w:rPr>
                <w:b w:val="0"/>
                <w:sz w:val="18"/>
              </w:rPr>
              <w:t>Agent online; last check-in within threshold</w:t>
            </w:r>
          </w:p>
        </w:tc>
      </w:tr>
      <w:tr>
        <w:tc>
          <w:tcPr>
            <w:tcW w:type="dxa" w:w="2160"/>
          </w:tcPr>
          <w:p>
            <w:r/>
            <w:r>
              <w:rPr>
                <w:b w:val="0"/>
                <w:sz w:val="18"/>
              </w:rPr>
              <w:t>7</w:t>
            </w:r>
          </w:p>
        </w:tc>
        <w:tc>
          <w:tcPr>
            <w:tcW w:type="dxa" w:w="2160"/>
          </w:tcPr>
          <w:p>
            <w:r/>
            <w:r>
              <w:rPr>
                <w:b w:val="0"/>
                <w:sz w:val="18"/>
              </w:rPr>
              <w:t>Jamf (Mac) / SCCM (Windows)</w:t>
            </w:r>
          </w:p>
        </w:tc>
        <w:tc>
          <w:tcPr>
            <w:tcW w:type="dxa" w:w="2160"/>
          </w:tcPr>
          <w:p>
            <w:r/>
            <w:r>
              <w:rPr>
                <w:b w:val="0"/>
                <w:sz w:val="18"/>
              </w:rPr>
              <w:t>Jamf API / SCCM</w:t>
            </w:r>
          </w:p>
        </w:tc>
        <w:tc>
          <w:tcPr>
            <w:tcW w:type="dxa" w:w="2160"/>
          </w:tcPr>
          <w:p>
            <w:r/>
            <w:r>
              <w:rPr>
                <w:b w:val="0"/>
                <w:sz w:val="18"/>
              </w:rPr>
              <w:t>Device enrolled; compliance check passed; managed configuration applied</w:t>
            </w:r>
          </w:p>
        </w:tc>
      </w:tr>
      <w:tr>
        <w:tc>
          <w:tcPr>
            <w:tcW w:type="dxa" w:w="2160"/>
            <w:shd w:val="clear" w:color="auto" w:fill="DCE6F1"/>
          </w:tcPr>
          <w:p>
            <w:r/>
            <w:r>
              <w:rPr>
                <w:b w:val="0"/>
                <w:sz w:val="18"/>
              </w:rPr>
              <w:t>8</w:t>
            </w:r>
          </w:p>
        </w:tc>
        <w:tc>
          <w:tcPr>
            <w:tcW w:type="dxa" w:w="2160"/>
            <w:shd w:val="clear" w:color="auto" w:fill="DCE6F1"/>
          </w:tcPr>
          <w:p>
            <w:r/>
            <w:r>
              <w:rPr>
                <w:b w:val="0"/>
                <w:sz w:val="18"/>
              </w:rPr>
              <w:t>Patch posture</w:t>
            </w:r>
          </w:p>
        </w:tc>
        <w:tc>
          <w:tcPr>
            <w:tcW w:type="dxa" w:w="2160"/>
            <w:shd w:val="clear" w:color="auto" w:fill="DCE6F1"/>
          </w:tcPr>
          <w:p>
            <w:r/>
            <w:r>
              <w:rPr>
                <w:b w:val="0"/>
                <w:sz w:val="18"/>
              </w:rPr>
              <w:t>SCCM / Qualys</w:t>
            </w:r>
          </w:p>
        </w:tc>
        <w:tc>
          <w:tcPr>
            <w:tcW w:type="dxa" w:w="2160"/>
            <w:shd w:val="clear" w:color="auto" w:fill="DCE6F1"/>
          </w:tcPr>
          <w:p>
            <w:r/>
            <w:r>
              <w:rPr>
                <w:b w:val="0"/>
                <w:sz w:val="18"/>
              </w:rPr>
              <w:t>No critical or high severity unpatched vulnerabilities beyond defined remediation SLA</w:t>
            </w:r>
          </w:p>
        </w:tc>
      </w:tr>
    </w:tbl>
    <w:p/>
    <w:p>
      <w:pPr>
        <w:pStyle w:val="Heading3"/>
      </w:pPr>
      <w:r>
        <w:rPr>
          <w:color w:val="1F3864"/>
          <w:sz w:val="22"/>
        </w:rPr>
        <w:t>3.3 Tier 2 Non-Compliant State — Design Rationale</w:t>
      </w:r>
    </w:p>
    <w:p>
      <w:pPr>
        <w:spacing w:after="120"/>
      </w:pPr>
      <w:r>
        <w:rPr>
          <w:b w:val="0"/>
          <w:i w:val="0"/>
          <w:sz w:val="20"/>
        </w:rPr>
        <w:t xml:space="preserve">The Tier 2 enforcement model does not use a holding VLAN or remediation VLAN. This is an intentional architectural decision. The Tier 2 enforcement action is an </w:t>
      </w:r>
      <w:r>
        <w:rPr>
          <w:b/>
          <w:i w:val="0"/>
          <w:sz w:val="20"/>
        </w:rPr>
        <w:t>L3 dynamic ACL pushed by Forescout to the access layer switch via CoA</w:t>
      </w:r>
      <w:r>
        <w:rPr>
          <w:b w:val="0"/>
          <w:i w:val="0"/>
          <w:sz w:val="20"/>
        </w:rPr>
        <w:t>. The ACL permits only the specific management plane destinations required for automated remediation and blocks all CVS internal resources. The device remains on its static VLAN throughout — no VLAN change occurs, the management plane is never severed, and automated remediation proceeds without a help desk call.</w:t>
      </w:r>
    </w:p>
    <w:p>
      <w:pPr>
        <w:spacing w:after="120"/>
      </w:pPr>
      <w:r>
        <w:rPr>
          <w:b w:val="0"/>
          <w:i w:val="0"/>
          <w:sz w:val="20"/>
        </w:rPr>
        <w:t>This approach is superior to a remediation VLAN model because CVS Health does not operate local internet breakout at site level. A traditional holding VLAN that blocks internal network access would cut off the management plane entirely, preventing automated remediation and requiring physical intervention for every non-compliant device. The L3 ACL on the static VLAN achieves the enforcement objective without this operational failure mode.</w:t>
      </w:r>
    </w:p>
    <w:p>
      <w:pPr>
        <w:spacing w:after="120"/>
      </w:pPr>
      <w:r>
        <w:rPr>
          <w:b w:val="0"/>
          <w:i w:val="0"/>
          <w:sz w:val="20"/>
        </w:rPr>
        <w:t>The Tier 2 permitted destination ACL must be explicitly defined per site. Implicit inheritance is not acceptable — the permitted destinations must be deterministic and auditable.</w:t>
      </w:r>
    </w:p>
    <w:p>
      <w:pPr>
        <w:spacing w:after="120"/>
      </w:pPr>
      <w:r>
        <w:rPr>
          <w:b w:val="0"/>
          <w:i w:val="0"/>
          <w:sz w:val="20"/>
        </w:rPr>
      </w:r>
      <w:r>
        <w:rPr>
          <w:b/>
          <w:i w:val="0"/>
          <w:sz w:val="20"/>
        </w:rPr>
        <w:t>Tier 2 Permitted Destinations (explicit L3 ACL on switch required):</w:t>
      </w:r>
      <w:r>
        <w:rPr>
          <w:b w:val="0"/>
          <w:i w:val="0"/>
          <w:sz w:val="20"/>
        </w:rPr>
      </w:r>
    </w:p>
    <w:p>
      <w:pPr>
        <w:pStyle w:val="ListBullet"/>
        <w:spacing w:after="60"/>
      </w:pPr>
      <w:r>
        <w:rPr>
          <w:b w:val="0"/>
          <w:sz w:val="20"/>
        </w:rPr>
        <w:t>Zscaler ZIA — internet egress for all cloud-bound traffic</w:t>
      </w:r>
    </w:p>
    <w:p>
      <w:pPr>
        <w:pStyle w:val="ListBullet"/>
        <w:spacing w:after="60"/>
      </w:pPr>
      <w:r>
        <w:rPr>
          <w:b w:val="0"/>
          <w:sz w:val="20"/>
        </w:rPr>
        <w:t>Azure AD / Microsoft Entra ID — device authentication and identity plane</w:t>
      </w:r>
    </w:p>
    <w:p>
      <w:pPr>
        <w:pStyle w:val="ListBullet"/>
        <w:spacing w:after="60"/>
      </w:pPr>
      <w:r>
        <w:rPr>
          <w:b w:val="0"/>
          <w:sz w:val="20"/>
        </w:rPr>
        <w:t>CrowdStrike — EDR telemetry and sensor management channel</w:t>
      </w:r>
    </w:p>
    <w:p>
      <w:pPr>
        <w:pStyle w:val="ListBullet"/>
        <w:spacing w:after="60"/>
      </w:pPr>
      <w:r>
        <w:rPr>
          <w:b w:val="0"/>
          <w:sz w:val="20"/>
        </w:rPr>
        <w:t>Microsoft Intune — MDM compliance push and policy delivery</w:t>
      </w:r>
    </w:p>
    <w:p>
      <w:pPr>
        <w:pStyle w:val="ListBullet"/>
        <w:spacing w:after="60"/>
      </w:pPr>
      <w:r>
        <w:rPr>
          <w:b w:val="0"/>
          <w:sz w:val="20"/>
        </w:rPr>
        <w:t>Jamf Cloud — macOS/iOS MDM management plane</w:t>
      </w:r>
    </w:p>
    <w:p>
      <w:pPr>
        <w:pStyle w:val="ListBullet"/>
        <w:spacing w:after="60"/>
      </w:pPr>
      <w:r>
        <w:rPr>
          <w:b w:val="0"/>
          <w:sz w:val="20"/>
        </w:rPr>
        <w:t>SCCM / Configuration Manager — Windows patch and software management</w:t>
      </w:r>
    </w:p>
    <w:p>
      <w:pPr>
        <w:spacing w:after="120"/>
      </w:pPr>
      <w:r>
        <w:rPr>
          <w:b w:val="0"/>
          <w:i w:val="0"/>
          <w:sz w:val="20"/>
        </w:rPr>
      </w:r>
      <w:r>
        <w:rPr>
          <w:b/>
          <w:i w:val="0"/>
          <w:sz w:val="20"/>
        </w:rPr>
        <w:t>Tier 2 Blocked Destinations:</w:t>
      </w:r>
      <w:r>
        <w:rPr>
          <w:b w:val="0"/>
          <w:i w:val="0"/>
          <w:sz w:val="20"/>
        </w:rPr>
      </w:r>
    </w:p>
    <w:p>
      <w:pPr>
        <w:pStyle w:val="ListBullet"/>
        <w:spacing w:after="60"/>
      </w:pPr>
      <w:r>
        <w:rPr>
          <w:b w:val="0"/>
          <w:sz w:val="20"/>
        </w:rPr>
        <w:t>All CVS Health internal network resources</w:t>
      </w:r>
    </w:p>
    <w:p>
      <w:pPr>
        <w:pStyle w:val="ListBullet"/>
        <w:spacing w:after="60"/>
      </w:pPr>
      <w:r>
        <w:rPr>
          <w:b w:val="0"/>
          <w:sz w:val="20"/>
        </w:rPr>
        <w:t>Microsoft 365 (Exchange Online, SharePoint, Teams, OneDrive)</w:t>
      </w:r>
    </w:p>
    <w:p>
      <w:pPr>
        <w:pBdr>
          <w:bottom w:val="single" w:sz="6" w:space="1" w:color="1F3864"/>
        </w:pBdr>
        <w:spacing w:after="80"/>
      </w:pPr>
    </w:p>
    <w:p>
      <w:pPr>
        <w:pStyle w:val="Heading2"/>
      </w:pPr>
      <w:r>
        <w:rPr>
          <w:color w:val="1F3864"/>
          <w:sz w:val="26"/>
        </w:rPr>
        <w:t>4. IoT/OT Discovery — Architectural Dependency</w:t>
      </w:r>
    </w:p>
    <w:p>
      <w:pPr>
        <w:spacing w:after="120"/>
      </w:pPr>
      <w:r>
        <w:rPr>
          <w:b w:val="0"/>
          <w:i w:val="0"/>
          <w:sz w:val="20"/>
        </w:rPr>
        <w:t>IoT/OT enforcement by Forescout CounterACT requires an authoritative, continuously updated device classification source. Forescout native discovery methods (DHCP fingerprinting, NetFlow, agent-based, active scanning) are individually insufficient for IoT/OT classification at CVS Health scale. DHCP-based fingerprinting is unreliable for IoT/OT devices that use static IPs or non-standard DHCP behavior. Active scanning is categorically prohibited on OT network segments. Agent-based discovery provides zero coverage of IoT/OT devices. SPAN/TAP passive DPI would require hardware provisioning at every IoT-bearing switch segment across 97 sites — a material capital and operational commitment that scales poorly.</w:t>
      </w:r>
    </w:p>
    <w:p>
      <w:pPr>
        <w:spacing w:after="120"/>
      </w:pPr>
      <w:r>
        <w:rPr>
          <w:b w:val="0"/>
          <w:i w:val="0"/>
          <w:sz w:val="20"/>
        </w:rPr>
        <w:t>Claroty xDome via Claroty Edge resolves this dependency. Claroty Edge is a software component that deploys on any existing Windows host — no network hardware, no SPAN port. It produces a full IoT/OT asset inventory within 24–48 hours using passive protocol analysis, OT-safe active enrichment, and engineering file parsing. Claroty supports 450+ OT/ICS protocols versus approximately 100 via Forescout SPAN-based DPI. Device classifications are continuously updated and fed to Forescout via API.</w:t>
      </w:r>
    </w:p>
    <w:p>
      <w:pPr>
        <w:spacing w:after="120"/>
      </w:pPr>
      <w:r>
        <w:rPr>
          <w:b w:val="0"/>
          <w:i/>
          <w:sz w:val="18"/>
        </w:rPr>
        <w:t>Table 5. Claroty Discovery Methods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
              <w:rPr>
                <w:b/>
                <w:color w:val="FFFFFF"/>
                <w:sz w:val="18"/>
              </w:rPr>
              <w:t>Method</w:t>
            </w:r>
          </w:p>
        </w:tc>
        <w:tc>
          <w:tcPr>
            <w:tcW w:type="dxa" w:w="2880"/>
            <w:shd w:val="clear" w:color="auto" w:fill="1F3864"/>
          </w:tcPr>
          <w:p>
            <w:pPr>
              <w:jc w:val="center"/>
            </w:pPr>
            <w:r/>
            <w:r>
              <w:rPr>
                <w:b/>
                <w:color w:val="FFFFFF"/>
                <w:sz w:val="18"/>
              </w:rPr>
              <w:t>SPAN Required</w:t>
            </w:r>
          </w:p>
        </w:tc>
        <w:tc>
          <w:tcPr>
            <w:tcW w:type="dxa" w:w="2880"/>
            <w:shd w:val="clear" w:color="auto" w:fill="1F3864"/>
          </w:tcPr>
          <w:p>
            <w:pPr>
              <w:jc w:val="center"/>
            </w:pPr>
            <w:r/>
            <w:r>
              <w:rPr>
                <w:b/>
                <w:color w:val="FFFFFF"/>
                <w:sz w:val="18"/>
              </w:rPr>
              <w:t>Description</w:t>
            </w:r>
          </w:p>
        </w:tc>
      </w:tr>
      <w:tr>
        <w:tc>
          <w:tcPr>
            <w:tcW w:type="dxa" w:w="2880"/>
          </w:tcPr>
          <w:p>
            <w:r/>
            <w:r>
              <w:rPr>
                <w:b w:val="0"/>
                <w:sz w:val="18"/>
              </w:rPr>
              <w:t>Claroty Edge</w:t>
            </w:r>
          </w:p>
        </w:tc>
        <w:tc>
          <w:tcPr>
            <w:tcW w:type="dxa" w:w="2880"/>
          </w:tcPr>
          <w:p>
            <w:r/>
            <w:r>
              <w:rPr>
                <w:b w:val="0"/>
                <w:sz w:val="18"/>
              </w:rPr>
              <w:t>No</w:t>
            </w:r>
          </w:p>
        </w:tc>
        <w:tc>
          <w:tcPr>
            <w:tcW w:type="dxa" w:w="2880"/>
          </w:tcPr>
          <w:p>
            <w:r/>
            <w:r>
              <w:rPr>
                <w:b w:val="0"/>
                <w:sz w:val="18"/>
              </w:rPr>
              <w:t>Software agent on existing Windows host. Primary method at all CVS sites. Full inventory within 24–48 hours.</w:t>
            </w:r>
          </w:p>
        </w:tc>
      </w:tr>
      <w:tr>
        <w:tc>
          <w:tcPr>
            <w:tcW w:type="dxa" w:w="2880"/>
            <w:shd w:val="clear" w:color="auto" w:fill="DCE6F1"/>
          </w:tcPr>
          <w:p>
            <w:r/>
            <w:r>
              <w:rPr>
                <w:b w:val="0"/>
                <w:sz w:val="18"/>
              </w:rPr>
              <w:t>Safe Queries</w:t>
            </w:r>
          </w:p>
        </w:tc>
        <w:tc>
          <w:tcPr>
            <w:tcW w:type="dxa" w:w="2880"/>
            <w:shd w:val="clear" w:color="auto" w:fill="DCE6F1"/>
          </w:tcPr>
          <w:p>
            <w:r/>
            <w:r>
              <w:rPr>
                <w:b w:val="0"/>
                <w:sz w:val="18"/>
              </w:rPr>
              <w:t>No</w:t>
            </w:r>
          </w:p>
        </w:tc>
        <w:tc>
          <w:tcPr>
            <w:tcW w:type="dxa" w:w="2880"/>
            <w:shd w:val="clear" w:color="auto" w:fill="DCE6F1"/>
          </w:tcPr>
          <w:p>
            <w:r/>
            <w:r>
              <w:rPr>
                <w:b w:val="0"/>
                <w:sz w:val="18"/>
              </w:rPr>
              <w:t>OT-safe active probes for firmware version and serial number enrichment. Applied after baseline inventory is established.</w:t>
            </w:r>
          </w:p>
        </w:tc>
      </w:tr>
      <w:tr>
        <w:tc>
          <w:tcPr>
            <w:tcW w:type="dxa" w:w="2880"/>
          </w:tcPr>
          <w:p>
            <w:r/>
            <w:r>
              <w:rPr>
                <w:b w:val="0"/>
                <w:sz w:val="18"/>
              </w:rPr>
              <w:t>Project File Analysis</w:t>
            </w:r>
          </w:p>
        </w:tc>
        <w:tc>
          <w:tcPr>
            <w:tcW w:type="dxa" w:w="2880"/>
          </w:tcPr>
          <w:p>
            <w:r/>
            <w:r>
              <w:rPr>
                <w:b w:val="0"/>
                <w:sz w:val="18"/>
              </w:rPr>
              <w:t>No</w:t>
            </w:r>
          </w:p>
        </w:tc>
        <w:tc>
          <w:tcPr>
            <w:tcW w:type="dxa" w:w="2880"/>
          </w:tcPr>
          <w:p>
            <w:r/>
            <w:r>
              <w:rPr>
                <w:b w:val="0"/>
                <w:sz w:val="18"/>
              </w:rPr>
              <w:t>Parses PLC and HMI engineering workstation project files. No network traffic required.</w:t>
            </w:r>
          </w:p>
        </w:tc>
      </w:tr>
      <w:tr>
        <w:tc>
          <w:tcPr>
            <w:tcW w:type="dxa" w:w="2880"/>
            <w:shd w:val="clear" w:color="auto" w:fill="DCE6F1"/>
          </w:tcPr>
          <w:p>
            <w:r/>
            <w:r>
              <w:rPr>
                <w:b w:val="0"/>
                <w:sz w:val="18"/>
              </w:rPr>
              <w:t>Passive Monitoring</w:t>
            </w:r>
          </w:p>
        </w:tc>
        <w:tc>
          <w:tcPr>
            <w:tcW w:type="dxa" w:w="2880"/>
            <w:shd w:val="clear" w:color="auto" w:fill="DCE6F1"/>
          </w:tcPr>
          <w:p>
            <w:r/>
            <w:r>
              <w:rPr>
                <w:b w:val="0"/>
                <w:sz w:val="18"/>
              </w:rPr>
              <w:t>Yes</w:t>
            </w:r>
          </w:p>
        </w:tc>
        <w:tc>
          <w:tcPr>
            <w:tcW w:type="dxa" w:w="2880"/>
            <w:shd w:val="clear" w:color="auto" w:fill="DCE6F1"/>
          </w:tcPr>
          <w:p>
            <w:r/>
            <w:r>
              <w:rPr>
                <w:b w:val="0"/>
                <w:sz w:val="18"/>
              </w:rPr>
              <w:t>Full DPI via SPAN port. 450+ OT protocol support. Used where SPAN infrastructure already exists.</w:t>
            </w:r>
          </w:p>
        </w:tc>
      </w:tr>
      <w:tr>
        <w:tc>
          <w:tcPr>
            <w:tcW w:type="dxa" w:w="2880"/>
          </w:tcPr>
          <w:p>
            <w:r/>
            <w:r>
              <w:rPr>
                <w:b w:val="0"/>
                <w:sz w:val="18"/>
              </w:rPr>
              <w:t>Ecosystem Enrichment</w:t>
            </w:r>
          </w:p>
        </w:tc>
        <w:tc>
          <w:tcPr>
            <w:tcW w:type="dxa" w:w="2880"/>
          </w:tcPr>
          <w:p>
            <w:r/>
            <w:r>
              <w:rPr>
                <w:b w:val="0"/>
                <w:sz w:val="18"/>
              </w:rPr>
              <w:t>No</w:t>
            </w:r>
          </w:p>
        </w:tc>
        <w:tc>
          <w:tcPr>
            <w:tcW w:type="dxa" w:w="2880"/>
          </w:tcPr>
          <w:p>
            <w:r/>
            <w:r>
              <w:rPr>
                <w:b w:val="0"/>
                <w:sz w:val="18"/>
              </w:rPr>
              <w:t>Integrates with existing CMDB, CrowdStrike, Intune, and Qualys to enrich device records.</w:t>
            </w:r>
          </w:p>
        </w:tc>
      </w:tr>
    </w:tbl>
    <w:p/>
    <w:p>
      <w:pPr>
        <w:pBdr>
          <w:bottom w:val="single" w:sz="6" w:space="1" w:color="1F3864"/>
        </w:pBdr>
        <w:spacing w:after="80"/>
      </w:pPr>
    </w:p>
    <w:p>
      <w:pPr>
        <w:pStyle w:val="Heading2"/>
      </w:pPr>
      <w:r>
        <w:rPr>
          <w:color w:val="1F3864"/>
          <w:sz w:val="26"/>
        </w:rPr>
        <w:t>5. IoT/OT Enforcement Maturation Roadmap</w:t>
      </w:r>
    </w:p>
    <w:p>
      <w:pPr>
        <w:spacing w:after="120"/>
      </w:pPr>
      <w:r>
        <w:rPr>
          <w:b w:val="0"/>
          <w:i w:val="0"/>
          <w:sz w:val="20"/>
        </w:rPr>
        <w:t xml:space="preserve">IoT/OT enforcement is a </w:t>
      </w:r>
      <w:r>
        <w:rPr>
          <w:b/>
          <w:i w:val="0"/>
          <w:sz w:val="20"/>
        </w:rPr>
        <w:t>separate workstream from end-user workstation NAC enforcement</w:t>
      </w:r>
      <w:r>
        <w:rPr>
          <w:b w:val="0"/>
          <w:i w:val="0"/>
          <w:sz w:val="20"/>
        </w:rPr>
        <w:t xml:space="preserve"> and does not affect the success criteria or timeline of Phase 1. The initial endpoint compute admission control model — permitting managed systems, blocking unmanaged systems, and restricting unrecognized IoT/OT devices — is fully independent of the IoT enforcement maturation stages below. Phase 1 endpoint enforcement can be validated and deployed to completion regardless of IoT enforcement status.</w:t>
      </w:r>
    </w:p>
    <w:p>
      <w:pPr>
        <w:spacing w:after="120"/>
      </w:pPr>
      <w:r>
        <w:rPr>
          <w:b w:val="0"/>
          <w:i w:val="0"/>
          <w:sz w:val="20"/>
        </w:rPr>
        <w:t>IoT/OT enforcement follows a three-stage maturation model. Enforcement is not applied to IoT/OT devices until Claroty has established an authoritative device inventory and behavioral baseline. Rushing enforcement before the inventory is authoritative creates unacceptable operational risk in OT environments.</w:t>
      </w:r>
    </w:p>
    <w:p>
      <w:pPr>
        <w:spacing w:after="120"/>
      </w:pPr>
      <w:r>
        <w:rPr>
          <w:b w:val="0"/>
          <w:i/>
          <w:sz w:val="18"/>
        </w:rPr>
        <w:t>Table 6. IoT/OT Enforcement Maturation Stages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
              <w:rPr>
                <w:b/>
                <w:color w:val="FFFFFF"/>
                <w:sz w:val="18"/>
              </w:rPr>
              <w:t>Stage</w:t>
            </w:r>
          </w:p>
        </w:tc>
        <w:tc>
          <w:tcPr>
            <w:tcW w:type="dxa" w:w="2160"/>
            <w:shd w:val="clear" w:color="auto" w:fill="1F3864"/>
          </w:tcPr>
          <w:p>
            <w:pPr>
              <w:jc w:val="center"/>
            </w:pPr>
            <w:r/>
            <w:r>
              <w:rPr>
                <w:b/>
                <w:color w:val="FFFFFF"/>
                <w:sz w:val="18"/>
              </w:rPr>
              <w:t>Timeline</w:t>
            </w:r>
          </w:p>
        </w:tc>
        <w:tc>
          <w:tcPr>
            <w:tcW w:type="dxa" w:w="2160"/>
            <w:shd w:val="clear" w:color="auto" w:fill="1F3864"/>
          </w:tcPr>
          <w:p>
            <w:pPr>
              <w:jc w:val="center"/>
            </w:pPr>
            <w:r/>
            <w:r>
              <w:rPr>
                <w:b/>
                <w:color w:val="FFFFFF"/>
                <w:sz w:val="18"/>
              </w:rPr>
              <w:t>Activity</w:t>
            </w:r>
          </w:p>
        </w:tc>
        <w:tc>
          <w:tcPr>
            <w:tcW w:type="dxa" w:w="2160"/>
            <w:shd w:val="clear" w:color="auto" w:fill="1F3864"/>
          </w:tcPr>
          <w:p>
            <w:pPr>
              <w:jc w:val="center"/>
            </w:pPr>
            <w:r/>
            <w:r>
              <w:rPr>
                <w:b/>
                <w:color w:val="FFFFFF"/>
                <w:sz w:val="18"/>
              </w:rPr>
              <w:t>Enforcement</w:t>
            </w:r>
          </w:p>
        </w:tc>
      </w:tr>
      <w:tr>
        <w:tc>
          <w:tcPr>
            <w:tcW w:type="dxa" w:w="2160"/>
          </w:tcPr>
          <w:p>
            <w:r/>
            <w:r>
              <w:rPr>
                <w:b w:val="0"/>
                <w:sz w:val="18"/>
              </w:rPr>
              <w:t>1 — Discovery</w:t>
            </w:r>
          </w:p>
        </w:tc>
        <w:tc>
          <w:tcPr>
            <w:tcW w:type="dxa" w:w="2160"/>
          </w:tcPr>
          <w:p>
            <w:r/>
            <w:r>
              <w:rPr>
                <w:b w:val="0"/>
                <w:sz w:val="18"/>
              </w:rPr>
              <w:t>M1–M18 (parallel to Phase 1 workstation rollout)</w:t>
            </w:r>
          </w:p>
        </w:tc>
        <w:tc>
          <w:tcPr>
            <w:tcW w:type="dxa" w:w="2160"/>
          </w:tcPr>
          <w:p>
            <w:r/>
            <w:r>
              <w:rPr>
                <w:b w:val="0"/>
                <w:sz w:val="18"/>
              </w:rPr>
              <w:t>Claroty Edge deployed at all sites. Passive discovery, device classification, behavioral baselining. Forescout ingests Claroty data via API and builds device profile database.</w:t>
            </w:r>
          </w:p>
        </w:tc>
        <w:tc>
          <w:tcPr>
            <w:tcW w:type="dxa" w:w="2160"/>
          </w:tcPr>
          <w:p>
            <w:r/>
            <w:r>
              <w:rPr>
                <w:b w:val="0"/>
                <w:sz w:val="18"/>
              </w:rPr>
              <w:t>None. Forescout logs IoT connections and admits without enforcement.</w:t>
            </w:r>
          </w:p>
        </w:tc>
      </w:tr>
      <w:tr>
        <w:tc>
          <w:tcPr>
            <w:tcW w:type="dxa" w:w="2160"/>
            <w:shd w:val="clear" w:color="auto" w:fill="DCE6F1"/>
          </w:tcPr>
          <w:p>
            <w:r/>
            <w:r>
              <w:rPr>
                <w:b w:val="0"/>
                <w:sz w:val="18"/>
              </w:rPr>
              <w:t>2 — Low-Risk IoT Enforcement</w:t>
            </w:r>
          </w:p>
        </w:tc>
        <w:tc>
          <w:tcPr>
            <w:tcW w:type="dxa" w:w="2160"/>
            <w:shd w:val="clear" w:color="auto" w:fill="DCE6F1"/>
          </w:tcPr>
          <w:p>
            <w:r/>
            <w:r>
              <w:rPr>
                <w:b w:val="0"/>
                <w:sz w:val="18"/>
              </w:rPr>
              <w:t>M18–M30 (aligned to Phase 2 specialty site rollout)</w:t>
            </w:r>
          </w:p>
        </w:tc>
        <w:tc>
          <w:tcPr>
            <w:tcW w:type="dxa" w:w="2160"/>
            <w:shd w:val="clear" w:color="auto" w:fill="DCE6F1"/>
          </w:tcPr>
          <w:p>
            <w:r/>
            <w:r>
              <w:rPr>
                <w:b w:val="0"/>
                <w:sz w:val="18"/>
              </w:rPr>
              <w:t>Forescout MAB enforcement activated for well-understood, low-risk IoT device classes: network printers, IP cameras, HVAC/BAS controllers (non-critical), badge readers, VoIP phones.</w:t>
            </w:r>
          </w:p>
        </w:tc>
        <w:tc>
          <w:tcPr>
            <w:tcW w:type="dxa" w:w="2160"/>
            <w:shd w:val="clear" w:color="auto" w:fill="DCE6F1"/>
          </w:tcPr>
          <w:p>
            <w:r/>
            <w:r>
              <w:rPr>
                <w:b w:val="0"/>
                <w:sz w:val="18"/>
              </w:rPr>
              <w:t>Known MAC + Claroty class match = admitted to IoT segment. Unknown MAC = restricted. Per-class L3 ACL defined, approved by site operations, and validated before activation.</w:t>
            </w:r>
          </w:p>
        </w:tc>
      </w:tr>
      <w:tr>
        <w:tc>
          <w:tcPr>
            <w:tcW w:type="dxa" w:w="2160"/>
          </w:tcPr>
          <w:p>
            <w:r/>
            <w:r>
              <w:rPr>
                <w:b w:val="0"/>
                <w:sz w:val="18"/>
              </w:rPr>
              <w:t>3 — OT/SCADA Enforcement</w:t>
            </w:r>
          </w:p>
        </w:tc>
        <w:tc>
          <w:tcPr>
            <w:tcW w:type="dxa" w:w="2160"/>
          </w:tcPr>
          <w:p>
            <w:r/>
            <w:r>
              <w:rPr>
                <w:b w:val="0"/>
                <w:sz w:val="18"/>
              </w:rPr>
              <w:t>M30+</w:t>
            </w:r>
          </w:p>
        </w:tc>
        <w:tc>
          <w:tcPr>
            <w:tcW w:type="dxa" w:w="2160"/>
          </w:tcPr>
          <w:p>
            <w:r/>
            <w:r>
              <w:rPr>
                <w:b w:val="0"/>
                <w:sz w:val="18"/>
              </w:rPr>
              <w:t>Full Forescout MAB enforcement extended to OT/SCADA environments. Requires minimum 12 months of Claroty behavioral baseline data, per-device MAB policy review by site operations.</w:t>
            </w:r>
          </w:p>
        </w:tc>
        <w:tc>
          <w:tcPr>
            <w:tcW w:type="dxa" w:w="2160"/>
          </w:tcPr>
          <w:p>
            <w:r/>
            <w:r>
              <w:rPr>
                <w:b w:val="0"/>
                <w:sz w:val="18"/>
              </w:rPr>
              <w:t>Allow-list only. MAC not in Claroty-sourced approved inventory = blocked from OT segment.</w:t>
            </w:r>
          </w:p>
        </w:tc>
      </w:tr>
    </w:tbl>
    <w:p/>
    <w:p>
      <w:pPr>
        <w:pStyle w:val="Heading3"/>
      </w:pPr>
      <w:r>
        <w:rPr>
          <w:color w:val="1F3864"/>
          <w:sz w:val="22"/>
        </w:rPr>
        <w:t>5.1 Long-Term Steady State</w:t>
      </w:r>
    </w:p>
    <w:p>
      <w:pPr>
        <w:spacing w:after="120"/>
      </w:pPr>
      <w:r>
        <w:rPr>
          <w:b w:val="0"/>
          <w:i w:val="0"/>
          <w:sz w:val="20"/>
        </w:rPr>
        <w:t>In steady state, the enforcement tools operate with no functional overlap:</w:t>
      </w:r>
    </w:p>
    <w:p>
      <w:pPr>
        <w:pStyle w:val="ListBullet"/>
        <w:spacing w:after="60"/>
      </w:pPr>
      <w:r>
        <w:rPr>
          <w:b w:val="0"/>
          <w:sz w:val="20"/>
        </w:rPr>
      </w:r>
      <w:r>
        <w:rPr>
          <w:b/>
          <w:sz w:val="20"/>
        </w:rPr>
        <w:t>Claroty xDome</w:t>
      </w:r>
      <w:r>
        <w:rPr>
          <w:b w:val="0"/>
          <w:sz w:val="20"/>
        </w:rPr>
        <w:t xml:space="preserve"> — continuous IoT/OT behavioral monitoring and risk scoring. Feeds classification and risk signals to Forescout in real time.</w:t>
      </w:r>
    </w:p>
    <w:p>
      <w:pPr>
        <w:pStyle w:val="ListBullet"/>
        <w:spacing w:after="60"/>
      </w:pPr>
      <w:r>
        <w:rPr>
          <w:b w:val="0"/>
          <w:sz w:val="20"/>
        </w:rPr>
      </w:r>
      <w:r>
        <w:rPr>
          <w:b/>
          <w:sz w:val="20"/>
        </w:rPr>
        <w:t>Forescout CounterACT</w:t>
      </w:r>
      <w:r>
        <w:rPr>
          <w:b w:val="0"/>
          <w:sz w:val="20"/>
        </w:rPr>
        <w:t xml:space="preserve"> — RADIUS MAB enforcement for all device types. Workstations (Tier 1/2 posture-based via L3 ACL on switch), IoT (class-based admission), OT (allow-list only). CoA triggers on Claroty risk signal breach.</w:t>
      </w:r>
    </w:p>
    <w:p>
      <w:pPr>
        <w:pStyle w:val="ListBullet"/>
        <w:spacing w:after="60"/>
      </w:pPr>
      <w:r>
        <w:rPr>
          <w:b w:val="0"/>
          <w:sz w:val="20"/>
        </w:rPr>
      </w:r>
      <w:r>
        <w:rPr>
          <w:b/>
          <w:sz w:val="20"/>
        </w:rPr>
        <w:t>Endpoint security stack</w:t>
      </w:r>
      <w:r>
        <w:rPr>
          <w:b w:val="0"/>
          <w:sz w:val="20"/>
        </w:rPr>
        <w:t xml:space="preserve"> (Intune / Jamf / CrowdStrike / Qualys / Tanium / SCCM) — posture data source and remediation engine. No network admission role.</w:t>
      </w:r>
    </w:p>
    <w:p>
      <w:pPr>
        <w:pStyle w:val="Heading3"/>
      </w:pPr>
      <w:r>
        <w:rPr>
          <w:color w:val="1F3864"/>
          <w:sz w:val="22"/>
        </w:rPr>
        <w:t>5.2 IoT Governance and Strategy Alignment</w:t>
      </w:r>
    </w:p>
    <w:p>
      <w:pPr>
        <w:spacing w:after="120"/>
      </w:pPr>
      <w:r>
        <w:rPr>
          <w:b w:val="0"/>
          <w:i w:val="0"/>
          <w:sz w:val="20"/>
        </w:rPr>
        <w:t>IoT device admission will be managed through location-based discovery and device profiling, coordinated with the enterprise IoT governance and strategy effort currently in progress. The program will collaborate with the teams driving that effort to introduce IoT/OT compliance-based admission control in a subsequent phase. Project delivery timelines for IoT enforcement will be confirmed in alignment with that governance workstream, with the understanding that the actual timetable is tied to the completion of the Forescout renewal and deployment of new hardware.</w:t>
      </w:r>
    </w:p>
    <w:p>
      <w:pPr>
        <w:pBdr>
          <w:bottom w:val="single" w:sz="6" w:space="1" w:color="1F3864"/>
        </w:pBdr>
        <w:spacing w:after="80"/>
      </w:pPr>
    </w:p>
    <w:p>
      <w:pPr>
        <w:pStyle w:val="Heading2"/>
      </w:pPr>
      <w:r>
        <w:rPr>
          <w:color w:val="1F3864"/>
          <w:sz w:val="26"/>
        </w:rPr>
        <w:t>6. Deployment Plan</w:t>
      </w:r>
    </w:p>
    <w:p>
      <w:pPr>
        <w:pStyle w:val="Heading3"/>
      </w:pPr>
      <w:r>
        <w:rPr>
          <w:color w:val="1F3864"/>
          <w:sz w:val="22"/>
        </w:rPr>
        <w:t>6.1 Validation-First POC Sequencing</w:t>
      </w:r>
    </w:p>
    <w:p>
      <w:pPr>
        <w:spacing w:after="120"/>
      </w:pPr>
      <w:r>
        <w:rPr>
          <w:b w:val="0"/>
          <w:i w:val="0"/>
          <w:sz w:val="20"/>
        </w:rPr>
        <w:t xml:space="preserve">The program does not proceed to broad deployment until </w:t>
      </w:r>
      <w:r>
        <w:rPr>
          <w:b/>
          <w:i w:val="0"/>
          <w:sz w:val="20"/>
        </w:rPr>
        <w:t>three enforcement models have been independently validated.</w:t>
      </w:r>
      <w:r>
        <w:rPr>
          <w:b w:val="0"/>
          <w:i w:val="0"/>
          <w:sz w:val="20"/>
        </w:rPr>
        <w:t xml:space="preserve"> Broad Phase 1 and Phase 2 rollout is gated on all three validations being signed off. Any policy model issue surfaced during validation must be resolved before the wider deployment schedule proceeds.</w:t>
      </w:r>
    </w:p>
    <w:p>
      <w:pPr>
        <w:spacing w:after="120"/>
      </w:pPr>
      <w:r>
        <w:rPr>
          <w:b w:val="0"/>
          <w:i w:val="0"/>
          <w:sz w:val="20"/>
        </w:rPr>
      </w:r>
      <w:r>
        <w:rPr>
          <w:b/>
          <w:i w:val="0"/>
          <w:sz w:val="20"/>
        </w:rPr>
        <w:t>Validation 1 — Corporate Campus + Distribution Center (POC)</w:t>
      </w:r>
      <w:r>
        <w:rPr>
          <w:b w:val="0"/>
          <w:i w:val="0"/>
          <w:sz w:val="20"/>
        </w:rPr>
      </w:r>
    </w:p>
    <w:p>
      <w:pPr>
        <w:pStyle w:val="ListBullet"/>
        <w:spacing w:after="60"/>
      </w:pPr>
      <w:r>
        <w:rPr>
          <w:b w:val="0"/>
          <w:sz w:val="20"/>
        </w:rPr>
        <w:t>POC site: RI corporate campus — validates the corporate workstation enforcement model and the Distribution Center enforcement model simultaneously</w:t>
      </w:r>
    </w:p>
    <w:p>
      <w:pPr>
        <w:pStyle w:val="ListBullet"/>
        <w:spacing w:after="60"/>
      </w:pPr>
      <w:r>
        <w:rPr>
          <w:b w:val="0"/>
          <w:sz w:val="20"/>
        </w:rPr>
        <w:t>Confirms: API posture check policy, dynamic MAC filter, L3 ACL on static VLAN, Tier 1/Tier 2 outcomes, CoA mid-session enforcement, P95 15-second latency target</w:t>
      </w:r>
    </w:p>
    <w:p>
      <w:pPr>
        <w:spacing w:after="120"/>
      </w:pPr>
      <w:r>
        <w:rPr>
          <w:b w:val="0"/>
          <w:i w:val="0"/>
          <w:sz w:val="20"/>
        </w:rPr>
      </w:r>
      <w:r>
        <w:rPr>
          <w:b/>
          <w:i w:val="0"/>
          <w:sz w:val="20"/>
        </w:rPr>
        <w:t>Validation 2 — Distribution Center Model Confirmed</w:t>
      </w:r>
      <w:r>
        <w:rPr>
          <w:b w:val="0"/>
          <w:i w:val="0"/>
          <w:sz w:val="20"/>
        </w:rPr>
      </w:r>
    </w:p>
    <w:p>
      <w:pPr>
        <w:pStyle w:val="ListBullet"/>
        <w:spacing w:after="60"/>
      </w:pPr>
      <w:r>
        <w:rPr>
          <w:b w:val="0"/>
          <w:sz w:val="20"/>
        </w:rPr>
        <w:t>DC enforcement model signed off as deployment-ready based on Validation 1 results</w:t>
      </w:r>
    </w:p>
    <w:p>
      <w:pPr>
        <w:pStyle w:val="ListBullet"/>
        <w:spacing w:after="60"/>
      </w:pPr>
      <w:r>
        <w:rPr>
          <w:b w:val="0"/>
          <w:sz w:val="20"/>
        </w:rPr>
        <w:t>Accounts for DC device profile — higher IoT/OT density, operational technology presence, different workstation population</w:t>
      </w:r>
    </w:p>
    <w:p>
      <w:pPr>
        <w:spacing w:after="120"/>
      </w:pPr>
      <w:r>
        <w:rPr>
          <w:b w:val="0"/>
          <w:i w:val="0"/>
          <w:sz w:val="20"/>
        </w:rPr>
      </w:r>
      <w:r>
        <w:rPr>
          <w:b/>
          <w:i w:val="0"/>
          <w:sz w:val="20"/>
        </w:rPr>
        <w:t>Validation 3 — Mail Order Pharmacy (POC)</w:t>
      </w:r>
      <w:r>
        <w:rPr>
          <w:b w:val="0"/>
          <w:i w:val="0"/>
          <w:sz w:val="20"/>
        </w:rPr>
      </w:r>
    </w:p>
    <w:p>
      <w:pPr>
        <w:pStyle w:val="ListBullet"/>
        <w:spacing w:after="60"/>
      </w:pPr>
      <w:r>
        <w:rPr>
          <w:b w:val="0"/>
          <w:sz w:val="20"/>
        </w:rPr>
        <w:t>Site TBD — agreement on POC location required</w:t>
      </w:r>
    </w:p>
    <w:p>
      <w:pPr>
        <w:pStyle w:val="ListBullet"/>
        <w:spacing w:after="60"/>
      </w:pPr>
      <w:r>
        <w:rPr>
          <w:b w:val="0"/>
          <w:sz w:val="20"/>
        </w:rPr>
        <w:t>Validates the Mail Order enforcement model — regulated pharmacy environment, distinct device mix and operational profile</w:t>
      </w:r>
    </w:p>
    <w:p>
      <w:pPr>
        <w:pStyle w:val="Heading3"/>
      </w:pPr>
      <w:r>
        <w:rPr>
          <w:color w:val="1F3864"/>
          <w:sz w:val="22"/>
        </w:rPr>
        <w:t>6.2 Site Scoping Decisions</w:t>
      </w:r>
    </w:p>
    <w:p>
      <w:pPr>
        <w:spacing w:after="120"/>
      </w:pPr>
      <w:r>
        <w:rPr>
          <w:b w:val="0"/>
          <w:i/>
          <w:sz w:val="18"/>
        </w:rPr>
        <w:t>Table 7. Site Scoping Decisions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
              <w:rPr>
                <w:b/>
                <w:color w:val="FFFFFF"/>
                <w:sz w:val="18"/>
              </w:rPr>
              <w:t>Decision</w:t>
            </w:r>
          </w:p>
        </w:tc>
        <w:tc>
          <w:tcPr>
            <w:tcW w:type="dxa" w:w="2880"/>
            <w:shd w:val="clear" w:color="auto" w:fill="1F3864"/>
          </w:tcPr>
          <w:p>
            <w:pPr>
              <w:jc w:val="center"/>
            </w:pPr>
            <w:r/>
            <w:r>
              <w:rPr>
                <w:b/>
                <w:color w:val="FFFFFF"/>
                <w:sz w:val="18"/>
              </w:rPr>
              <w:t>Scope</w:t>
            </w:r>
          </w:p>
        </w:tc>
        <w:tc>
          <w:tcPr>
            <w:tcW w:type="dxa" w:w="2880"/>
            <w:shd w:val="clear" w:color="auto" w:fill="1F3864"/>
          </w:tcPr>
          <w:p>
            <w:pPr>
              <w:jc w:val="center"/>
            </w:pPr>
            <w:r/>
            <w:r>
              <w:rPr>
                <w:b/>
                <w:color w:val="FFFFFF"/>
                <w:sz w:val="18"/>
              </w:rPr>
              <w:t>Rationale</w:t>
            </w:r>
          </w:p>
        </w:tc>
      </w:tr>
      <w:tr>
        <w:tc>
          <w:tcPr>
            <w:tcW w:type="dxa" w:w="2880"/>
          </w:tcPr>
          <w:p>
            <w:r/>
            <w:r>
              <w:rPr>
                <w:b w:val="0"/>
                <w:sz w:val="18"/>
              </w:rPr>
              <w:t>Aetna locations</w:t>
            </w:r>
          </w:p>
        </w:tc>
        <w:tc>
          <w:tcPr>
            <w:tcW w:type="dxa" w:w="2880"/>
          </w:tcPr>
          <w:p>
            <w:r/>
            <w:r>
              <w:rPr>
                <w:b w:val="0"/>
                <w:sz w:val="18"/>
              </w:rPr>
              <w:t>OUT OF SCOPE — all Aetna sites</w:t>
            </w:r>
          </w:p>
        </w:tc>
        <w:tc>
          <w:tcPr>
            <w:tcW w:type="dxa" w:w="2880"/>
          </w:tcPr>
          <w:p>
            <w:r/>
            <w:r>
              <w:rPr>
                <w:b w:val="0"/>
                <w:sz w:val="18"/>
              </w:rPr>
              <w:t>Aetna operates independent 802.1X wired and wireless NAC infrastructure. CVS Health NAC program is CVS-only.</w:t>
            </w:r>
          </w:p>
        </w:tc>
      </w:tr>
      <w:tr>
        <w:tc>
          <w:tcPr>
            <w:tcW w:type="dxa" w:w="2880"/>
            <w:shd w:val="clear" w:color="auto" w:fill="DCE6F1"/>
          </w:tcPr>
          <w:p>
            <w:r/>
            <w:r>
              <w:rPr>
                <w:b w:val="0"/>
                <w:sz w:val="18"/>
              </w:rPr>
              <w:t>Hartford CT (CT1501/1504/1507)</w:t>
            </w:r>
          </w:p>
        </w:tc>
        <w:tc>
          <w:tcPr>
            <w:tcW w:type="dxa" w:w="2880"/>
            <w:shd w:val="clear" w:color="auto" w:fill="DCE6F1"/>
          </w:tcPr>
          <w:p>
            <w:r/>
            <w:r>
              <w:rPr>
                <w:b w:val="0"/>
                <w:sz w:val="18"/>
              </w:rPr>
              <w:t>OUT OF SCOPE</w:t>
            </w:r>
          </w:p>
        </w:tc>
        <w:tc>
          <w:tcPr>
            <w:tcW w:type="dxa" w:w="2880"/>
            <w:shd w:val="clear" w:color="auto" w:fill="DCE6F1"/>
          </w:tcPr>
          <w:p>
            <w:r/>
            <w:r>
              <w:rPr>
                <w:b w:val="0"/>
                <w:sz w:val="18"/>
              </w:rPr>
              <w:t>Aetna corporate campus. Excluded per Aetna scoping decision.</w:t>
            </w:r>
          </w:p>
        </w:tc>
      </w:tr>
      <w:tr>
        <w:tc>
          <w:tcPr>
            <w:tcW w:type="dxa" w:w="2880"/>
          </w:tcPr>
          <w:p>
            <w:r/>
            <w:r>
              <w:rPr>
                <w:b w:val="0"/>
                <w:sz w:val="18"/>
              </w:rPr>
              <w:t>Franklin TN (TN3004)</w:t>
            </w:r>
          </w:p>
        </w:tc>
        <w:tc>
          <w:tcPr>
            <w:tcW w:type="dxa" w:w="2880"/>
          </w:tcPr>
          <w:p>
            <w:r/>
            <w:r>
              <w:rPr>
                <w:b w:val="0"/>
                <w:sz w:val="18"/>
              </w:rPr>
              <w:t>OUT OF SCOPE</w:t>
            </w:r>
          </w:p>
        </w:tc>
        <w:tc>
          <w:tcPr>
            <w:tcW w:type="dxa" w:w="2880"/>
          </w:tcPr>
          <w:p>
            <w:r/>
            <w:r>
              <w:rPr>
                <w:b w:val="0"/>
                <w:sz w:val="18"/>
              </w:rPr>
              <w:t>89% Aetna BU population. Excluded per Aetna scoping decision.</w:t>
            </w:r>
          </w:p>
        </w:tc>
      </w:tr>
      <w:tr>
        <w:tc>
          <w:tcPr>
            <w:tcW w:type="dxa" w:w="2880"/>
            <w:shd w:val="clear" w:color="auto" w:fill="DCE6F1"/>
          </w:tcPr>
          <w:p>
            <w:r/>
            <w:r>
              <w:rPr>
                <w:b w:val="0"/>
                <w:sz w:val="18"/>
              </w:rPr>
              <w:t>Mixed sites with Aetna BU staff</w:t>
            </w:r>
          </w:p>
        </w:tc>
        <w:tc>
          <w:tcPr>
            <w:tcW w:type="dxa" w:w="2880"/>
            <w:shd w:val="clear" w:color="auto" w:fill="DCE6F1"/>
          </w:tcPr>
          <w:p>
            <w:r/>
            <w:r>
              <w:rPr>
                <w:b w:val="0"/>
                <w:sz w:val="18"/>
              </w:rPr>
              <w:t>IN SCOPE — CVS staff only</w:t>
            </w:r>
          </w:p>
        </w:tc>
        <w:tc>
          <w:tcPr>
            <w:tcW w:type="dxa" w:w="2880"/>
            <w:shd w:val="clear" w:color="auto" w:fill="DCE6F1"/>
          </w:tcPr>
          <w:p>
            <w:r/>
            <w:r>
              <w:rPr>
                <w:b w:val="0"/>
                <w:sz w:val="18"/>
              </w:rPr>
              <w:t>Sites with mixed CVS/Aetna population included. Aetna BU headcount excluded from scope counts.</w:t>
            </w:r>
          </w:p>
        </w:tc>
      </w:tr>
      <w:tr>
        <w:tc>
          <w:tcPr>
            <w:tcW w:type="dxa" w:w="2880"/>
          </w:tcPr>
          <w:p>
            <w:r/>
            <w:r>
              <w:rPr>
                <w:b w:val="0"/>
                <w:sz w:val="18"/>
              </w:rPr>
              <w:t>Omnicare</w:t>
            </w:r>
          </w:p>
        </w:tc>
        <w:tc>
          <w:tcPr>
            <w:tcW w:type="dxa" w:w="2880"/>
          </w:tcPr>
          <w:p>
            <w:r/>
            <w:r>
              <w:rPr>
                <w:b w:val="0"/>
                <w:sz w:val="18"/>
              </w:rPr>
              <w:t>OUT OF SCOPE</w:t>
            </w:r>
          </w:p>
        </w:tc>
        <w:tc>
          <w:tcPr>
            <w:tcW w:type="dxa" w:w="2880"/>
          </w:tcPr>
          <w:p>
            <w:r/>
            <w:r>
              <w:rPr>
                <w:b w:val="0"/>
                <w:sz w:val="18"/>
              </w:rPr>
              <w:t>Excluded per program decision.</w:t>
            </w:r>
          </w:p>
        </w:tc>
      </w:tr>
      <w:tr>
        <w:tc>
          <w:tcPr>
            <w:tcW w:type="dxa" w:w="2880"/>
            <w:shd w:val="clear" w:color="auto" w:fill="DCE6F1"/>
          </w:tcPr>
          <w:p>
            <w:r/>
            <w:r>
              <w:rPr>
                <w:b w:val="0"/>
                <w:sz w:val="18"/>
              </w:rPr>
              <w:t>CarePlus</w:t>
            </w:r>
          </w:p>
        </w:tc>
        <w:tc>
          <w:tcPr>
            <w:tcW w:type="dxa" w:w="2880"/>
            <w:shd w:val="clear" w:color="auto" w:fill="DCE6F1"/>
          </w:tcPr>
          <w:p>
            <w:r/>
            <w:r>
              <w:rPr>
                <w:b w:val="0"/>
                <w:sz w:val="18"/>
              </w:rPr>
              <w:t>OUT OF SCOPE</w:t>
            </w:r>
          </w:p>
        </w:tc>
        <w:tc>
          <w:tcPr>
            <w:tcW w:type="dxa" w:w="2880"/>
            <w:shd w:val="clear" w:color="auto" w:fill="DCE6F1"/>
          </w:tcPr>
          <w:p>
            <w:r/>
            <w:r>
              <w:rPr>
                <w:b w:val="0"/>
                <w:sz w:val="18"/>
              </w:rPr>
              <w:t>Excluded per program decision.</w:t>
            </w:r>
          </w:p>
        </w:tc>
      </w:tr>
      <w:tr>
        <w:tc>
          <w:tcPr>
            <w:tcW w:type="dxa" w:w="2880"/>
          </w:tcPr>
          <w:p>
            <w:r/>
            <w:r>
              <w:rPr>
                <w:b w:val="0"/>
                <w:sz w:val="18"/>
              </w:rPr>
              <w:t>Call Centers — IoT enforcement</w:t>
            </w:r>
          </w:p>
        </w:tc>
        <w:tc>
          <w:tcPr>
            <w:tcW w:type="dxa" w:w="2880"/>
          </w:tcPr>
          <w:p>
            <w:r/>
            <w:r>
              <w:rPr>
                <w:b w:val="0"/>
                <w:sz w:val="18"/>
              </w:rPr>
              <w:t>OUT OF SCOPE (Phase 1)</w:t>
            </w:r>
          </w:p>
        </w:tc>
        <w:tc>
          <w:tcPr>
            <w:tcW w:type="dxa" w:w="2880"/>
          </w:tcPr>
          <w:p>
            <w:r/>
            <w:r>
              <w:rPr>
                <w:b w:val="0"/>
                <w:sz w:val="18"/>
              </w:rPr>
              <w:t>Call centers in scope for end-user workstation NAC. IoT/OT enforcement out of scope for Phase 1.</w:t>
            </w:r>
          </w:p>
        </w:tc>
      </w:tr>
      <w:tr>
        <w:tc>
          <w:tcPr>
            <w:tcW w:type="dxa" w:w="2880"/>
            <w:shd w:val="clear" w:color="auto" w:fill="DCE6F1"/>
          </w:tcPr>
          <w:p>
            <w:r/>
            <w:r>
              <w:rPr>
                <w:b w:val="0"/>
                <w:sz w:val="18"/>
              </w:rPr>
              <w:t>Coram sites</w:t>
            </w:r>
          </w:p>
        </w:tc>
        <w:tc>
          <w:tcPr>
            <w:tcW w:type="dxa" w:w="2880"/>
            <w:shd w:val="clear" w:color="auto" w:fill="DCE6F1"/>
          </w:tcPr>
          <w:p>
            <w:r/>
            <w:r>
              <w:rPr>
                <w:b w:val="0"/>
                <w:sz w:val="18"/>
              </w:rPr>
              <w:t>PENDING DECISION</w:t>
            </w:r>
          </w:p>
        </w:tc>
        <w:tc>
          <w:tcPr>
            <w:tcW w:type="dxa" w:w="2880"/>
            <w:shd w:val="clear" w:color="auto" w:fill="DCE6F1"/>
          </w:tcPr>
          <w:p>
            <w:r/>
            <w:r>
              <w:rPr>
                <w:b w:val="0"/>
                <w:sz w:val="18"/>
              </w:rPr>
              <w:t>Coram infusion sites not currently in NAC list. Scoping decision required.</w:t>
            </w:r>
          </w:p>
        </w:tc>
      </w:tr>
      <w:tr>
        <w:tc>
          <w:tcPr>
            <w:tcW w:type="dxa" w:w="2880"/>
          </w:tcPr>
          <w:p>
            <w:r/>
            <w:r>
              <w:rPr>
                <w:b w:val="0"/>
                <w:sz w:val="18"/>
              </w:rPr>
              <w:t>Caremark gaps (Memphis TN, Columbia MD, Carolina PR)</w:t>
            </w:r>
          </w:p>
        </w:tc>
        <w:tc>
          <w:tcPr>
            <w:tcW w:type="dxa" w:w="2880"/>
          </w:tcPr>
          <w:p>
            <w:r/>
            <w:r>
              <w:rPr>
                <w:b w:val="0"/>
                <w:sz w:val="18"/>
              </w:rPr>
              <w:t>PENDING DECISION</w:t>
            </w:r>
          </w:p>
        </w:tc>
        <w:tc>
          <w:tcPr>
            <w:tcW w:type="dxa" w:w="2880"/>
          </w:tcPr>
          <w:p>
            <w:r/>
            <w:r>
              <w:rPr>
                <w:b w:val="0"/>
                <w:sz w:val="18"/>
              </w:rPr>
              <w:t>Present on Caremark Specialty Ops map; not in NAC list. Scoping decision required.</w:t>
            </w:r>
          </w:p>
        </w:tc>
      </w:tr>
    </w:tbl>
    <w:p/>
    <w:p>
      <w:pPr>
        <w:pStyle w:val="Heading3"/>
      </w:pPr>
      <w:r>
        <w:rPr>
          <w:color w:val="1F3864"/>
          <w:sz w:val="22"/>
        </w:rPr>
        <w:t>6.3 Per-Site Deployment Sequence</w:t>
      </w:r>
    </w:p>
    <w:p>
      <w:pPr>
        <w:spacing w:after="120"/>
      </w:pPr>
      <w:r>
        <w:rPr>
          <w:b w:val="0"/>
          <w:i w:val="0"/>
          <w:sz w:val="20"/>
        </w:rPr>
        <w:t>Every site follows the same four-gate deployment sequence. Forescout enforcement activation is the final gate and cannot precede the preceding steps.</w:t>
      </w:r>
    </w:p>
    <w:p>
      <w:pPr>
        <w:pStyle w:val="ListBullet"/>
        <w:spacing w:after="60"/>
      </w:pPr>
      <w:r>
        <w:rPr>
          <w:b w:val="0"/>
          <w:sz w:val="20"/>
        </w:rPr>
      </w:r>
      <w:r>
        <w:rPr>
          <w:b/>
          <w:sz w:val="20"/>
        </w:rPr>
        <w:t>Gate 1 — Claroty Edge Deployment:</w:t>
      </w:r>
      <w:r>
        <w:rPr>
          <w:b w:val="0"/>
          <w:sz w:val="20"/>
        </w:rPr>
        <w:t xml:space="preserve"> Software agent deployed on existing Windows host. No network changes required. Full IoT/OT asset inventory produced within 24–48 hours. First action at every site.</w:t>
      </w:r>
    </w:p>
    <w:p>
      <w:pPr>
        <w:pStyle w:val="ListBullet"/>
        <w:spacing w:after="60"/>
      </w:pPr>
      <w:r>
        <w:rPr>
          <w:b w:val="0"/>
          <w:sz w:val="20"/>
        </w:rPr>
      </w:r>
      <w:r>
        <w:rPr>
          <w:b/>
          <w:sz w:val="20"/>
        </w:rPr>
        <w:t>Gate 2 — Forescout Sensor Staging:</w:t>
      </w:r>
      <w:r>
        <w:rPr>
          <w:b w:val="0"/>
          <w:sz w:val="20"/>
        </w:rPr>
        <w:t xml:space="preserve"> Sensor deployed and integrated with site DHCP. Connected to RADIUS infrastructure. Monitor-only mode — no enforcement active. Switch port MAB configuration applied.</w:t>
      </w:r>
    </w:p>
    <w:p>
      <w:pPr>
        <w:pStyle w:val="ListBullet"/>
        <w:spacing w:after="60"/>
      </w:pPr>
      <w:r>
        <w:rPr>
          <w:b w:val="0"/>
          <w:sz w:val="20"/>
        </w:rPr>
      </w:r>
      <w:r>
        <w:rPr>
          <w:b/>
          <w:sz w:val="20"/>
        </w:rPr>
        <w:t>Gate 3 — Policy Baseline:</w:t>
      </w:r>
      <w:r>
        <w:rPr>
          <w:b w:val="0"/>
          <w:sz w:val="20"/>
        </w:rPr>
        <w:t xml:space="preserve"> Claroty device classifications feed Forescout MAB policy. 30–60 day monitor-only period. Unknown MACs resolved. Device classification exceptions documented and approved. Eight-point check policy validated against site endpoint population.</w:t>
      </w:r>
    </w:p>
    <w:p>
      <w:pPr>
        <w:pStyle w:val="ListBullet"/>
        <w:spacing w:after="60"/>
      </w:pPr>
      <w:r>
        <w:rPr>
          <w:b w:val="0"/>
          <w:sz w:val="20"/>
        </w:rPr>
      </w:r>
      <w:r>
        <w:rPr>
          <w:b/>
          <w:sz w:val="20"/>
        </w:rPr>
        <w:t>Gate 4 — Enforcement Activation:</w:t>
      </w:r>
      <w:r>
        <w:rPr>
          <w:b w:val="0"/>
          <w:sz w:val="20"/>
        </w:rPr>
        <w:t xml:space="preserve"> RADIUS MAB enforcement goes live. CoA enabled. L3 dynamic ACL pushed to switches. P95 CoA latency validated at 15 seconds or below.</w:t>
      </w:r>
    </w:p>
    <w:p>
      <w:pPr>
        <w:pStyle w:val="Heading3"/>
      </w:pPr>
      <w:r>
        <w:rPr>
          <w:color w:val="1F3864"/>
          <w:sz w:val="22"/>
        </w:rPr>
        <w:t>6.4 Phase 1 — Core Corporate and Back-Office Sites (Months 1–9)</w:t>
      </w:r>
    </w:p>
    <w:p>
      <w:pPr>
        <w:spacing w:after="120"/>
      </w:pPr>
      <w:r>
        <w:rPr>
          <w:b w:val="0"/>
          <w:i w:val="0"/>
          <w:sz w:val="20"/>
        </w:rPr>
        <w:t>Phase 1 targets end-user workstation NAC enforcement across core corporate administration and back-office locations. IoT/OT monitoring and collection begins at Phase 1 sites in parallel (Stage 1 of the IoT maturation roadmap) but no IoT enforcement is activated during this phase. 41 NAC list entries across approximately 28 distinct campus clusters.</w:t>
      </w:r>
    </w:p>
    <w:p>
      <w:pPr>
        <w:spacing w:after="120"/>
      </w:pPr>
      <w:r>
        <w:rPr>
          <w:b w:val="0"/>
          <w:i w:val="0"/>
          <w:sz w:val="20"/>
        </w:rPr>
      </w:r>
      <w:r>
        <w:rPr>
          <w:b/>
          <w:i w:val="0"/>
          <w:sz w:val="20"/>
        </w:rPr>
        <w:t>Business Functions in Scope — Phase 1:</w:t>
      </w:r>
      <w:r>
        <w:rPr>
          <w:b w:val="0"/>
          <w:i w:val="0"/>
          <w:sz w:val="20"/>
        </w:rPr>
      </w:r>
    </w:p>
    <w:p>
      <w:pPr>
        <w:pStyle w:val="ListBullet"/>
        <w:spacing w:after="60"/>
      </w:pPr>
      <w:r>
        <w:rPr>
          <w:b w:val="0"/>
          <w:sz w:val="20"/>
        </w:rPr>
        <w:t>Corporate Administration</w:t>
      </w:r>
    </w:p>
    <w:p>
      <w:pPr>
        <w:pStyle w:val="ListBullet"/>
        <w:spacing w:after="60"/>
      </w:pPr>
      <w:r>
        <w:rPr>
          <w:b w:val="0"/>
          <w:sz w:val="20"/>
        </w:rPr>
        <w:t>Sales &amp; Back-Office</w:t>
      </w:r>
    </w:p>
    <w:p>
      <w:pPr>
        <w:pStyle w:val="ListBullet"/>
        <w:spacing w:after="60"/>
      </w:pPr>
      <w:r>
        <w:rPr>
          <w:b w:val="0"/>
          <w:sz w:val="20"/>
        </w:rPr>
        <w:t>Call Centers</w:t>
      </w:r>
    </w:p>
    <w:p>
      <w:pPr>
        <w:pStyle w:val="Heading3"/>
      </w:pPr>
      <w:r>
        <w:rPr>
          <w:color w:val="1F3864"/>
          <w:sz w:val="22"/>
        </w:rPr>
        <w:t>6.5 Phase 2 — Specialty Expansion (Months 10–24)</w:t>
      </w:r>
    </w:p>
    <w:p>
      <w:pPr>
        <w:spacing w:after="120"/>
      </w:pPr>
      <w:r>
        <w:rPr>
          <w:b w:val="0"/>
          <w:i w:val="0"/>
          <w:sz w:val="20"/>
        </w:rPr>
        <w:t>Phase 2 extends NAC enforcement to Distribution Centers, Specialty Pharmacy, Mail Order Pharmacy, and Mixed Use locations. IoT/OT Stage 2 enforcement (low-risk device classes) begins during this phase, contingent on Stage 1 Claroty inventory completion at each site. 52 NAC list entries. 16 Distribution Center sites have no existing CSNA network map presence — Claroty Edge deployment is the mandatory first action at all 16 of these sites.</w:t>
      </w:r>
    </w:p>
    <w:p>
      <w:pPr>
        <w:spacing w:after="120"/>
      </w:pPr>
      <w:r>
        <w:rPr>
          <w:b w:val="0"/>
          <w:i w:val="0"/>
          <w:sz w:val="20"/>
        </w:rPr>
      </w:r>
      <w:r>
        <w:rPr>
          <w:b/>
          <w:i w:val="0"/>
          <w:sz w:val="20"/>
        </w:rPr>
        <w:t>Business Functions in Scope — Phase 2:</w:t>
      </w:r>
      <w:r>
        <w:rPr>
          <w:b w:val="0"/>
          <w:i w:val="0"/>
          <w:sz w:val="20"/>
        </w:rPr>
      </w:r>
    </w:p>
    <w:p>
      <w:pPr>
        <w:pStyle w:val="ListBullet"/>
        <w:spacing w:after="60"/>
      </w:pPr>
      <w:r>
        <w:rPr>
          <w:b w:val="0"/>
          <w:sz w:val="20"/>
        </w:rPr>
        <w:t>Distribution Centers</w:t>
      </w:r>
    </w:p>
    <w:p>
      <w:pPr>
        <w:pStyle w:val="ListBullet"/>
        <w:spacing w:after="60"/>
      </w:pPr>
      <w:r>
        <w:rPr>
          <w:b w:val="0"/>
          <w:sz w:val="20"/>
        </w:rPr>
        <w:t>Specialty Pharmacy</w:t>
      </w:r>
    </w:p>
    <w:p>
      <w:pPr>
        <w:pStyle w:val="ListBullet"/>
        <w:spacing w:after="60"/>
      </w:pPr>
      <w:r>
        <w:rPr>
          <w:b w:val="0"/>
          <w:sz w:val="20"/>
        </w:rPr>
        <w:t>Mail Order Pharmacy</w:t>
      </w:r>
    </w:p>
    <w:p>
      <w:pPr>
        <w:pStyle w:val="Heading3"/>
      </w:pPr>
      <w:r>
        <w:rPr>
          <w:color w:val="1F3864"/>
          <w:sz w:val="22"/>
        </w:rPr>
        <w:t>6.6 Looking Ahead</w:t>
      </w:r>
    </w:p>
    <w:p>
      <w:pPr>
        <w:spacing w:after="120"/>
      </w:pPr>
      <w:r>
        <w:rPr>
          <w:b w:val="0"/>
          <w:i w:val="0"/>
          <w:sz w:val="20"/>
        </w:rPr>
        <w:t>Upon the successful completion of this NAC transformation program, the team will return to leadership with a proposal for expanding the program to the remainder of the CVS Health enterprise — including business units and environments not covered under the current phase portfolio.</w:t>
      </w:r>
    </w:p>
    <w:p>
      <w:pPr>
        <w:pBdr>
          <w:bottom w:val="single" w:sz="6" w:space="1" w:color="1F3864"/>
        </w:pBdr>
        <w:spacing w:after="80"/>
      </w:pPr>
    </w:p>
    <w:p>
      <w:pPr>
        <w:pStyle w:val="Heading2"/>
      </w:pPr>
      <w:r>
        <w:rPr>
          <w:color w:val="1F3864"/>
          <w:sz w:val="26"/>
        </w:rPr>
        <w:t>7. Implementation Workstreams</w:t>
      </w:r>
    </w:p>
    <w:p>
      <w:pPr>
        <w:spacing w:after="120"/>
      </w:pPr>
      <w:r>
        <w:rPr>
          <w:b w:val="0"/>
          <w:i w:val="0"/>
          <w:sz w:val="20"/>
        </w:rPr>
        <w:t>Six parallel workstreams govern the program implementation. Workstream 1 gates everything. RADIUS MAB (Workstream 2) gates Workstreams 4 and 5. The eight-point check policy (Workstream 6) is the final gate before enforcement activation at any site. Claroty Edge deployment runs as an independent parallel workstream with no dependency on the Forescout refresh or RADIUS infrastructure.</w:t>
      </w:r>
    </w:p>
    <w:p>
      <w:pPr>
        <w:spacing w:after="120"/>
      </w:pPr>
      <w:r>
        <w:rPr>
          <w:b w:val="0"/>
          <w:i/>
          <w:sz w:val="18"/>
        </w:rPr>
        <w:t>Table 8. Implementation Workstream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
              <w:rPr>
                <w:b/>
                <w:color w:val="FFFFFF"/>
                <w:sz w:val="18"/>
              </w:rPr>
              <w:t>#</w:t>
            </w:r>
          </w:p>
        </w:tc>
        <w:tc>
          <w:tcPr>
            <w:tcW w:type="dxa" w:w="2160"/>
            <w:shd w:val="clear" w:color="auto" w:fill="1F3864"/>
          </w:tcPr>
          <w:p>
            <w:pPr>
              <w:jc w:val="center"/>
            </w:pPr>
            <w:r/>
            <w:r>
              <w:rPr>
                <w:b/>
                <w:color w:val="FFFFFF"/>
                <w:sz w:val="18"/>
              </w:rPr>
              <w:t>Workstream</w:t>
            </w:r>
          </w:p>
        </w:tc>
        <w:tc>
          <w:tcPr>
            <w:tcW w:type="dxa" w:w="2160"/>
            <w:shd w:val="clear" w:color="auto" w:fill="1F3864"/>
          </w:tcPr>
          <w:p>
            <w:pPr>
              <w:jc w:val="center"/>
            </w:pPr>
            <w:r/>
            <w:r>
              <w:rPr>
                <w:b/>
                <w:color w:val="FFFFFF"/>
                <w:sz w:val="18"/>
              </w:rPr>
              <w:t>Description</w:t>
            </w:r>
          </w:p>
        </w:tc>
        <w:tc>
          <w:tcPr>
            <w:tcW w:type="dxa" w:w="2160"/>
            <w:shd w:val="clear" w:color="auto" w:fill="1F3864"/>
          </w:tcPr>
          <w:p>
            <w:pPr>
              <w:jc w:val="center"/>
            </w:pPr>
            <w:r/>
            <w:r>
              <w:rPr>
                <w:b/>
                <w:color w:val="FFFFFF"/>
                <w:sz w:val="18"/>
              </w:rPr>
              <w:t>Gates</w:t>
            </w:r>
          </w:p>
        </w:tc>
      </w:tr>
      <w:tr>
        <w:tc>
          <w:tcPr>
            <w:tcW w:type="dxa" w:w="2160"/>
          </w:tcPr>
          <w:p>
            <w:r/>
            <w:r>
              <w:rPr>
                <w:b w:val="0"/>
                <w:sz w:val="18"/>
              </w:rPr>
              <w:t>1</w:t>
            </w:r>
          </w:p>
        </w:tc>
        <w:tc>
          <w:tcPr>
            <w:tcW w:type="dxa" w:w="2160"/>
          </w:tcPr>
          <w:p>
            <w:r/>
            <w:r>
              <w:rPr>
                <w:b w:val="0"/>
                <w:sz w:val="18"/>
              </w:rPr>
              <w:t>Forescout Infrastructure Refresh</w:t>
            </w:r>
          </w:p>
        </w:tc>
        <w:tc>
          <w:tcPr>
            <w:tcW w:type="dxa" w:w="2160"/>
          </w:tcPr>
          <w:p>
            <w:r/>
            <w:r>
              <w:rPr>
                <w:b w:val="0"/>
                <w:sz w:val="18"/>
              </w:rPr>
              <w:t>Replace all EOL/EOS Forescout appliances before any enforcement work proceeds. Inventory, procure, stage, and validate.</w:t>
            </w:r>
          </w:p>
        </w:tc>
        <w:tc>
          <w:tcPr>
            <w:tcW w:type="dxa" w:w="2160"/>
          </w:tcPr>
          <w:p>
            <w:r/>
            <w:r>
              <w:rPr>
                <w:b w:val="0"/>
                <w:sz w:val="18"/>
              </w:rPr>
              <w:t>All workstreams</w:t>
            </w:r>
          </w:p>
        </w:tc>
      </w:tr>
      <w:tr>
        <w:tc>
          <w:tcPr>
            <w:tcW w:type="dxa" w:w="2160"/>
            <w:shd w:val="clear" w:color="auto" w:fill="DCE6F1"/>
          </w:tcPr>
          <w:p>
            <w:r/>
            <w:r>
              <w:rPr>
                <w:b w:val="0"/>
                <w:sz w:val="18"/>
              </w:rPr>
              <w:t>2</w:t>
            </w:r>
          </w:p>
        </w:tc>
        <w:tc>
          <w:tcPr>
            <w:tcW w:type="dxa" w:w="2160"/>
            <w:shd w:val="clear" w:color="auto" w:fill="DCE6F1"/>
          </w:tcPr>
          <w:p>
            <w:r/>
            <w:r>
              <w:rPr>
                <w:b w:val="0"/>
                <w:sz w:val="18"/>
              </w:rPr>
              <w:t>RADIUS MAB Implementation</w:t>
            </w:r>
          </w:p>
        </w:tc>
        <w:tc>
          <w:tcPr>
            <w:tcW w:type="dxa" w:w="2160"/>
            <w:shd w:val="clear" w:color="auto" w:fill="DCE6F1"/>
          </w:tcPr>
          <w:p>
            <w:r/>
            <w:r>
              <w:rPr>
                <w:b w:val="0"/>
                <w:sz w:val="18"/>
              </w:rPr>
              <w:t>Deploy RADIUS infrastructure in HA per region. Define MAB authorization policies. Build Tier 2 L3 ACL permit list. Validate CoA flows end-to-end.</w:t>
            </w:r>
          </w:p>
        </w:tc>
        <w:tc>
          <w:tcPr>
            <w:tcW w:type="dxa" w:w="2160"/>
            <w:shd w:val="clear" w:color="auto" w:fill="DCE6F1"/>
          </w:tcPr>
          <w:p>
            <w:r/>
            <w:r>
              <w:rPr>
                <w:b w:val="0"/>
                <w:sz w:val="18"/>
              </w:rPr>
              <w:t>Workstreams 4, 5</w:t>
            </w:r>
          </w:p>
        </w:tc>
      </w:tr>
      <w:tr>
        <w:tc>
          <w:tcPr>
            <w:tcW w:type="dxa" w:w="2160"/>
          </w:tcPr>
          <w:p>
            <w:r/>
            <w:r>
              <w:rPr>
                <w:b w:val="0"/>
                <w:sz w:val="18"/>
              </w:rPr>
              <w:t>3</w:t>
            </w:r>
          </w:p>
        </w:tc>
        <w:tc>
          <w:tcPr>
            <w:tcW w:type="dxa" w:w="2160"/>
          </w:tcPr>
          <w:p>
            <w:r/>
            <w:r>
              <w:rPr>
                <w:b w:val="0"/>
                <w:sz w:val="18"/>
              </w:rPr>
              <w:t>Endpoint Services API Integration</w:t>
            </w:r>
          </w:p>
        </w:tc>
        <w:tc>
          <w:tcPr>
            <w:tcW w:type="dxa" w:w="2160"/>
          </w:tcPr>
          <w:p>
            <w:r/>
            <w:r>
              <w:rPr>
                <w:b w:val="0"/>
                <w:sz w:val="18"/>
              </w:rPr>
              <w:t>Connect Forescout to Intune, Jamf, CrowdStrike, Qualys, Tanium, SCCM, and Azure AD via API. Validate all posture data feeds.</w:t>
            </w:r>
          </w:p>
        </w:tc>
        <w:tc>
          <w:tcPr>
            <w:tcW w:type="dxa" w:w="2160"/>
          </w:tcPr>
          <w:p>
            <w:r/>
            <w:r>
              <w:rPr>
                <w:b w:val="0"/>
                <w:sz w:val="18"/>
              </w:rPr>
              <w:t>Workstream 6</w:t>
            </w:r>
          </w:p>
        </w:tc>
      </w:tr>
      <w:tr>
        <w:tc>
          <w:tcPr>
            <w:tcW w:type="dxa" w:w="2160"/>
            <w:shd w:val="clear" w:color="auto" w:fill="DCE6F1"/>
          </w:tcPr>
          <w:p>
            <w:r/>
            <w:r>
              <w:rPr>
                <w:b w:val="0"/>
                <w:sz w:val="18"/>
              </w:rPr>
              <w:t>4</w:t>
            </w:r>
          </w:p>
        </w:tc>
        <w:tc>
          <w:tcPr>
            <w:tcW w:type="dxa" w:w="2160"/>
            <w:shd w:val="clear" w:color="auto" w:fill="DCE6F1"/>
          </w:tcPr>
          <w:p>
            <w:r/>
            <w:r>
              <w:rPr>
                <w:b w:val="0"/>
                <w:sz w:val="18"/>
              </w:rPr>
              <w:t>Site Switching Infrastructure Integration</w:t>
            </w:r>
          </w:p>
        </w:tc>
        <w:tc>
          <w:tcPr>
            <w:tcW w:type="dxa" w:w="2160"/>
            <w:shd w:val="clear" w:color="auto" w:fill="DCE6F1"/>
          </w:tcPr>
          <w:p>
            <w:r/>
            <w:r>
              <w:rPr>
                <w:b w:val="0"/>
                <w:sz w:val="18"/>
              </w:rPr>
              <w:t>Configure MAB on access layer switches at each Phase 1 site. Integrate site DHCP. Validate switch ACL capability per site. Validate L3 ACL push mechanism end-to-end.</w:t>
            </w:r>
          </w:p>
        </w:tc>
        <w:tc>
          <w:tcPr>
            <w:tcW w:type="dxa" w:w="2160"/>
            <w:shd w:val="clear" w:color="auto" w:fill="DCE6F1"/>
          </w:tcPr>
          <w:p>
            <w:r/>
            <w:r>
              <w:rPr>
                <w:b w:val="0"/>
                <w:sz w:val="18"/>
              </w:rPr>
              <w:t>Enforcement activation</w:t>
            </w:r>
          </w:p>
        </w:tc>
      </w:tr>
      <w:tr>
        <w:tc>
          <w:tcPr>
            <w:tcW w:type="dxa" w:w="2160"/>
          </w:tcPr>
          <w:p>
            <w:r/>
            <w:r>
              <w:rPr>
                <w:b w:val="0"/>
                <w:sz w:val="18"/>
              </w:rPr>
              <w:t>5</w:t>
            </w:r>
          </w:p>
        </w:tc>
        <w:tc>
          <w:tcPr>
            <w:tcW w:type="dxa" w:w="2160"/>
          </w:tcPr>
          <w:p>
            <w:r/>
            <w:r>
              <w:rPr>
                <w:b w:val="0"/>
                <w:sz w:val="18"/>
              </w:rPr>
              <w:t>Forescout Policy Scope Rebuild</w:t>
            </w:r>
          </w:p>
        </w:tc>
        <w:tc>
          <w:tcPr>
            <w:tcW w:type="dxa" w:w="2160"/>
          </w:tcPr>
          <w:p>
            <w:r/>
            <w:r>
              <w:rPr>
                <w:b w:val="0"/>
                <w:sz w:val="18"/>
              </w:rPr>
              <w:t>Rebuild enforcement scope from scratch on refreshed infrastructure. Do not migrate from EOL configuration. Map Claroty classifications into Forescout policy.</w:t>
            </w:r>
          </w:p>
        </w:tc>
        <w:tc>
          <w:tcPr>
            <w:tcW w:type="dxa" w:w="2160"/>
          </w:tcPr>
          <w:p>
            <w:r/>
            <w:r>
              <w:rPr>
                <w:b w:val="0"/>
                <w:sz w:val="18"/>
              </w:rPr>
              <w:t>Enforcement activation</w:t>
            </w:r>
          </w:p>
        </w:tc>
      </w:tr>
      <w:tr>
        <w:tc>
          <w:tcPr>
            <w:tcW w:type="dxa" w:w="2160"/>
            <w:shd w:val="clear" w:color="auto" w:fill="DCE6F1"/>
          </w:tcPr>
          <w:p>
            <w:r/>
            <w:r>
              <w:rPr>
                <w:b w:val="0"/>
                <w:sz w:val="18"/>
              </w:rPr>
              <w:t>6</w:t>
            </w:r>
          </w:p>
        </w:tc>
        <w:tc>
          <w:tcPr>
            <w:tcW w:type="dxa" w:w="2160"/>
            <w:shd w:val="clear" w:color="auto" w:fill="DCE6F1"/>
          </w:tcPr>
          <w:p>
            <w:r/>
            <w:r>
              <w:rPr>
                <w:b w:val="0"/>
                <w:sz w:val="18"/>
              </w:rPr>
              <w:t>Eight-Point Check Policy Build &amp; Validation</w:t>
            </w:r>
          </w:p>
        </w:tc>
        <w:tc>
          <w:tcPr>
            <w:tcW w:type="dxa" w:w="2160"/>
            <w:shd w:val="clear" w:color="auto" w:fill="DCE6F1"/>
          </w:tcPr>
          <w:p>
            <w:r/>
            <w:r>
              <w:rPr>
                <w:b w:val="0"/>
                <w:sz w:val="18"/>
              </w:rPr>
              <w:t>Build and validate the posture assessment policy. Define exception and escalation process. 30–60 day monitor-only baseline before enforcement activation at any site.</w:t>
            </w:r>
          </w:p>
        </w:tc>
        <w:tc>
          <w:tcPr>
            <w:tcW w:type="dxa" w:w="2160"/>
            <w:shd w:val="clear" w:color="auto" w:fill="DCE6F1"/>
          </w:tcPr>
          <w:p>
            <w:r/>
            <w:r>
              <w:rPr>
                <w:b w:val="0"/>
                <w:sz w:val="18"/>
              </w:rPr>
              <w:t>Enforcement activation</w:t>
            </w:r>
          </w:p>
        </w:tc>
      </w:tr>
    </w:tbl>
    <w:p/>
    <w:p>
      <w:pPr>
        <w:pBdr>
          <w:bottom w:val="single" w:sz="6" w:space="1" w:color="1F3864"/>
        </w:pBdr>
        <w:spacing w:after="80"/>
      </w:pPr>
    </w:p>
    <w:p>
      <w:pPr>
        <w:pStyle w:val="Heading2"/>
      </w:pPr>
      <w:r>
        <w:rPr>
          <w:color w:val="1F3864"/>
          <w:sz w:val="26"/>
        </w:rPr>
        <w:t>8. Forescout Refresh — Procurement Status</w:t>
      </w:r>
    </w:p>
    <w:p>
      <w:pPr>
        <w:spacing w:after="120"/>
      </w:pPr>
      <w:r>
        <w:rPr>
          <w:b w:val="0"/>
          <w:i w:val="0"/>
          <w:sz w:val="20"/>
        </w:rPr>
        <w:t xml:space="preserve">The hardware refresh — Workstream 1 and the gate for the entire program — experienced a </w:t>
      </w:r>
      <w:r>
        <w:rPr>
          <w:b/>
          <w:i w:val="0"/>
          <w:sz w:val="20"/>
        </w:rPr>
        <w:t>four-month procurement delay</w:t>
      </w:r>
      <w:r>
        <w:rPr>
          <w:b w:val="0"/>
          <w:i w:val="0"/>
          <w:sz w:val="20"/>
        </w:rPr>
        <w:t xml:space="preserve"> from three compounding factors:</w:t>
      </w:r>
    </w:p>
    <w:p>
      <w:pPr>
        <w:pStyle w:val="ListNumber"/>
        <w:spacing w:after="60"/>
      </w:pPr>
      <w:r>
        <w:rPr>
          <w:b w:val="0"/>
          <w:sz w:val="20"/>
        </w:rPr>
        <w:t xml:space="preserve">CVS and Forescout required an updated </w:t>
      </w:r>
      <w:r>
        <w:rPr>
          <w:b/>
          <w:sz w:val="20"/>
        </w:rPr>
        <w:t>Master Service Agreement</w:t>
      </w:r>
      <w:r>
        <w:rPr>
          <w:b w:val="0"/>
          <w:sz w:val="20"/>
        </w:rPr>
        <w:t xml:space="preserve"> before any new deal could be structured</w:t>
      </w:r>
    </w:p>
    <w:p>
      <w:pPr>
        <w:pStyle w:val="ListNumber"/>
        <w:spacing w:after="60"/>
      </w:pPr>
      <w:r>
        <w:rPr>
          <w:b w:val="0"/>
          <w:sz w:val="20"/>
        </w:rPr>
        <w:t xml:space="preserve">Procurement ran a </w:t>
      </w:r>
      <w:r>
        <w:rPr>
          <w:b/>
          <w:sz w:val="20"/>
        </w:rPr>
        <w:t>competitive bid with three vendors</w:t>
      </w:r>
      <w:r>
        <w:rPr>
          <w:b w:val="0"/>
          <w:sz w:val="20"/>
        </w:rPr>
        <w:t xml:space="preserve"> rather than a direct renewal — appropriate governance, but significant elapsed time</w:t>
      </w:r>
    </w:p>
    <w:p>
      <w:pPr>
        <w:pStyle w:val="ListNumber"/>
        <w:spacing w:after="60"/>
      </w:pPr>
      <w:r>
        <w:rPr>
          <w:b w:val="0"/>
          <w:sz w:val="20"/>
        </w:rPr>
        <w:t xml:space="preserve">A </w:t>
      </w:r>
      <w:r>
        <w:rPr>
          <w:b/>
          <w:sz w:val="20"/>
        </w:rPr>
        <w:t>new partner was selected</w:t>
      </w:r>
      <w:r>
        <w:rPr>
          <w:b w:val="0"/>
          <w:sz w:val="20"/>
        </w:rPr>
        <w:t xml:space="preserve">, requiring full pricing negotiation from scratch — </w:t>
      </w:r>
      <w:r>
        <w:rPr>
          <w:b/>
          <w:sz w:val="20"/>
        </w:rPr>
        <w:t>cost increases resulted</w:t>
      </w:r>
      <w:r>
        <w:rPr>
          <w:b w:val="0"/>
          <w:sz w:val="20"/>
        </w:rPr>
        <w:t xml:space="preserve"> relative to a direct renewal path</w:t>
      </w:r>
    </w:p>
    <w:p>
      <w:pPr>
        <w:spacing w:after="120"/>
      </w:pPr>
      <w:r>
        <w:rPr>
          <w:b/>
          <w:i w:val="0"/>
          <w:sz w:val="20"/>
        </w:rPr>
        <w:t xml:space="preserve">Current position: </w:t>
      </w:r>
      <w:r>
        <w:rPr>
          <w:b w:val="0"/>
          <w:i w:val="0"/>
          <w:sz w:val="20"/>
        </w:rPr>
        <w:t xml:space="preserve">MSA updated. Vendor selected. Pricing finalized. Contract ready to execute. Hardware installation completes </w:t>
      </w:r>
      <w:r>
        <w:rPr>
          <w:b/>
          <w:i w:val="0"/>
          <w:sz w:val="20"/>
        </w:rPr>
        <w:t>30–45 days post-signature</w:t>
      </w:r>
      <w:r>
        <w:rPr>
          <w:b w:val="0"/>
          <w:i w:val="0"/>
          <w:sz w:val="20"/>
        </w:rPr>
        <w:t xml:space="preserve"> — meeting the current scheduled EOL for the existing platform.</w:t>
      </w:r>
    </w:p>
    <w:p>
      <w:pPr>
        <w:spacing w:after="120"/>
      </w:pPr>
      <w:r>
        <w:rPr>
          <w:b/>
          <w:i w:val="0"/>
          <w:sz w:val="20"/>
        </w:rPr>
        <w:t xml:space="preserve">The risk: </w:t>
      </w:r>
      <w:r>
        <w:rPr>
          <w:b w:val="0"/>
          <w:i w:val="0"/>
          <w:sz w:val="20"/>
        </w:rPr>
        <w:t>Four months of program float has been consumed. The Validation 1 POC start date must be pressure-tested against the revised hardware delivery date immediately.</w:t>
      </w:r>
    </w:p>
    <w:p>
      <w:pPr>
        <w:pBdr>
          <w:bottom w:val="single" w:sz="6" w:space="1" w:color="1F3864"/>
        </w:pBdr>
        <w:spacing w:after="80"/>
      </w:pPr>
    </w:p>
    <w:p>
      <w:pPr>
        <w:pStyle w:val="Heading2"/>
      </w:pPr>
      <w:r>
        <w:rPr>
          <w:color w:val="1F3864"/>
          <w:sz w:val="26"/>
        </w:rPr>
        <w:t>9. Decisions Required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
              <w:rPr>
                <w:b/>
                <w:color w:val="FFFFFF"/>
                <w:sz w:val="18"/>
              </w:rPr>
              <w:t>Decision</w:t>
            </w:r>
          </w:p>
        </w:tc>
        <w:tc>
          <w:tcPr>
            <w:tcW w:type="dxa" w:w="2880"/>
            <w:shd w:val="clear" w:color="auto" w:fill="1F3864"/>
          </w:tcPr>
          <w:p>
            <w:pPr>
              <w:jc w:val="center"/>
            </w:pPr>
            <w:r/>
            <w:r>
              <w:rPr>
                <w:b/>
                <w:color w:val="FFFFFF"/>
                <w:sz w:val="18"/>
              </w:rPr>
              <w:t>Owner</w:t>
            </w:r>
          </w:p>
        </w:tc>
        <w:tc>
          <w:tcPr>
            <w:tcW w:type="dxa" w:w="2880"/>
            <w:shd w:val="clear" w:color="auto" w:fill="1F3864"/>
          </w:tcPr>
          <w:p>
            <w:pPr>
              <w:jc w:val="center"/>
            </w:pPr>
            <w:r/>
            <w:r>
              <w:rPr>
                <w:b/>
                <w:color w:val="FFFFFF"/>
                <w:sz w:val="18"/>
              </w:rPr>
              <w:t>Urgency</w:t>
            </w:r>
          </w:p>
        </w:tc>
      </w:tr>
      <w:tr>
        <w:tc>
          <w:tcPr>
            <w:tcW w:type="dxa" w:w="2880"/>
          </w:tcPr>
          <w:p>
            <w:r/>
            <w:r>
              <w:rPr>
                <w:b w:val="0"/>
                <w:sz w:val="18"/>
              </w:rPr>
              <w:t>Execute Forescout contract — sign and release hardware order</w:t>
            </w:r>
          </w:p>
        </w:tc>
        <w:tc>
          <w:tcPr>
            <w:tcW w:type="dxa" w:w="2880"/>
          </w:tcPr>
          <w:p>
            <w:r/>
            <w:r>
              <w:rPr>
                <w:b w:val="0"/>
                <w:sz w:val="18"/>
              </w:rPr>
              <w:t>Procurement / Leadership</w:t>
            </w:r>
          </w:p>
        </w:tc>
        <w:tc>
          <w:tcPr>
            <w:tcW w:type="dxa" w:w="2880"/>
          </w:tcPr>
          <w:p>
            <w:r/>
            <w:r>
              <w:rPr>
                <w:b w:val="0"/>
                <w:sz w:val="18"/>
              </w:rPr>
            </w:r>
            <w:r>
              <w:rPr>
                <w:b/>
                <w:sz w:val="18"/>
              </w:rPr>
              <w:t>Immediate</w:t>
            </w:r>
            <w:r>
              <w:rPr>
                <w:b w:val="0"/>
                <w:sz w:val="18"/>
              </w:rPr>
            </w:r>
          </w:p>
        </w:tc>
      </w:tr>
      <w:tr>
        <w:tc>
          <w:tcPr>
            <w:tcW w:type="dxa" w:w="2880"/>
            <w:shd w:val="clear" w:color="auto" w:fill="DCE6F1"/>
          </w:tcPr>
          <w:p>
            <w:r/>
            <w:r>
              <w:rPr>
                <w:b w:val="0"/>
                <w:sz w:val="18"/>
              </w:rPr>
              <w:t>Pressure-test Validation 1 POC start date against revised hardware delivery</w:t>
            </w:r>
          </w:p>
        </w:tc>
        <w:tc>
          <w:tcPr>
            <w:tcW w:type="dxa" w:w="2880"/>
            <w:shd w:val="clear" w:color="auto" w:fill="DCE6F1"/>
          </w:tcPr>
          <w:p>
            <w:r/>
            <w:r>
              <w:rPr>
                <w:b w:val="0"/>
                <w:sz w:val="18"/>
              </w:rPr>
              <w:t>Program / Security</w:t>
            </w:r>
          </w:p>
        </w:tc>
        <w:tc>
          <w:tcPr>
            <w:tcW w:type="dxa" w:w="2880"/>
            <w:shd w:val="clear" w:color="auto" w:fill="DCE6F1"/>
          </w:tcPr>
          <w:p>
            <w:r/>
            <w:r>
              <w:rPr>
                <w:b w:val="0"/>
                <w:sz w:val="18"/>
              </w:rPr>
              <w:t>This week</w:t>
            </w:r>
          </w:p>
        </w:tc>
      </w:tr>
      <w:tr>
        <w:tc>
          <w:tcPr>
            <w:tcW w:type="dxa" w:w="2880"/>
          </w:tcPr>
          <w:p>
            <w:r/>
            <w:r>
              <w:rPr>
                <w:b w:val="0"/>
                <w:sz w:val="18"/>
              </w:rPr>
              <w:t>Agreement on POC locations — Corporate, Distribution Center, and Mail Order</w:t>
            </w:r>
          </w:p>
        </w:tc>
        <w:tc>
          <w:tcPr>
            <w:tcW w:type="dxa" w:w="2880"/>
          </w:tcPr>
          <w:p>
            <w:r/>
            <w:r>
              <w:rPr>
                <w:b w:val="0"/>
                <w:sz w:val="18"/>
              </w:rPr>
              <w:t>Program Leadership</w:t>
            </w:r>
          </w:p>
        </w:tc>
        <w:tc>
          <w:tcPr>
            <w:tcW w:type="dxa" w:w="2880"/>
          </w:tcPr>
          <w:p>
            <w:r/>
            <w:r>
              <w:rPr>
                <w:b w:val="0"/>
                <w:sz w:val="18"/>
              </w:rPr>
              <w:t>This week</w:t>
            </w:r>
          </w:p>
        </w:tc>
      </w:tr>
      <w:tr>
        <w:tc>
          <w:tcPr>
            <w:tcW w:type="dxa" w:w="2880"/>
            <w:shd w:val="clear" w:color="auto" w:fill="DCE6F1"/>
          </w:tcPr>
          <w:p>
            <w:r/>
            <w:r>
              <w:rPr>
                <w:b w:val="0"/>
                <w:sz w:val="18"/>
              </w:rPr>
              <w:t>Agreement on project delivery timelines — actual timetable tied to Forescout renewal and hardware deployment; IoT elements not critical to Phase 1 start or success</w:t>
            </w:r>
          </w:p>
        </w:tc>
        <w:tc>
          <w:tcPr>
            <w:tcW w:type="dxa" w:w="2880"/>
            <w:shd w:val="clear" w:color="auto" w:fill="DCE6F1"/>
          </w:tcPr>
          <w:p>
            <w:r/>
            <w:r>
              <w:rPr>
                <w:b w:val="0"/>
                <w:sz w:val="18"/>
              </w:rPr>
              <w:t>Program / Security / Leadership</w:t>
            </w:r>
          </w:p>
        </w:tc>
        <w:tc>
          <w:tcPr>
            <w:tcW w:type="dxa" w:w="2880"/>
            <w:shd w:val="clear" w:color="auto" w:fill="DCE6F1"/>
          </w:tcPr>
          <w:p>
            <w:r/>
            <w:r>
              <w:rPr>
                <w:b w:val="0"/>
                <w:sz w:val="18"/>
              </w:rPr>
              <w:t>Near-term</w:t>
            </w:r>
          </w:p>
        </w:tc>
      </w:tr>
      <w:tr>
        <w:tc>
          <w:tcPr>
            <w:tcW w:type="dxa" w:w="2880"/>
          </w:tcPr>
          <w:p>
            <w:r/>
            <w:r>
              <w:rPr>
                <w:b w:val="0"/>
                <w:sz w:val="18"/>
              </w:rPr>
              <w:t>Per-device-class IoT L3 ACL policy design — assign ownership and start date</w:t>
            </w:r>
          </w:p>
        </w:tc>
        <w:tc>
          <w:tcPr>
            <w:tcW w:type="dxa" w:w="2880"/>
          </w:tcPr>
          <w:p>
            <w:r/>
            <w:r>
              <w:rPr>
                <w:b w:val="0"/>
                <w:sz w:val="18"/>
              </w:rPr>
              <w:t>Security / Network / Site Ops</w:t>
            </w:r>
          </w:p>
        </w:tc>
        <w:tc>
          <w:tcPr>
            <w:tcW w:type="dxa" w:w="2880"/>
          </w:tcPr>
          <w:p>
            <w:r/>
            <w:r>
              <w:rPr>
                <w:b w:val="0"/>
                <w:sz w:val="18"/>
              </w:rPr>
              <w:t>Before Phase 2 planning locks</w:t>
            </w:r>
          </w:p>
        </w:tc>
      </w:tr>
      <w:tr>
        <w:tc>
          <w:tcPr>
            <w:tcW w:type="dxa" w:w="2880"/>
            <w:shd w:val="clear" w:color="auto" w:fill="DCE6F1"/>
          </w:tcPr>
          <w:p>
            <w:r/>
            <w:r>
              <w:rPr>
                <w:b w:val="0"/>
                <w:sz w:val="18"/>
              </w:rPr>
              <w:t>Quantify and document procurement cost delta for program budget record</w:t>
            </w:r>
          </w:p>
        </w:tc>
        <w:tc>
          <w:tcPr>
            <w:tcW w:type="dxa" w:w="2880"/>
            <w:shd w:val="clear" w:color="auto" w:fill="DCE6F1"/>
          </w:tcPr>
          <w:p>
            <w:r/>
            <w:r>
              <w:rPr>
                <w:b w:val="0"/>
                <w:sz w:val="18"/>
              </w:rPr>
              <w:t>Finance / Procurement</w:t>
            </w:r>
          </w:p>
        </w:tc>
        <w:tc>
          <w:tcPr>
            <w:tcW w:type="dxa" w:w="2880"/>
            <w:shd w:val="clear" w:color="auto" w:fill="DCE6F1"/>
          </w:tcPr>
          <w:p>
            <w:r/>
            <w:r>
              <w:rPr>
                <w:b w:val="0"/>
                <w:sz w:val="18"/>
              </w:rPr>
              <w:t>Near-term</w:t>
            </w:r>
          </w:p>
        </w:tc>
      </w:tr>
      <w:tr>
        <w:tc>
          <w:tcPr>
            <w:tcW w:type="dxa" w:w="2880"/>
          </w:tcPr>
          <w:p>
            <w:r/>
            <w:r>
              <w:rPr>
                <w:b w:val="0"/>
                <w:sz w:val="18"/>
              </w:rPr>
              <w:t>Coram and Caremark gap site scoping decisions</w:t>
            </w:r>
          </w:p>
        </w:tc>
        <w:tc>
          <w:tcPr>
            <w:tcW w:type="dxa" w:w="2880"/>
          </w:tcPr>
          <w:p>
            <w:r/>
            <w:r>
              <w:rPr>
                <w:b w:val="0"/>
                <w:sz w:val="18"/>
              </w:rPr>
              <w:t>Program Leadership</w:t>
            </w:r>
          </w:p>
        </w:tc>
        <w:tc>
          <w:tcPr>
            <w:tcW w:type="dxa" w:w="2880"/>
          </w:tcPr>
          <w:p>
            <w:r/>
            <w:r>
              <w:rPr>
                <w:b w:val="0"/>
                <w:sz w:val="18"/>
              </w:rPr>
              <w:t>Before Phase 1 planning locks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