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THIRD-PARTY LANDING ZONE (3PLZ)</w:t>
      </w:r>
    </w:p>
    <w:p>
      <w:pPr>
        <w:spacing w:after="60"/>
        <w:jc w:val="center"/>
      </w:pPr>
      <w:r>
        <w:rPr>
          <w:rFonts w:ascii="Times New Roman" w:cs="Times New Roman" w:eastAsia="Times New Roman" w:hAnsi="Times New Roman"/>
          <w:sz w:val="26"/>
          <w:szCs w:val="26"/>
        </w:rPr>
        <w:t xml:space="preserve">Secure Access Edge Platform</w:t>
      </w:r>
    </w:p>
    <w:p>
      <w:pPr>
        <w:spacing w:after="60"/>
        <w:jc w:val="center"/>
      </w:pPr>
      <w:r>
        <w:rPr>
          <w:rFonts w:ascii="Times New Roman" w:cs="Times New Roman" w:eastAsia="Times New Roman" w:hAnsi="Times New Roman"/>
          <w:b/>
          <w:bCs/>
          <w:sz w:val="26"/>
          <w:szCs w:val="26"/>
        </w:rPr>
        <w:t xml:space="preserve">CLOUDFLARE</w:t>
      </w:r>
    </w:p>
    <w:p>
      <w:pPr>
        <w:spacing w:after="120"/>
        <w:jc w:val="center"/>
      </w:pPr>
      <w:r>
        <w:rPr>
          <w:rFonts w:ascii="Times New Roman" w:cs="Times New Roman" w:eastAsia="Times New Roman" w:hAnsi="Times New Roman"/>
          <w:sz w:val="24"/>
          <w:szCs w:val="24"/>
        </w:rPr>
        <w:t xml:space="preserve">POC Deliverables &amp; Engineering Implementation Workflows</w:t>
      </w:r>
    </w:p>
    <w:p>
      <w:pPr>
        <w:spacing w:after="80" w:before="120"/>
        <w:jc w:val="center"/>
      </w:pPr>
      <w:r>
        <w:rPr>
          <w:rFonts w:ascii="Times New Roman" w:cs="Times New Roman" w:eastAsia="Times New Roman" w:hAnsi="Times New Roman"/>
          <w:i/>
          <w:iCs/>
          <w:sz w:val="20"/>
          <w:szCs w:val="20"/>
        </w:rPr>
        <w:t xml:space="preserve">Table 1. Document Metadata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Field</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Value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Document Type</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Specification &amp; Engineering Workflow</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Program</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CVS Health — Third-Party Landing Zone (3PLZ)</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Vendor</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Cloudflare (with Systems Integrator)</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Completion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Target</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September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Revision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 3 — Inbound/Outbound Separation, CR-06 Reframe, Scoring Rebalance; Vendor Reference Corrections</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Classification</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Confidential — Restricted Distribution</w:t>
            </w:r>
          </w:p>
        </w:tc>
      </w:tr>
    </w:tbl>
    <w:p>
      <w:pPr>
        <w:spacing w:after="0"/>
      </w:pPr>
      <w:r>
        <w:t xml:space="preserve"/>
      </w:r>
    </w:p>
    <w:p>
      <w:pPr>
        <w:shd w:fill="F5F5F5" w:val="clear"/>
        <w:spacing w:after="120" w:line="276" w:lineRule="exact"/>
        <w:jc w:val="both"/>
      </w:pPr>
      <w:r>
        <w:rPr>
          <w:rFonts w:ascii="Times New Roman" w:cs="Times New Roman" w:eastAsia="Times New Roman" w:hAnsi="Times New Roman"/>
          <w:i/>
          <w:iCs/>
          <w:sz w:val="20"/>
          <w:szCs w:val="20"/>
        </w:rPr>
        <w:t xml:space="preserve">STRUCTURAL CHALLENGE: Cloudflare's mTLS implementation is designed for internet-facing application protection within a single trust domain. This POC must demonstrate that per-tenant CA isolation — where each tenant has a dedicated intermediate CA whose trust scope is structurally separated from all other tenants — is achievable on the Cloudflare platform. This is the primary evaluation challenge for Cloudflare. If per-tenant CA isolation requires engineering construction rather than native platform capability, the implementation approach must be fully documented, and its structural integrity demonstrated under adversarial test conditions.</w:t>
      </w:r>
    </w:p>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1. PURPOSE AND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document defines the proof-of-concept (POC) deliverables and engineering implementation workflows required from Cloudflare and its designated systems integrator to demonstrate fitness for the CVS Health Third-Party Landing Zone (3PLZ) platform.</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is not a vendor demonstration. It is a structured capability proof against a defined functional specification. The GW Platform RC3 POC — an operationally validated multi-tenant secure access edge — serves as the functional baseline. Cloudflare must demonstrate that equivalent capability can be delivered on the Cloudflare platform, implemented and operated by the integrator, with engineering workflows that form the foundation of the subsequent self-service delivery layer.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Every requirement in this document maps directly to a proven capability in the GW Platform POC. The acceptance criteria are derived from that baseline. Demonstrating capability in isolation is insufficient — the POC must prove that capabilities compose correctly in a multi-tenant context with genuine per-tenant isolation.</w:t>
      </w:r>
    </w:p>
    <w:p>
      <w:pPr>
        <w:pStyle w:val="Heading2"/>
        <w:spacing w:after="120" w:before="280"/>
        <w:jc w:val="left"/>
      </w:pPr>
      <w:r>
        <w:rPr>
          <w:rFonts w:ascii="Times New Roman" w:cs="Times New Roman" w:eastAsia="Times New Roman" w:hAnsi="Times New Roman"/>
          <w:b/>
          <w:bCs/>
          <w:sz w:val="22"/>
          <w:szCs w:val="22"/>
        </w:rPr>
        <w:t xml:space="preserve">1.1 Evaluation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Cloudflare is being evaluated in parallel with F5 Distributed Cloud. Both vendors receive identical capability requirements and acceptance criteria. The evaluation is comparative and evidence-based. The vendor whose POC most completely and cleanly demonstrates the required capabilities — particularly per-tenant mTLS CA isolation, SSH managed access with credential vaulting, per-tenant DNS segmentation, and governed outbound mediation — will be selected as the production platform.</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Cloudflare's native strengths are edge network delivery, DNS control, HTTP/S inspection at global scale, and Zero Trust Gateway forward proxy. This POC must demonstrate whether those strengths extend to the specific multi-tenant service plane requirements of the 3PLZ program — including whether Cloudflare Gateway's per-policy architecture can deliver genuine per-tenant egress isolation — or whether the implementation requires significant custom engineering that introduces operational complexity and supportability risk.</w:t>
      </w:r>
    </w:p>
    <w:p>
      <w:pPr>
        <w:pStyle w:val="Heading2"/>
        <w:spacing w:after="120" w:before="280"/>
        <w:jc w:val="left"/>
      </w:pPr>
      <w:r>
        <w:rPr>
          <w:rFonts w:ascii="Times New Roman" w:cs="Times New Roman" w:eastAsia="Times New Roman" w:hAnsi="Times New Roman"/>
          <w:b/>
          <w:bCs/>
          <w:sz w:val="22"/>
          <w:szCs w:val="22"/>
        </w:rPr>
        <w:t xml:space="preserve">1.2 POC Scope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scope covers the three traffic patterns required for a minimum viable technical solution: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 Bidirectional mTLS termination proxy with tenant-scoped CA trust isolation, backend application credential concealment, and service-catalog-driven provisioning. mTLS is required on both the inbound vector (partner-to-CVS) and the outbound vector (CVS-to-3PLZ): CVS must present a valid client certificate when initiating outbound connections through the 3PLZ platform. Full SSL/TLS session termination and inspection is required on both inbound and outbound paths — passthrough is not acceptable for SSL/TLS traffic.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SSH Managed Access — Bidirectional SSH proxy with full session termination and inspection (not TCP passthrough). Inbound: TOTP-authenticated partner SSH sessions proxied to CVS internal hosts with per-service ACL enforcement, transparent credential injection from a vaulted credential store, and full session attribution. Outbound: CVS-initiated SSH sessions to third-party and partner hosts proxied through the governed platform with per-service ACL enforcement, credential vaulting, full session attribution, and complete session content inspection. SSH traffic must be terminated and inspected at the platform — TCP passthrough of SSH connections is not acceptable in either direction.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Outbound (Enterprise-to-Partner) — CVS Health-initiated governed forward proxy with per-tenant destination allow-list (explicit host ACL), per-tenant DNS rewriting through the same CoreDNS construct, egress session audit, and mandatory full TLS inspection and mTLS enforcement. mTLS is required on the outbound vector: CVS must present a valid client certificate when connecting through the 3PLZ platform to third-party endpoints. TLS passthrough is not acceptable — all outbound SSL/TLS traffic must be terminated and inspected at the platform boundary.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are explicitly out of scope for the POC phase: VDI proxy, deep SFTP payload inspection, DLP inline integration, and internet-facing WAF capability. These may be addressed in subsequent platform phases.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Scope rationale: Third-party connectivity is architecturally bidirectional. Inbound mediation governs partner-to-CVS traffic. Outbound mediation governs CVS-to-partner traffic — API calls to vendor platforms, data pushes to partners, and outbound SaaS integrations. Without outbound coverage, the POC validates only half the trust boundary. CVS-initiated connections to third-party systems would continue to operate outside the governed exposure model, creating a structural asymmetry the 3PLZ program is explicitly designed to eliminate.</w:t>
      </w:r>
    </w:p>
    <w:p>
      <w:pPr>
        <w:pStyle w:val="Heading1"/>
        <w:spacing w:after="160" w:before="360"/>
        <w:jc w:val="left"/>
      </w:pPr>
      <w:r>
        <w:rPr>
          <w:rFonts w:ascii="Times New Roman" w:cs="Times New Roman" w:eastAsia="Times New Roman" w:hAnsi="Times New Roman"/>
          <w:b/>
          <w:bCs/>
          <w:sz w:val="26"/>
          <w:szCs w:val="26"/>
        </w:rPr>
        <w:t xml:space="preserve">2. POC CAPABILITY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capabilities must be demonstrated during the POC. Each capability has defined acceptance criteria derived from the GW Platform functional specification. Partial demonstrations or capability-in-isolation demonstrations do not satisfy acceptance criteria — all capabilities must operate simultaneously across a minimum of five concurrent tenants.</w:t>
      </w:r>
    </w:p>
    <w:p>
      <w:pPr>
        <w:pStyle w:val="Heading2"/>
        <w:spacing w:after="120" w:before="280"/>
        <w:jc w:val="left"/>
      </w:pPr>
      <w:r>
        <w:rPr>
          <w:rFonts w:ascii="Times New Roman" w:cs="Times New Roman" w:eastAsia="Times New Roman" w:hAnsi="Times New Roman"/>
          <w:b/>
          <w:bCs/>
          <w:sz w:val="22"/>
          <w:szCs w:val="22"/>
        </w:rPr>
        <w:t xml:space="preserve">2.1 Capability CR-01: Per-Tenant mTLS Termination with CA Isolation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is the primary differentiating capability and the most structurally challenging requirement for the Cloudflare platform. Cloudflare's native mTLS model is designed for single-organization certificate validation at the edge — not multi-tenant CA isolation where each tenant's trust anchor must be structurally independent. The Cloudflare POC must either demonstrate native per-tenant CA isolation or provide a fully engineered and structurally sound implementation approach that achieves equivalent isolation guarantees. A policy-based workaround over a shared CA will not satisfy this requirement. mTLS is required bidirectionally: on the inbound path (partner presents cert to 3PLZ) and on the outbound path (CVS presents cert when connecting through 3PLZ to third-party endpoints). Per-tenant CA isolation must be enforced on both vectors. Full SSL/TLS session termination and inspection is mandatory — passthrough is not an acceptable implementation for either direction.</w:t>
      </w:r>
    </w:p>
    <w:p>
      <w:pPr>
        <w:spacing w:after="80" w:before="120"/>
        <w:jc w:val="center"/>
      </w:pPr>
      <w:r>
        <w:rPr>
          <w:rFonts w:ascii="Times New Roman" w:cs="Times New Roman" w:eastAsia="Times New Roman" w:hAnsi="Times New Roman"/>
          <w:i/>
          <w:iCs/>
          <w:sz w:val="20"/>
          <w:szCs w:val="20"/>
        </w:rPr>
        <w:t xml:space="preserve">Table 2. CR-01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must have a dedicated intermediate CA. The CA private key must be scoped to that tenant and must not be accessible to any other tenant context. The tenant CA issues client certificates for both directions: partner client certs (for inbound mTLS) and CVS client certs (for outbound mTLS when CVS initiates connections through 3PLZ). Cloudflare must document whether this is a native platform capability or an engineered implementation.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five tenants with five independent CA chains. Show that a certificate issued under Tenant A CA is rejected by Tenant B proxy listener. Provide documentation of the isolation mechanism — whether native platform or engineered construct.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mTLS enforcement. Inbound: partner presents a client certificate issued by the tenant intermediate CA; Cloudflare validates the certificate against that tenant's CA chain before proxying the request. Outbound: CVS presents a client certificate when connecting through 3PLZ to third-party endpoints; the platform validates the CVS certificate before forwarding the connection.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connection with valid partner cert; rejected with cert from wrong CA; rejected with expired cert. Outbound: successful CVS-initiated connection with valid CVS client cert; rejected without valid cert.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Backend application receives plain HTTP from Cloudflare. The application has no visibility into the mTLS exchange. No application modification is required.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traffic at the backend host and confirm plain HTTP with no client cert headers unless explicitly configured.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 compromise or revocation for one tenant must have zero impact on other tenants.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Revoke Tenant A CA. Confirm Tenant B mTLS sessions continue uninterrupted.</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Certificate issuance workflow must be documented as a repeatable engineering step. The workflow must map to the onboarding workbook mTLS Certificate Requirements sheet.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step-by-step issuance workflow. Execute it live during POC review for a new test tenant.</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2.2 Capability CR-02: SSH Managed Access with Credential Vaulting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SSH managed access capability must deliver the full managed session model in both directions — not TCP passthrough in either direction. The platform terminates every SSH session at the platform boundary, performs full SSH session inspection, authenticates the user independently of internal credentials, and opens the proxied session using credentials retrieved from a secure vault. TCP passthrough of SSH connections is explicitly prohibited. Inbound SSH: partner-initiated sessions to CVS internal hosts. Outbound SSH: CVS-initiated sessions to third-party/partner hosts, governed through the same platform with per-tenant ACL, credential vaulting, and full session audit.</w:t>
      </w:r>
    </w:p>
    <w:p>
      <w:pPr>
        <w:spacing w:after="80" w:before="120"/>
        <w:jc w:val="center"/>
      </w:pPr>
      <w:r>
        <w:rPr>
          <w:rFonts w:ascii="Times New Roman" w:cs="Times New Roman" w:eastAsia="Times New Roman" w:hAnsi="Times New Roman"/>
          <w:i/>
          <w:iCs/>
          <w:sz w:val="20"/>
          <w:szCs w:val="20"/>
        </w:rPr>
        <w:t xml:space="preserve">Table 3. CR-02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SSH authentication. Inbound: partner user authenticates to the Cloudflare platform using email identity and TOTP before any backend CVS connection is established. Outbound: CVS user or service account authenticates to the platform before any SSH connection to a third-party host is established. The platform validates TOTP (or equivalent strong authentication) in both directions.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auth with valid TOTP; rejected with invalid TOTP; rejected with expired TOTP window. Outbound: successful CVS-initiated SSH session with valid authentication; rejected without valid authentication.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Per-service ACL enforcement. Each service has a named user list. A user not in the service ACL must be denied even if TOTP passes.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User in ACL for Service A but not Service B. Confirm access to A, denial on B, with audit log for both.</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Credential vault is required for both directions. Inbound: internal CVS credentials (username/password or private key for backend host access) are stored in the vault; the partner user never handles internal CVS credentials; the platform injects them transparently. Outbound: third-party host credentials are stored in the vault; the CVS user or service never handles partner credentials directly; the platform injects them transparently.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connect as partner user; confirm backend CVS SSH daemon sees only the internal service account; confirm partner session provides no mechanism to retrieve internal credentials. Outbound: connect as CVS user; confirm third-party SSH host sees only the injected service account; confirm CVS session provides no mechanism to retrieve vault credentials.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session audit log for both inbound and outbound SSH sessions: direction (inbound/outbound), source IP, user email or service account identity, service accessed, authentication outcome, ACL outcome, proxied host connected, session duration, bytes transferred, and session content summary (commands executed or data transferred where inspection is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session log after a completed session. Confirm all fields present and accurate.</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a failure or misconfiguration in one tenant's SSH proxy must not affect any other tenant's SSH sessions.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 proxy failure on Tenant A. Confirm Tenant B sessions continue without interruption.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2.3 Capability CR-03: Per-Tenant DNS Rewriting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DNS rewriting is a load-bearing dependency for all name-initiated connections. The platform must provide genuinely isolated per-tenant DNS contexts — not shared DNS with per-tenant filtering rules.</w:t>
      </w:r>
    </w:p>
    <w:p>
      <w:pPr>
        <w:spacing w:after="80" w:before="120"/>
        <w:jc w:val="center"/>
      </w:pPr>
      <w:r>
        <w:rPr>
          <w:rFonts w:ascii="Times New Roman" w:cs="Times New Roman" w:eastAsia="Times New Roman" w:hAnsi="Times New Roman"/>
          <w:i/>
          <w:iCs/>
          <w:sz w:val="20"/>
          <w:szCs w:val="20"/>
        </w:rPr>
        <w:t xml:space="preserve">Table 4. CR-03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an isolated DNS resolution context. A DNS query in Tenant A's context must not be resolvable in Tenant B's context unless both tenants have been explicitly configured with access to the same service.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Query an internal name from Tenant A context. Confirm the SNAT inbound IP is returned. Query the same name from Tenant B context. Confirm no result or a different result appropriate to Tenant B.</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A-record rewriting: when an internal DNS name resolves to a real internal IP, the platform intercepts the response and returns the tenant SNAT inbound identity. The real internal IP is never disclosed.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DNS response from the partner side. Confirm the returned A record is the SNAT inbound IP, not the real internal host address.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Conditional forwarding: internal domain queries forwarded to internal DNS resolvers, external queries forwarded to external resolvers. Forwarding configuration must be per-tenant.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Tenant A with internal domain suffix X and Tenant B with suffix Y. Confirm correct forwarder is used per tenant per query.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DNS listener runs on tenant-specific VIP. No shared DNS listener is used across tenants.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Show the DNS listener configuration for five tenants. Confirm each has a dedicated listener address.</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2.4 Capability CR-04: Tenant Lifecycle — Provisioning and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lifecycle workflow is the foundation for the self-service delivery layer targeted for September 30. The POC must demonstrate that tenant provisioning and offboarding are fully automated, deterministic, and leave no residual state.</w:t>
      </w:r>
    </w:p>
    <w:p>
      <w:pPr>
        <w:spacing w:after="80" w:before="120"/>
        <w:jc w:val="center"/>
      </w:pPr>
      <w:r>
        <w:rPr>
          <w:rFonts w:ascii="Times New Roman" w:cs="Times New Roman" w:eastAsia="Times New Roman" w:hAnsi="Times New Roman"/>
          <w:i/>
          <w:iCs/>
          <w:sz w:val="20"/>
          <w:szCs w:val="20"/>
        </w:rPr>
        <w:t xml:space="preserve">Table 5. CR-04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onboarding is driven by a defined input schema that maps to the CVS Health Tenant Onboarding Workbook. All fields in the workbook must have a corresponding platform configuration parameter.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input schema. Walk through workbook-to-schema field mapping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Provisioning is fully automated from the input schema. No manual per-tenant configuration steps are permitted after schema submission.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Submit a new tenant schema. Confirm all platform objects (proxy listener, CA, DNS context, vault entry, ACL, forward proxy policy) are created without manual intervention.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Offboarding removes all tenant state. No residual objects, rules, certificates, vault entries, DNS configuration, outbound governed access policies, or DNS rewriting rules remain after offboarding completes.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 a test tenant. Enumerate all platform objects and confirm zero residual state for that tenant ID.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Acceptance test suite executes post-provisioning and confirms all capabilities — including inbound and outbound mediation — are functional before the tenant is marked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 a tenant. Review the acceptance test output. Confirm all tests pass before ACTIVE state is set.</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The provisioning workflow must be documented as a step-by-step engineering workflow suitable for automation into a self-service portal API.</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Deliver the engineering workflow document as a POC deliverable. Each step must have a defined API call or CLI command.</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2.5 Capability CR-05: Multi-Tenant Isolation at Scale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capabilities must operate simultaneously across a minimum of five concurrent tenants. Isolation properties must be verified across all tenant boundaries, not just demonstrated per-tenant in isolation.</w:t>
      </w:r>
    </w:p>
    <w:p>
      <w:pPr>
        <w:spacing w:after="80" w:before="120"/>
        <w:jc w:val="center"/>
      </w:pPr>
      <w:r>
        <w:rPr>
          <w:rFonts w:ascii="Times New Roman" w:cs="Times New Roman" w:eastAsia="Times New Roman" w:hAnsi="Times New Roman"/>
          <w:i/>
          <w:iCs/>
          <w:sz w:val="20"/>
          <w:szCs w:val="20"/>
        </w:rPr>
        <w:t xml:space="preserve">Table 6. CR-05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Five concurrent tenants with active mTLS proxy listeners, SSH managed access proxies, DNS listeners, and forward proxy policies running simultaneously.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simultaneous active sessions across all five tenants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 certificate valid for Tenant A must be rejected by any other tenant's proxy listener.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Attempt connection to Tenant B proxy using Tenant A certificate. Confirm rejection with appropriate TLS alert.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 SSH session authenticated as a user in Tenant A must have no path to Tenant B resources.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From an active Tenant A SSH session, attempt to reach Tenant B internal host via any path. Confirm no reachability.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Performance under concurrent load: all five tenants must maintain functional connectivity — both inbound and outbound — with no session interruption during a simulated load test.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Run concurrent inbound and outbound connections across all five tenants for 30 minutes. Confirm zero session drops attributable to platform resource contention.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2.6 Capability CR-06: Outbound Governed Access (Enterprise-to-Partner)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capability addresses the outbound vector of the third-party connectivity use case. CVS-initiated connections to third-party systems must traverse a governed enforcement construct with per-tenant destination allow-list (explicit host ACL), per-tenant DNS rewriting through the same CoreDNS construct used for inbound, egress session audit, and mandatory full TLS inspection and mTLS enforcement. mTLS is required on the outbound vector — CVS must present a valid client certificate when initiating connections through 3PLZ to third-party endpoints. TLS passthrough is not an acceptable implementation for outbound SSL/TLS traffic.</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Cloudflare platform must demonstrate that outbound connections from CVS systems to third-party endpoints are mediated through a governed per-tenant enforcement path, that destinations are constrained to the tenant's declared service scope via explicit host ACL, that DNS resolution for outbound traffic traverses the same CoreDNS per-tenant construct, and that full egress audit telemetry is produced.</w:t>
      </w:r>
    </w:p>
    <w:p>
      <w:pPr>
        <w:shd w:fill="F5F5F5" w:val="clear"/>
        <w:spacing w:after="120" w:line="276" w:lineRule="exact"/>
        <w:jc w:val="both"/>
      </w:pPr>
      <w:r>
        <w:rPr>
          <w:rFonts w:ascii="Times New Roman" w:cs="Times New Roman" w:eastAsia="Times New Roman" w:hAnsi="Times New Roman"/>
          <w:i/>
          <w:iCs/>
          <w:sz w:val="20"/>
          <w:szCs w:val="20"/>
        </w:rPr>
        <w:t xml:space="preserve">Platform Note: Cloudflare Zero Trust Gateway and the existing CoreDNS per-tenant DNS construct are the candidate capabilities for outbound governed access. Cloudflare Gateway supports per-policy egress control, destination allow/block lists, and TLS inspection. The same CoreDNS rewriting used for inbound (CR-03) provides outbound DNS resolution through the governed path. mTLS is required on the outbound vector — CVS must present a valid client certificate when initiating connections through 3PLZ to third-party endpoints, and the platform must enforce and inspect those connections. Full TLS inspection is mandatory on the outbound path; passthrough is not acceptable. Outbound SSH must also be terminated and inspected — TCP passthrough is prohibited. The per-tenant policy isolation requirement remains: each tenant's Gateway policy must be structurally scoped so that Tenant A's egress policy cannot affect Tenant B's egress path. Cloudflare must document whether this is a native Zero Trust account-level construct or requires an engineered multi-account or namespace implementation, and must demonstrate structural isolation under adversarial test conditions.</w:t>
      </w:r>
    </w:p>
    <w:p>
      <w:pPr>
        <w:spacing w:after="80" w:before="120"/>
        <w:jc w:val="center"/>
      </w:pPr>
      <w:r>
        <w:rPr>
          <w:rFonts w:ascii="Times New Roman" w:cs="Times New Roman" w:eastAsia="Times New Roman" w:hAnsi="Times New Roman"/>
          <w:i/>
          <w:iCs/>
          <w:sz w:val="20"/>
          <w:szCs w:val="20"/>
        </w:rPr>
        <w:t xml:space="preserve">Table 7. CR-06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 dedicated outbound governed access policy scoped to its context with an explicit host ACL (destination allow-list). CVS-initiated outbound traffic destined for third-party endpoints must traverse the tenant's governed path. No shared or cross-tenant policy is permitted. Cloudflare must document whether per-tenant policy isolation is a native platform construct or an engineered implementation.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outbound governed access policies for five tenants with distinct destination allow-lists. Show that a CVS system in Tenant A's context is governed through Tenant A's policy and cannot traverse Tenant B's policy. Provide documentation of the isolation mechanism.</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DNS rewriting for outbound traffic uses the same CoreDNS construct as inbound (CR-03). Outbound DNS resolution traverses the tenant's DNS context, ensuring all name-initiated outbound connections are governed. Destination allow-listing is enforced per tenant via explicit host ACL.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outbound DNS queries resolve through the tenant's CoreDNS context. Confirm destination allow-list enforcement: connection to declared destination succeeds, connection to undeclared destination is blocked with audit log entry.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outbound TLS inspection is mandatory. The platform must terminate and inspect all outbound SSL/TLS traffic. Passthrough configurations are not acceptable. The platform must also enforce mTLS client certificate presentation for CVS-initiated outbound connections.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full L7 TLS inspection is active for all tenant outbound traffic. Confirm CVS client certificate is presented and validated on outbound mTLS connections. Confirm that any attempt to configure passthrough is rejected by the platform or flagged as a policy violation.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egress session audit log: source identity (CVS system or service account), tenant context, destination hostname/IP, destination port, connection outcome (allowed/blocked), bytes transferred, and timestamp.</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egress session log after completed allowed and blocked connection attempts. Confirm all fields present and accurate for both outcomes.</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on egress: a misconfiguration or policy failure in one tenant's outbound governed access policy must not affect any other tenant's outbound connectivity.</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an outbound governed access policy failure on Tenant A. Confirm Tenant B outbound sessions continue without interruption and Tenant B policy is not affected.</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3. ENGINEERING IMPLEMENTATION WORKFLOWS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workflows define the step-by-step engineering implementation for each capability. These workflows serve two purposes: they define the POC implementation methodology, and they form the engineering blueprint for the self-service automation layer to be delivered by September 30. Each step must be executable as a discrete, automatable operation.</w:t>
      </w:r>
    </w:p>
    <w:p>
      <w:pPr>
        <w:pStyle w:val="Heading2"/>
        <w:spacing w:after="120" w:before="280"/>
        <w:jc w:val="left"/>
      </w:pPr>
      <w:r>
        <w:rPr>
          <w:rFonts w:ascii="Times New Roman" w:cs="Times New Roman" w:eastAsia="Times New Roman" w:hAnsi="Times New Roman"/>
          <w:b/>
          <w:bCs/>
          <w:sz w:val="22"/>
          <w:szCs w:val="22"/>
        </w:rPr>
        <w:t xml:space="preserve">3.1 Workflow EW-01: Tenant Provisioning End-to-End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complete provisioning sequence for a new tenant from schema intake to ACTIVE state. It is the master workflow that orchestrates all sub-workflows below.</w:t>
      </w:r>
    </w:p>
    <w:p>
      <w:pPr>
        <w:spacing w:after="80" w:before="200"/>
        <w:jc w:val="left"/>
      </w:pPr>
      <w:r>
        <w:rPr>
          <w:rFonts w:ascii="Times New Roman" w:cs="Times New Roman" w:eastAsia="Times New Roman" w:hAnsi="Times New Roman"/>
          <w:b/>
          <w:bCs/>
          <w:i/>
          <w:iCs/>
          <w:sz w:val="22"/>
          <w:szCs w:val="22"/>
        </w:rPr>
        <w:t xml:space="preserve">Step 1: Receive and Validate Tenant Onboarding Schema</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Intake the completed Tenant Onboarding Workbook. Validate all mandatory fields: tenant organization details, IKE peer IP (must be public routable), remote network prefixes (must be unique across all active tenants), application access FQDN list, SSH proxy requirements if applicable, mTLS certificate subject and SAN, and outbound service scope (third-party destination hostnames and IP ranges). Reject incomplete submissions before proceeding.</w:t>
      </w:r>
    </w:p>
    <w:p>
      <w:pPr>
        <w:spacing w:after="80" w:before="200"/>
        <w:jc w:val="left"/>
      </w:pPr>
      <w:r>
        <w:rPr>
          <w:rFonts w:ascii="Times New Roman" w:cs="Times New Roman" w:eastAsia="Times New Roman" w:hAnsi="Times New Roman"/>
          <w:b/>
          <w:bCs/>
          <w:i/>
          <w:iCs/>
          <w:sz w:val="22"/>
          <w:szCs w:val="22"/>
        </w:rPr>
        <w:t xml:space="preserve">Step 2: Allocate Tenant Resources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Invoke the IPAM service to allocate: SNAT inbound identity (/32), SNAT outbound identity (/32), DNS listener VIP, SSH proxy VIP (if SSH enabled), and forward proxy egress VIP. Record all allocations in the tenant state store. Confirm uniqueness enforcement — no two tenants may share any allocated address.</w:t>
      </w:r>
    </w:p>
    <w:p>
      <w:pPr>
        <w:spacing w:after="80" w:before="200"/>
        <w:jc w:val="left"/>
      </w:pPr>
      <w:r>
        <w:rPr>
          <w:rFonts w:ascii="Times New Roman" w:cs="Times New Roman" w:eastAsia="Times New Roman" w:hAnsi="Times New Roman"/>
          <w:b/>
          <w:bCs/>
          <w:i/>
          <w:iCs/>
          <w:sz w:val="22"/>
          <w:szCs w:val="22"/>
        </w:rPr>
        <w:t xml:space="preserve">Step 3: Initialize Tenant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intermediate CA under the platform root CA hierarchy. Store the CA private key in the tenant-scoped PKI store. Generate the CA chain bundle. Issue the initial client certificate based on the workbook mTLS Certificate Requirements sheet (CN and SAN as specified). Create the CRL distribution point. Enable the CRL refresh timer. Confirm: CA initialized, certificate issued, CRL active.</w:t>
      </w:r>
    </w:p>
    <w:p>
      <w:pPr>
        <w:spacing w:after="80" w:before="200"/>
        <w:jc w:val="left"/>
      </w:pPr>
      <w:r>
        <w:rPr>
          <w:rFonts w:ascii="Times New Roman" w:cs="Times New Roman" w:eastAsia="Times New Roman" w:hAnsi="Times New Roman"/>
          <w:b/>
          <w:bCs/>
          <w:i/>
          <w:iCs/>
          <w:sz w:val="22"/>
          <w:szCs w:val="22"/>
        </w:rPr>
        <w:t xml:space="preserve">Step 4: Provision mTLS Proxy Listener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Cloudflare service configuration on the assigned SNAT inbound IP. Attach the tenant SSL profile referencing the tenant intermediate CA chain. Configure the mTLS termination policy: client certificate required, CA trust anchored to tenant intermediate CA, certificate validation including CRL check. Configure the backend origin pointing to the internal application host(s) as defined in the Application Access sheet. Configure plain HTTP backend connection. Apply tenant-specific traffic policy. Document whether per-tenant CA trust is implemented via native Cloudflare capability or custom engineering construct. Additionally provision the outbound mTLS enforcement: configure the CVS client certificate and outbound SSL profile so that CVS-initiated connections through 3PLZ present a valid mTLS certificate to third-party endpoints. Full TLS inspection must be active on the outbound path — passthrough is not permitted.</w:t>
      </w:r>
    </w:p>
    <w:p>
      <w:pPr>
        <w:spacing w:after="80" w:before="200"/>
        <w:jc w:val="left"/>
      </w:pPr>
      <w:r>
        <w:rPr>
          <w:rFonts w:ascii="Times New Roman" w:cs="Times New Roman" w:eastAsia="Times New Roman" w:hAnsi="Times New Roman"/>
          <w:b/>
          <w:bCs/>
          <w:i/>
          <w:iCs/>
          <w:sz w:val="22"/>
          <w:szCs w:val="22"/>
        </w:rPr>
        <w:t xml:space="preserve">Step 5: Provision SSH Managed Access Proxy (if required)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SSH proxy listeners — one for inbound (partner-to-CVS) and one for outbound (CVS-to-third-party) on the assigned SSH proxy VIPs. Inbound: initialize the credential vault entry for internal CVS SSH credentials; configure TOTP provisioning for partner users; import the partner user access matrix; generate per-user TOTP secrets; configure per-service ACL files. Outbound: initialize the credential vault entry for third-party host credentials; configure CVS user or service account authentication; import the CVS outbound service access matrix; configure per-service ACL files for outbound sessions. Both listeners must perform full SSH session termination and inspection — TCP passthrough is prohibited. Confirm: vault initialized for both directions, TOTP secrets generated, ACLs loaded, both listeners active.</w:t>
      </w:r>
    </w:p>
    <w:p>
      <w:pPr>
        <w:spacing w:after="80" w:before="200"/>
        <w:jc w:val="left"/>
      </w:pPr>
      <w:r>
        <w:rPr>
          <w:rFonts w:ascii="Times New Roman" w:cs="Times New Roman" w:eastAsia="Times New Roman" w:hAnsi="Times New Roman"/>
          <w:b/>
          <w:bCs/>
          <w:i/>
          <w:iCs/>
          <w:sz w:val="22"/>
          <w:szCs w:val="22"/>
        </w:rPr>
        <w:t xml:space="preserve">Step 6: Provision Per-Tenant DNS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DNS listener on the assigned DNS VIP port 53. Configure conditional forwarding rules: internal domain suffixes forwarded to internal DNS resolvers as defined in the DNS Rewriting sheet, external queries forwarded to external resolvers. Configure A-record rewrite rules: one per application service, mapping internal FQDN to SNAT inbound identity. Confirm: listener active, test query returns SNAT inbound IP, real internal IP is not disclosed in any response.</w:t>
      </w:r>
    </w:p>
    <w:p>
      <w:pPr>
        <w:spacing w:after="80" w:before="200"/>
        <w:jc w:val="left"/>
      </w:pPr>
      <w:r>
        <w:rPr>
          <w:rFonts w:ascii="Times New Roman" w:cs="Times New Roman" w:eastAsia="Times New Roman" w:hAnsi="Times New Roman"/>
          <w:b/>
          <w:bCs/>
          <w:i/>
          <w:iCs/>
          <w:sz w:val="22"/>
          <w:szCs w:val="22"/>
        </w:rPr>
        <w:t xml:space="preserve">Step 7: Provision Outbound Governed Access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Cloudflare Gateway outbound governed access policy scoped to the tenant context. Configure per-tenant DNS rewriting for outbound through the same CoreDNS construct (CR-03). Import the declared outbound service scope from the onboarding workbook (third-party hostnames and IP ranges). Build the destination allow-list (explicit host ACL): one entry per declared third-party service endpoint. Configure TLS inspection (full inspection mandatory; passthrough is not permitted). Configure egress audit logging to the tenant audit store. Assign the governed access policy to the tenant egress path. Document whether the per-tenant policy isolation is implemented via a native Cloudflare Zero Trust construct or an engineered implementation. Confirm: policy active, allow-list loaded, DNS rewriting functional, test connection to declared destination succeeds, test connection to undeclared destination is blocked with audit log entry.</w:t>
      </w:r>
    </w:p>
    <w:p>
      <w:pPr>
        <w:spacing w:after="80" w:before="200"/>
        <w:jc w:val="left"/>
      </w:pPr>
      <w:r>
        <w:rPr>
          <w:rFonts w:ascii="Times New Roman" w:cs="Times New Roman" w:eastAsia="Times New Roman" w:hAnsi="Times New Roman"/>
          <w:b/>
          <w:bCs/>
          <w:i/>
          <w:iCs/>
          <w:sz w:val="22"/>
          <w:szCs w:val="22"/>
        </w:rPr>
        <w:t xml:space="preserve">Step 8: Execute Acceptance Test Suite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Run the automated acceptance test suite: (1) Inbound mTLS connection with valid partner cert succeeds; (2) Inbound mTLS connection with invalid/wrong-tenant cert fails with correct TLS alert; (3) Outbound mTLS — CVS-initiated connection presents valid CVS client cert and succeeds; (4) Outbound mTLS — CVS-initiated connection without valid cert is rejected; (5) Inbound SSH managed access with valid TOTP succeeds; (6) Inbound SSH managed access with invalid TOTP fails; (7) Outbound SSH managed access — CVS-initiated session authenticates and succeeds; (8) Outbound SSH session is terminated and inspected at the platform — confirm no TCP passthrough; (9) DNS query returns SNAT inbound IP; (10) DNS query does not return real internal IP; (11) Outbound HTTPS connection to declared destination succeeds through governed path with full TLS inspection active; (12) Outbound connection to undeclared destination is blocked with audit log entry; (13) Outbound DNS resolves through tenant CoreDNS context; (14) Session log entries written for all inbound and outbound tests including SSH and mTLS; (15) Tenant isolation verified — Tenant A cert rejected by any other tenant listener; (16) Tenant A outbound governed access policy does not affect Tenant B egress. All tests must pass before proceeding.</w:t>
      </w:r>
    </w:p>
    <w:p>
      <w:pPr>
        <w:spacing w:after="80" w:before="200"/>
        <w:jc w:val="left"/>
      </w:pPr>
      <w:r>
        <w:rPr>
          <w:rFonts w:ascii="Times New Roman" w:cs="Times New Roman" w:eastAsia="Times New Roman" w:hAnsi="Times New Roman"/>
          <w:b/>
          <w:bCs/>
          <w:i/>
          <w:iCs/>
          <w:sz w:val="22"/>
          <w:szCs w:val="22"/>
        </w:rPr>
        <w:t xml:space="preserve">Step 9: Activate Tenant and Notify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ACTIVE in the tenant state store. Record workflow run ID, provisioning timestamp, and accepting engineer identity. Update ServiceNow request to provisioned state. Deliver the mTLS client certificate P12 bundle to the partner contact via the secure delivery mechanism. Deliver the TOTP provisioning link to authorized users (if SSH enabled). Notify the tenant technical contact that provisioning is complete with connection test instructions.</w:t>
      </w:r>
    </w:p>
    <w:p>
      <w:pPr>
        <w:pStyle w:val="Heading2"/>
        <w:spacing w:after="120" w:before="280"/>
        <w:jc w:val="left"/>
      </w:pPr>
      <w:r>
        <w:rPr>
          <w:rFonts w:ascii="Times New Roman" w:cs="Times New Roman" w:eastAsia="Times New Roman" w:hAnsi="Times New Roman"/>
          <w:b/>
          <w:bCs/>
          <w:sz w:val="22"/>
          <w:szCs w:val="22"/>
        </w:rPr>
        <w:t xml:space="preserve">3.2 Workflow EW-02: mTLS Certificate Issuance and Delivery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certificate lifecycle operations that will occur routinely during production operation and must be automatable.</w:t>
      </w:r>
    </w:p>
    <w:p>
      <w:pPr>
        <w:spacing w:after="80" w:before="200"/>
        <w:jc w:val="left"/>
      </w:pPr>
      <w:r>
        <w:rPr>
          <w:rFonts w:ascii="Times New Roman" w:cs="Times New Roman" w:eastAsia="Times New Roman" w:hAnsi="Times New Roman"/>
          <w:b/>
          <w:bCs/>
          <w:i/>
          <w:iCs/>
          <w:sz w:val="22"/>
          <w:szCs w:val="22"/>
        </w:rPr>
        <w:t xml:space="preserve">Step 1: Receive Certificate Request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Accept CSR from partner (preferred) or generate key and certificate server-side (POC convenience only, not recommended for production). Validate CN and SAN match the onboarding workbook specification. Confirm tenant intermediate CA is initialized and CRL is active.</w:t>
      </w:r>
    </w:p>
    <w:p>
      <w:pPr>
        <w:spacing w:after="80" w:before="200"/>
        <w:jc w:val="left"/>
      </w:pPr>
      <w:r>
        <w:rPr>
          <w:rFonts w:ascii="Times New Roman" w:cs="Times New Roman" w:eastAsia="Times New Roman" w:hAnsi="Times New Roman"/>
          <w:b/>
          <w:bCs/>
          <w:i/>
          <w:iCs/>
          <w:sz w:val="22"/>
          <w:szCs w:val="22"/>
        </w:rPr>
        <w:t xml:space="preserve">Step 2: Issue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Sign the CSR (or generated key) with the tenant intermediate CA. Record certificate serial in the CA index. Set validity period per workbook specification (default 365 days, maximum 825 days). Generate the certificate bundle including the full CA chain.</w:t>
      </w:r>
    </w:p>
    <w:p>
      <w:pPr>
        <w:spacing w:after="80" w:before="200"/>
        <w:jc w:val="left"/>
      </w:pPr>
      <w:r>
        <w:rPr>
          <w:rFonts w:ascii="Times New Roman" w:cs="Times New Roman" w:eastAsia="Times New Roman" w:hAnsi="Times New Roman"/>
          <w:b/>
          <w:bCs/>
          <w:i/>
          <w:iCs/>
          <w:sz w:val="22"/>
          <w:szCs w:val="22"/>
        </w:rPr>
        <w:t xml:space="preserve">Step 3: Deliver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Package the certificate as a P12 bundle if requested. Stand up the temporary delivery endpoint on the tenant VIP port 8443. Authenticate the recipient with a one-time password delivered out-of-band. Provide download link with 3-attempt / 15-minute window. Shut down delivery endpoint automatically after delivery or expiry.</w:t>
      </w:r>
    </w:p>
    <w:p>
      <w:pPr>
        <w:spacing w:after="80" w:before="200"/>
        <w:jc w:val="left"/>
      </w:pPr>
      <w:r>
        <w:rPr>
          <w:rFonts w:ascii="Times New Roman" w:cs="Times New Roman" w:eastAsia="Times New Roman" w:hAnsi="Times New Roman"/>
          <w:b/>
          <w:bCs/>
          <w:i/>
          <w:iCs/>
          <w:sz w:val="22"/>
          <w:szCs w:val="22"/>
        </w:rPr>
        <w:t xml:space="preserve">Step 4: Record and Schedule Renewal</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Record issued certificate serial, subject, expiry date in the tenant certificate inventory. Schedule renewal notification at 60 days before expiry. Schedule automated renewal workflow at 30 days before expiry if the partner has provided standing CSR authorization.</w:t>
      </w:r>
    </w:p>
    <w:p>
      <w:pPr>
        <w:pStyle w:val="Heading2"/>
        <w:spacing w:after="120" w:before="280"/>
        <w:jc w:val="left"/>
      </w:pPr>
      <w:r>
        <w:rPr>
          <w:rFonts w:ascii="Times New Roman" w:cs="Times New Roman" w:eastAsia="Times New Roman" w:hAnsi="Times New Roman"/>
          <w:b/>
          <w:bCs/>
          <w:sz w:val="22"/>
          <w:szCs w:val="22"/>
        </w:rPr>
        <w:t xml:space="preserve">3.3 Workflow EW-03: Tenant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offboarding workflow must be deterministic and must produce zero residual state. This workflow is as important as the provisioning workflow — ungoverned residual state is a primary risk driver in the current ASA estate.</w:t>
      </w:r>
    </w:p>
    <w:p>
      <w:pPr>
        <w:spacing w:after="80" w:before="200"/>
        <w:jc w:val="left"/>
      </w:pPr>
      <w:r>
        <w:rPr>
          <w:rFonts w:ascii="Times New Roman" w:cs="Times New Roman" w:eastAsia="Times New Roman" w:hAnsi="Times New Roman"/>
          <w:b/>
          <w:bCs/>
          <w:i/>
          <w:iCs/>
          <w:sz w:val="22"/>
          <w:szCs w:val="22"/>
        </w:rPr>
        <w:t xml:space="preserve">Step 1: Initiate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DEPROVISIONING. Record offboarding initiator identity, timestamp, and ServiceNow change reference. Block new connections to tenant listeners. Block new outbound connections through tenant governed access path. Allow existing sessions to drain with a defined grace period (default 5 minutes).</w:t>
      </w:r>
    </w:p>
    <w:p>
      <w:pPr>
        <w:spacing w:after="80" w:before="200"/>
        <w:jc w:val="left"/>
      </w:pPr>
      <w:r>
        <w:rPr>
          <w:rFonts w:ascii="Times New Roman" w:cs="Times New Roman" w:eastAsia="Times New Roman" w:hAnsi="Times New Roman"/>
          <w:b/>
          <w:bCs/>
          <w:i/>
          <w:iCs/>
          <w:sz w:val="22"/>
          <w:szCs w:val="22"/>
        </w:rPr>
        <w:t xml:space="preserve">Step 2: Remove Service Plane Objects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the mTLS proxy virtual server and SSL profile. Delete the backend pool. Delete the SSH proxy listener, ACL files, and TOTP secrets. Delete the DNS listener, forwarding rules, and A-record rewrite rules. Delete the outbound governed access policy, destination allow-list entries, DNS rewriting rules for outbound, and TLS inspection configuration. Confirm each deletion before proceeding to the next object.</w:t>
      </w:r>
    </w:p>
    <w:p>
      <w:pPr>
        <w:spacing w:after="80" w:before="200"/>
        <w:jc w:val="left"/>
      </w:pPr>
      <w:r>
        <w:rPr>
          <w:rFonts w:ascii="Times New Roman" w:cs="Times New Roman" w:eastAsia="Times New Roman" w:hAnsi="Times New Roman"/>
          <w:b/>
          <w:bCs/>
          <w:i/>
          <w:iCs/>
          <w:sz w:val="22"/>
          <w:szCs w:val="22"/>
        </w:rPr>
        <w:t xml:space="preserve">Step 3: Revoke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Revoke the tenant intermediate CA. Update CRL. Revoke all issued certificates under the tenant CA. Remove CA chain from the platform CA store. Delete the CA private key and all associated key material. Confirm no references to the tenant CA remain in any active proxy configuration.</w:t>
      </w:r>
    </w:p>
    <w:p>
      <w:pPr>
        <w:spacing w:after="80" w:before="200"/>
        <w:jc w:val="left"/>
      </w:pPr>
      <w:r>
        <w:rPr>
          <w:rFonts w:ascii="Times New Roman" w:cs="Times New Roman" w:eastAsia="Times New Roman" w:hAnsi="Times New Roman"/>
          <w:b/>
          <w:bCs/>
          <w:i/>
          <w:iCs/>
          <w:sz w:val="22"/>
          <w:szCs w:val="22"/>
        </w:rPr>
        <w:t xml:space="preserve">Step 4: Release Address Allocations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Return SNAT inbound IP, SNAT outbound IP, DNS listener VIP, SSH proxy VIP, and forward proxy egress VIP to the IPAM pool. Confirm allocations are released and available for new tenant assignment.</w:t>
      </w:r>
    </w:p>
    <w:p>
      <w:pPr>
        <w:spacing w:after="80" w:before="200"/>
        <w:jc w:val="left"/>
      </w:pPr>
      <w:r>
        <w:rPr>
          <w:rFonts w:ascii="Times New Roman" w:cs="Times New Roman" w:eastAsia="Times New Roman" w:hAnsi="Times New Roman"/>
          <w:b/>
          <w:bCs/>
          <w:i/>
          <w:iCs/>
          <w:sz w:val="22"/>
          <w:szCs w:val="22"/>
        </w:rPr>
        <w:t xml:space="preserve">Step 5: Purge Credential Vault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all credential vault entries for this tenant. Confirm vault has no remaining entries with this tenant ID. Confirm vault audit log records the deletion event with timestamp and operator identity.</w:t>
      </w:r>
    </w:p>
    <w:p>
      <w:pPr>
        <w:spacing w:after="80" w:before="200"/>
        <w:jc w:val="left"/>
      </w:pPr>
      <w:r>
        <w:rPr>
          <w:rFonts w:ascii="Times New Roman" w:cs="Times New Roman" w:eastAsia="Times New Roman" w:hAnsi="Times New Roman"/>
          <w:b/>
          <w:bCs/>
          <w:i/>
          <w:iCs/>
          <w:sz w:val="22"/>
          <w:szCs w:val="22"/>
        </w:rPr>
        <w:t xml:space="preserve">Step 6: Verify Zero Residual State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Execute the residual state verification scan: enumerate all platform objects tagged with this tenant ID — including outbound governed access policies, DNS rewriting rules, and egress allow-list entries. The result must be empty. Record the verification result in the offboarding record. Set tenant state to OFFBOARDED. Close the ServiceNow change record.</w:t>
      </w:r>
    </w:p>
    <w:p>
      <w:pPr>
        <w:pStyle w:val="Heading2"/>
        <w:spacing w:after="120" w:before="280"/>
        <w:jc w:val="left"/>
      </w:pPr>
      <w:r>
        <w:rPr>
          <w:rFonts w:ascii="Times New Roman" w:cs="Times New Roman" w:eastAsia="Times New Roman" w:hAnsi="Times New Roman"/>
          <w:b/>
          <w:bCs/>
          <w:sz w:val="22"/>
          <w:szCs w:val="22"/>
        </w:rPr>
        <w:t xml:space="preserve">3.4 Workflow EW-04: User Access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ongoing management of user access within an active tenant — adding users, removing users, and modifying service ACLs. This workflow must be self-service automatable.</w:t>
      </w:r>
    </w:p>
    <w:p>
      <w:pPr>
        <w:spacing w:after="80" w:before="200"/>
        <w:jc w:val="left"/>
      </w:pPr>
      <w:r>
        <w:rPr>
          <w:rFonts w:ascii="Times New Roman" w:cs="Times New Roman" w:eastAsia="Times New Roman" w:hAnsi="Times New Roman"/>
          <w:b/>
          <w:bCs/>
          <w:i/>
          <w:iCs/>
          <w:sz w:val="22"/>
          <w:szCs w:val="22"/>
        </w:rPr>
        <w:t xml:space="preserve">Step 1: Add User to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user email address. Generate TOTP secret for the user. Add user to the service ACL files for each authorized service as defined in the updated User Access Matrix. Issue mTLS certificate if the user requires HTTPS application access. Record user entry in the tenant user inventory with service authorization scope.</w:t>
      </w:r>
    </w:p>
    <w:p>
      <w:pPr>
        <w:spacing w:after="80" w:before="200"/>
        <w:jc w:val="left"/>
      </w:pPr>
      <w:r>
        <w:rPr>
          <w:rFonts w:ascii="Times New Roman" w:cs="Times New Roman" w:eastAsia="Times New Roman" w:hAnsi="Times New Roman"/>
          <w:b/>
          <w:bCs/>
          <w:i/>
          <w:iCs/>
          <w:sz w:val="22"/>
          <w:szCs w:val="22"/>
        </w:rPr>
        <w:t xml:space="preserve">Step 2: Remove User from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user from all service ACL files. Revoke the user's mTLS certificate if one was issued. Invalidate the user's TOTP secret. Confirm all active sessions for this user are terminated. Record removal in the tenant audit log.</w:t>
      </w:r>
    </w:p>
    <w:p>
      <w:pPr>
        <w:spacing w:after="80" w:before="200"/>
        <w:jc w:val="left"/>
      </w:pPr>
      <w:r>
        <w:rPr>
          <w:rFonts w:ascii="Times New Roman" w:cs="Times New Roman" w:eastAsia="Times New Roman" w:hAnsi="Times New Roman"/>
          <w:b/>
          <w:bCs/>
          <w:i/>
          <w:iCs/>
          <w:sz w:val="22"/>
          <w:szCs w:val="22"/>
        </w:rPr>
        <w:t xml:space="preserve">Step 3: Modify Service Authorization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user's ACL membership across affected service ACL files. Hot-reload ACL files without service interruption. Confirm the updated authorization is effective for the next connection attempt. Record the change with before/after ACL state in the tenant audit log.</w:t>
      </w:r>
    </w:p>
    <w:p>
      <w:pPr>
        <w:pStyle w:val="Heading2"/>
        <w:spacing w:after="120" w:before="280"/>
        <w:jc w:val="left"/>
      </w:pPr>
      <w:r>
        <w:rPr>
          <w:rFonts w:ascii="Times New Roman" w:cs="Times New Roman" w:eastAsia="Times New Roman" w:hAnsi="Times New Roman"/>
          <w:b/>
          <w:bCs/>
          <w:sz w:val="22"/>
          <w:szCs w:val="22"/>
        </w:rPr>
        <w:t xml:space="preserve">3.5 Workflow EW-05: Outbound Governed Access Scope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ongoing management of the declared outbound governed access scope for an active tenant — adding permitted third-party destinations to the explicit host ACL, removing destinations, modifying TLS inspection policy, and validating CoreDNS per-tenant DNS rewriting. This workflow must be self-service automatable and must enforce that no CVS-to-third-party traffic flows outside the declared scope.</w:t>
      </w:r>
    </w:p>
    <w:p>
      <w:pPr>
        <w:spacing w:after="80" w:before="200"/>
        <w:jc w:val="left"/>
      </w:pPr>
      <w:r>
        <w:rPr>
          <w:rFonts w:ascii="Times New Roman" w:cs="Times New Roman" w:eastAsia="Times New Roman" w:hAnsi="Times New Roman"/>
          <w:b/>
          <w:bCs/>
          <w:i/>
          <w:iCs/>
          <w:sz w:val="22"/>
          <w:szCs w:val="22"/>
        </w:rPr>
        <w:t xml:space="preserve">Step 1: Add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the requested destination (hostname or CIDR) against the enterprise destination policy — confirm the destination is not on the enterprise block-list. Add the destination entry to the tenant's Cloudflare Gateway governed access allow-list. Confirm the allow-list is hot-reloaded without service interruption to existing permitted connections. Record the addition in the tenant audit log with requestor identity, destination, and timestamp. Confirm a test connection to the new destination succeeds through the tenant governed access path.</w:t>
      </w:r>
    </w:p>
    <w:p>
      <w:pPr>
        <w:spacing w:after="80" w:before="200"/>
        <w:jc w:val="left"/>
      </w:pPr>
      <w:r>
        <w:rPr>
          <w:rFonts w:ascii="Times New Roman" w:cs="Times New Roman" w:eastAsia="Times New Roman" w:hAnsi="Times New Roman"/>
          <w:b/>
          <w:bCs/>
          <w:i/>
          <w:iCs/>
          <w:sz w:val="22"/>
          <w:szCs w:val="22"/>
        </w:rPr>
        <w:t xml:space="preserve">Step 2: Remove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the destination entry from the tenant's Cloudflare Gateway governed access allow-list. Terminate any active connections to the removed destination with a defined grace period (default 2 minutes). Confirm the policy is reloaded and test connections to the removed destination are now blocked. Record the removal in the tenant audit log with operator identity, destination, removal reason, and timestamp.</w:t>
      </w:r>
    </w:p>
    <w:p>
      <w:pPr>
        <w:spacing w:after="80" w:before="200"/>
        <w:jc w:val="left"/>
      </w:pPr>
      <w:r>
        <w:rPr>
          <w:rFonts w:ascii="Times New Roman" w:cs="Times New Roman" w:eastAsia="Times New Roman" w:hAnsi="Times New Roman"/>
          <w:b/>
          <w:bCs/>
          <w:i/>
          <w:iCs/>
          <w:sz w:val="22"/>
          <w:szCs w:val="22"/>
        </w:rPr>
        <w:t xml:space="preserve">Step 3: Modify TLS Inspection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TLS handling configuration for the specified destination scope (inspection on/off, certificate pinning). Confirm the change takes effect for new connections without interrupting existing permitted sessions. Record the before/after policy state in the tenant audit log.</w:t>
      </w:r>
    </w:p>
    <w:p>
      <w:pPr>
        <w:spacing w:after="80" w:before="200"/>
        <w:jc w:val="left"/>
      </w:pPr>
      <w:r>
        <w:rPr>
          <w:rFonts w:ascii="Times New Roman" w:cs="Times New Roman" w:eastAsia="Times New Roman" w:hAnsi="Times New Roman"/>
          <w:b/>
          <w:bCs/>
          <w:i/>
          <w:iCs/>
          <w:sz w:val="22"/>
          <w:szCs w:val="22"/>
        </w:rPr>
        <w:t xml:space="preserve">Step 4: Validate Scope Integrity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After any allow-list modification, run the scope integrity check: enumerate all active Cloudflare Gateway governed access allow-list entries for the tenant and confirm each entry maps to a destination declared in the current onboarding workbook or an approved scope extension request. Flag any entry without a matching declaration for operator review. Record the validation result in the tenant audit log.</w:t>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4. POC DELIVERABLE SCHEDULE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deliverables must be submitted by July 30, 2026. Partial submissions are not accepted — all deliverables in each milestone must be complete before the milestone is considered met.</w:t>
      </w:r>
    </w:p>
    <w:p>
      <w:pPr>
        <w:spacing w:after="80" w:before="120"/>
        <w:jc w:val="center"/>
      </w:pPr>
      <w:r>
        <w:rPr>
          <w:rFonts w:ascii="Times New Roman" w:cs="Times New Roman" w:eastAsia="Times New Roman" w:hAnsi="Times New Roman"/>
          <w:i/>
          <w:iCs/>
          <w:sz w:val="20"/>
          <w:szCs w:val="20"/>
        </w:rPr>
        <w:t xml:space="preserve">Table 8. POC Milestone Schedule</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Milestone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Target Date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Deliverables &amp; Owner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April 14,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Environment setup confirmed. Platform tenancy model documented. Input schema mapped to Tenant Onboarding Workbook (including outbound service scope fields). Cloudflare and integrator resource plan confirmed. — Owner: Integrator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May 16,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 mTLS per-tenant CA isolation demonstrated across 3 tenants — with documentation of isolation mechanism (native vs. engineered). EW-02 certificate issuance workflow documented and executed live. CR-03 DNS rewriting demonstrated. — Owner: Integrator + Cloudflare</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June 13,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 SSH managed access demonstrated. Credential vault operational. TOTP and ACL enforcement demonstrated. CR-06 outbound governed access demonstrated for 3 tenants: destination allow-list (explicit host ACL), CoreDNS per-tenant DNS rewriting, per-tenant Gateway policy isolation documented, egress audit log confirmed, blocked-destination test confirmed. EW-01 and EW-05 provisioning workflows documented. — Owner: Integrator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11,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 full multi-tenant (5 tenants) simultaneous operation demonstrated — inbound and outbound. CR-04 lifecycle automation demonstrated including offboarding with residual state verification (including outbound governed access policy teardown). All acceptance test suites passing including CR-06. — Owner: Integrator + Cloudflare</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Final POC report delivered. All engineering workflow documents finalized (EW-01 through EW-05). Self-service automation API specification delivered (foundation for September 30 target). POC review meeting conducted. — Owner: Integrator</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4.1 Self-Service Delivery Foundation (September 30 Target)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engineering workflows documented during the POC phase must be structured as automatable API sequences that form the foundation for the self-service portal. By July 30, the following must be delivered as part of the POC output: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each step in EW-01 (Tenant Provisioning) expressed as Cloudflare API calls or equivalent platform API operations — including outbound governed access policy provisioning (Step 7)</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EW-03 (Tenant Offboarding) with the same structure — including outbound governed access teardown, DNS rewriting cleanup, and residual state verification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EW-04 (User Access Management)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EW-05 (Outbound Governed Access Scope Management) — including destination add, remove, and scope integrity validation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Data schema definition mapping the Tenant Onboarding Workbook to platform API inputs — including the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Automation dependency map showing the sequence constraints and rollback points in each workflow</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These outputs enable the self-service portal development to begin immediately after POC completion, targeting September 30 delivery.</w:t>
      </w:r>
    </w:p>
    <w:p>
      <w:pPr>
        <w:pStyle w:val="Heading1"/>
        <w:spacing w:after="160" w:before="360"/>
        <w:jc w:val="left"/>
      </w:pPr>
      <w:r>
        <w:rPr>
          <w:rFonts w:ascii="Times New Roman" w:cs="Times New Roman" w:eastAsia="Times New Roman" w:hAnsi="Times New Roman"/>
          <w:b/>
          <w:bCs/>
          <w:sz w:val="26"/>
          <w:szCs w:val="26"/>
        </w:rPr>
        <w:t xml:space="preserve">5. POC ENVIRONMENT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Cloudflare and the integrator are responsible for provisioning and operating the POC environment. The following requirements apply.</w:t>
      </w:r>
    </w:p>
    <w:p>
      <w:pPr>
        <w:pStyle w:val="Heading2"/>
        <w:spacing w:after="120" w:before="280"/>
        <w:jc w:val="left"/>
      </w:pPr>
      <w:r>
        <w:rPr>
          <w:rFonts w:ascii="Times New Roman" w:cs="Times New Roman" w:eastAsia="Times New Roman" w:hAnsi="Times New Roman"/>
          <w:b/>
          <w:bCs/>
          <w:sz w:val="22"/>
          <w:szCs w:val="22"/>
        </w:rPr>
        <w:t xml:space="preserve">5.1 Platform Configuration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Minimum five tenant contexts provisioned and simultaneously active during POC review</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Cloudflare tenant or dedicated environment — shared multi-customer environments are not acceptable for POC isolation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Dedicated integrator-managed credential vault (HashiCorp Vault or equivalent) — not a shared or demo instance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PKI hierarchy initialized with a platform root CA, five tenant intermediate CAs (one per test tenant), and operational CRL distribution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DNS listeners provisioned on per-tenant VIPs — shared DNS listener configurations are not acceptable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Per-tenant Cloudflare Gateway outbound governed access policies provisioned with distinct destination allow-lists (explicit host ACL) and CoreDNS per-tenant DNS rewriting — shared or default-permit egress configurations are not acceptable. Documentation of the Gateway policy isolation model (native vs. engineered) required before M3.</w:t>
      </w:r>
    </w:p>
    <w:p>
      <w:pPr>
        <w:pStyle w:val="Heading2"/>
        <w:spacing w:after="120" w:before="280"/>
        <w:jc w:val="left"/>
      </w:pPr>
      <w:r>
        <w:rPr>
          <w:rFonts w:ascii="Times New Roman" w:cs="Times New Roman" w:eastAsia="Times New Roman" w:hAnsi="Times New Roman"/>
          <w:b/>
          <w:bCs/>
          <w:sz w:val="22"/>
          <w:szCs w:val="22"/>
        </w:rPr>
        <w:t xml:space="preserve">5.2 Test Application Targets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integrator must provide or simulate the following backend targets for POC demonstration: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HTTPS application endpoints (simulating legacy HTTP applications that cannot support mTLS natively)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SSH-accessible hosts (simulating internal Linux hosts with SSH daemon)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Internal DNS resolver (simulating enterprise internal DNS)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simulated third-party HTTPS endpoints (simulating external vendor API platforms reachable via outbound governed access path — one declared in tenant allow-list, one not declared, to validate allow-list enforcement and CoreDNS DNS rewriting)</w:t>
      </w:r>
    </w:p>
    <w:p>
      <w:pPr>
        <w:pStyle w:val="Heading2"/>
        <w:spacing w:after="120" w:before="280"/>
        <w:jc w:val="left"/>
      </w:pPr>
      <w:r>
        <w:rPr>
          <w:rFonts w:ascii="Times New Roman" w:cs="Times New Roman" w:eastAsia="Times New Roman" w:hAnsi="Times New Roman"/>
          <w:b/>
          <w:bCs/>
          <w:sz w:val="22"/>
          <w:szCs w:val="22"/>
        </w:rPr>
        <w:t xml:space="preserve">5.3 CVS Health Participation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CVS Health will provide: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designated engineers to participate in milestone reviews and acceptance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completed Tenant Onboarding Workbook template as the input specification (including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Test partner credential packages (certificates and TOTP seeds) for POC connectivity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Acceptance test scenarios based on the GW Platform use case catalogue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Outbound scope declarations for each test tenant defining the permitted third-party destinations</w:t>
      </w:r>
    </w:p>
    <w:p>
      <w:pPr>
        <w:pStyle w:val="Heading2"/>
        <w:spacing w:after="120" w:before="280"/>
        <w:jc w:val="left"/>
      </w:pPr>
      <w:r>
        <w:rPr>
          <w:rFonts w:ascii="Times New Roman" w:cs="Times New Roman" w:eastAsia="Times New Roman" w:hAnsi="Times New Roman"/>
          <w:b/>
          <w:bCs/>
          <w:sz w:val="22"/>
          <w:szCs w:val="22"/>
        </w:rPr>
        <w:t xml:space="preserve">5.4 Documentation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documentation must be delivered as part of the POC:</w:t>
      </w:r>
    </w:p>
    <w:p>
      <w:pPr>
        <w:spacing w:after="80" w:before="120"/>
        <w:jc w:val="center"/>
      </w:pPr>
      <w:r>
        <w:rPr>
          <w:rFonts w:ascii="Times New Roman" w:cs="Times New Roman" w:eastAsia="Times New Roman" w:hAnsi="Times New Roman"/>
          <w:i/>
          <w:iCs/>
          <w:sz w:val="20"/>
          <w:szCs w:val="20"/>
        </w:rPr>
        <w:t xml:space="preserve">Table 9. Required Documentation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Document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Content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Required By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Platform Architecture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How Cloudflare implements per-tenant proxy tenancy, CA isolation, DNS segmentation, and outbound governed access (explicit host ACL, CoreDNS DNS rewriting, egress audit) — distinguishing native platform capabilities from engineered constructs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Engineering Workflow Document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Step-by-step workflows EW-01 through EW-05 with API call specifications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Isolation Model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Formal description of the isolation boundaries between tenants — what is shared, what is per-tenant, and what structural enforcement prevents cross-tenant access on both inbound and outbound paths. Must explicitly address Cloudflare's mTLS CA isolation and outbound governed access policy isolation model.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API Specification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API sequence specifications for all lifecycle workflows including EW-05, structured for portal integration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Final Report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Capability demonstration results against all acceptance criteria (CR-01 through CR-06), gap analysis distinguishing native capabilities from engineered constructs, and production readiness assessment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6. EVALUATION CRITERIA AND SCORING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evaluation is comparative. Cloudflare is evaluated against F5 Distributed Cloud using the same criteria and weighting. The evaluation is conducted by the CVS Health architecture team with input from the designated integrator assessment lead.</w:t>
      </w:r>
    </w:p>
    <w:p>
      <w:pPr>
        <w:spacing w:after="80" w:before="120"/>
        <w:jc w:val="center"/>
      </w:pPr>
      <w:r>
        <w:rPr>
          <w:rFonts w:ascii="Times New Roman" w:cs="Times New Roman" w:eastAsia="Times New Roman" w:hAnsi="Times New Roman"/>
          <w:i/>
          <w:iCs/>
          <w:sz w:val="20"/>
          <w:szCs w:val="20"/>
        </w:rPr>
        <w:t xml:space="preserve">Table 10. Evaluation Scoring</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Evaluation Dimension (Weight)</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What Is Being Assessed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CA Isolation — CR-01 (25%)</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CA trust separation at the platform level, not policy-based isolation over a shared CA. Native platform capability is weighted more favorably than an engineered construct of equivalent functional outcome.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SSH Managed Access Completeness — CR-02 (20%)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managed session model including credential vaulting and transparent injection — not TCP passthrough. Bidirectional: both inbound (partner-to-CVS) and outbound (CVS-to-third-party) SSH must be fully terminated and inspected.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DNS Tenant Segmentation — CR-03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DNS isolation — dedicated listener per tenant, not shared resolver with per-tenant filters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Lifecycle Automation Quality — CR-04 (20%)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Completeness and quality of provisioning/offboarding workflows, including zero residual state on offboarding across all service plane objects including outbound governed access policies and DNS rewriting rules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Outbound Governed Access — CR-06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governed egress: explicit host ACL (destination allow-list), CoreDNS per-tenant rewriting, egress audit completeness, mandatory full TLS inspection, mTLS enforcement on outbound connections, SSH session termination and inspection, and isolation under failure. Native Cloudflare Gateway capability will be evaluated on both structural isolation quality and ability to enforce mandatory inspection and mTLS on all outbound traffic.</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API Readiness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Quality and completeness of the API specifications delivered as POC output — these directly determine September 30 feasibility</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Multi-Tenant Scale and Isolation — CR-05 (5%)</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Demonstrated simultaneous operation across five tenants with verified cross-tenant isolation on both inbound and outbound paths</w:t>
            </w:r>
          </w:p>
        </w:tc>
      </w:tr>
    </w:tbl>
    <w:p>
      <w:pPr>
        <w:spacing w:after="0"/>
      </w:pPr>
      <w:r>
        <w:t xml:space="preserve"/>
      </w:r>
    </w:p>
    <w:p>
      <w:pPr>
        <w:shd w:fill="F5F5F5" w:val="clear"/>
        <w:spacing w:after="120" w:line="276" w:lineRule="exact"/>
        <w:jc w:val="both"/>
      </w:pPr>
      <w:r>
        <w:rPr>
          <w:rFonts w:ascii="Times New Roman" w:cs="Times New Roman" w:eastAsia="Times New Roman" w:hAnsi="Times New Roman"/>
          <w:i/>
          <w:iCs/>
          <w:sz w:val="20"/>
          <w:szCs w:val="20"/>
        </w:rPr>
        <w:t xml:space="preserve">CRITICAL NOTE — CR-01: Per-tenant CA isolation carries the highest single weight (25%) because this is the requirement where Cloudflare faces the greatest structural challenge. Cloudflare's mTLS model is not natively designed for tenant-scoped CA isolation. The Cloudflare POC must either demonstrate this capability as a native platform feature or deliver a fully engineered implementation whose structural integrity is verifiable under adversarial test conditions. The quality and robustness of the CA isolation approach will be the decisive factor in the comparative evaluation against F5.</w:t>
      </w:r>
    </w:p>
    <w:p>
      <w:pPr>
        <w:shd w:fill="F5F5F5" w:val="clear"/>
        <w:spacing w:after="120" w:line="276" w:lineRule="exact"/>
        <w:jc w:val="both"/>
      </w:pPr>
      <w:r>
        <w:rPr>
          <w:rFonts w:ascii="Times New Roman" w:cs="Times New Roman" w:eastAsia="Times New Roman" w:hAnsi="Times New Roman"/>
          <w:i/>
          <w:iCs/>
          <w:sz w:val="20"/>
          <w:szCs w:val="20"/>
        </w:rPr>
        <w:t xml:space="preserve">OUTBOUND MEDIATION NOTE: CR-06 (Outbound Governed Access) is a minimum viable solution requirement. mTLS is required on the outbound vector — CVS must present a valid client certificate when connecting through 3PLZ to third-party endpoints. Full TLS session inspection is mandatory; passthrough is not acceptable. Outbound SSH must be terminated and inspected at the platform. Governed access control (destination allow-listing via explicit host ACL), CoreDNS per-tenant DNS rewriting, and egress audit are also mandatory. A POC that does not demonstrate governed outbound access validates only the inbound half of the third-party connectivity use case. Failure to demonstrate CR-06 renders the POC incomplete regardless of performance on other criteria.</w:t>
      </w:r>
    </w:p>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Times New Roman" w:cs="Times New Roman" w:eastAsia="Times New Roman" w:hAnsi="Times New Roman"/>
        <w:i/>
        <w:iCs/>
        <w:color w:val="888888"/>
        <w:sz w:val="16"/>
        <w:szCs w:val="16"/>
      </w:rPr>
      <w:t xml:space="preserve">3PLZ POC Deliverables — Cloudflare</w:t>
    </w:r>
    <w:r>
      <w:rPr>
        <w:rFonts w:ascii="Times New Roman" w:cs="Times New Roman" w:eastAsia="Times New Roman" w:hAnsi="Times New Roman"/>
        <w:i/>
        <w:iCs/>
        <w:color w:val="888888"/>
        <w:sz w:val="16"/>
        <w:szCs w:val="16"/>
      </w:rPr>
      <w:t xml:space="preserve">			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2026-04-22T19:56:14.490Z</dcterms:created>
  <dcterms:modified xsi:type="dcterms:W3CDTF">2026-04-22T19:56:14.490Z</dcterms:modified>
</cp:coreProperties>
</file>

<file path=docProps/custom.xml><?xml version="1.0" encoding="utf-8"?>
<Properties xmlns="http://schemas.openxmlformats.org/officeDocument/2006/custom-properties" xmlns:vt="http://schemas.openxmlformats.org/officeDocument/2006/docPropsVTypes"/>
</file>