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THIRD-PARTY LANDING ZONE (3PLZ)</w:t>
      </w:r>
    </w:p>
    <w:p>
      <w:pPr>
        <w:spacing w:after="60"/>
        <w:jc w:val="center"/>
      </w:pPr>
      <w:r>
        <w:rPr>
          <w:rFonts w:ascii="Times New Roman" w:cs="Times New Roman" w:eastAsia="Times New Roman" w:hAnsi="Times New Roman"/>
          <w:sz w:val="26"/>
          <w:szCs w:val="26"/>
        </w:rPr>
        <w:t xml:space="preserve">Secure Access Edge Platform</w:t>
      </w:r>
    </w:p>
    <w:p>
      <w:pPr>
        <w:spacing w:after="60"/>
        <w:jc w:val="center"/>
      </w:pPr>
      <w:r>
        <w:rPr>
          <w:rFonts w:ascii="Times New Roman" w:cs="Times New Roman" w:eastAsia="Times New Roman" w:hAnsi="Times New Roman"/>
          <w:b/>
          <w:bCs/>
          <w:sz w:val="26"/>
          <w:szCs w:val="26"/>
        </w:rPr>
        <w:t xml:space="preserve">F5 DISTRIBUTED CLOUD</w:t>
      </w:r>
    </w:p>
    <w:p>
      <w:pPr>
        <w:spacing w:after="120"/>
        <w:jc w:val="center"/>
      </w:pPr>
      <w:r>
        <w:rPr>
          <w:rFonts w:ascii="Times New Roman" w:cs="Times New Roman" w:eastAsia="Times New Roman" w:hAnsi="Times New Roman"/>
          <w:sz w:val="24"/>
          <w:szCs w:val="24"/>
        </w:rPr>
        <w:t xml:space="preserve">POC Deliverables &amp; Engineering Implementation Workflows</w:t>
      </w:r>
    </w:p>
    <w:p>
      <w:pPr>
        <w:spacing w:after="80" w:before="120"/>
        <w:jc w:val="center"/>
      </w:pPr>
      <w:r>
        <w:rPr>
          <w:rFonts w:ascii="Times New Roman" w:cs="Times New Roman" w:eastAsia="Times New Roman" w:hAnsi="Times New Roman"/>
          <w:i/>
          <w:iCs/>
          <w:sz w:val="20"/>
          <w:szCs w:val="20"/>
        </w:rPr>
        <w:t xml:space="preserve">Table 1. Document Metadata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Field</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Value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Document Type</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Specification &amp; Engineering Workflow</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Program</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CVS Health — Third-Party Landing Zone (3PLZ)</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Vendor</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F5 Distributed Cloud (with Systems Integrator)</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Completion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Target</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September 30, 2026</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Revision</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 3 — Inbound/Outbound Separation, CR-06 Reframe, Scoring Rebalance</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Classification</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Confidential — Restricted Distribution</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1. PURPOSE AND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document defines the proof-of-concept (POC) deliverables and engineering implementation workflows required from F5 Distributed Cloud and its designated systems integrator to demonstrate fitness for the CVS Health Third-Party Landing Zone (3PLZ) platform.</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is not a vendor demonstration. It is a structured capability proof against a defined functional specification. The GW Platform RC3 POC — an operationally validated multi-tenant secure access edge — serves as the functional baseline. F5 must demonstrate that equivalent or superior capability can be delivered on the F5 Distributed Cloud platform, implemented and operated by the integrator, with engineering workflows that form the foundation of the subsequent self-service delivery layer.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Every requirement in this document maps directly to a proven capability in the GW Platform POC. The acceptance criteria are derived from that baseline. Demonstrating capability in isolation is insufficient — the POC must prove that capabilities compose correctly in a multi-tenant context with genuine per-tenant isolation.</w:t>
      </w:r>
    </w:p>
    <w:p>
      <w:pPr>
        <w:pStyle w:val="Heading2"/>
        <w:spacing w:after="120" w:before="280"/>
        <w:jc w:val="left"/>
      </w:pPr>
      <w:r>
        <w:rPr>
          <w:rFonts w:ascii="Times New Roman" w:cs="Times New Roman" w:eastAsia="Times New Roman" w:hAnsi="Times New Roman"/>
          <w:b/>
          <w:bCs/>
          <w:sz w:val="22"/>
          <w:szCs w:val="22"/>
        </w:rPr>
        <w:t xml:space="preserve">1.1 Evaluation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F5 Distributed Cloud is being evaluated in parallel with Cloudflare. Both vendors receive identical capability requirements and acceptance criteria. The evaluation is comparative and evidence-based. The vendor whose POC most completely and cleanly demonstrates the required capabilities — particularly per-tenant mTLS CA isolation, SSH managed access with credential vaulting, per-tenant DNS segmentation, and governed outbound mediation — will be selected as the production platform.</w:t>
      </w:r>
    </w:p>
    <w:p>
      <w:pPr>
        <w:pStyle w:val="Heading2"/>
        <w:spacing w:after="120" w:before="280"/>
        <w:jc w:val="left"/>
      </w:pPr>
      <w:r>
        <w:rPr>
          <w:rFonts w:ascii="Times New Roman" w:cs="Times New Roman" w:eastAsia="Times New Roman" w:hAnsi="Times New Roman"/>
          <w:b/>
          <w:bCs/>
          <w:sz w:val="22"/>
          <w:szCs w:val="22"/>
        </w:rPr>
        <w:t xml:space="preserve">1.2 POC Scope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scope covers the three traffic patterns required for a minimum viable technical solution: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 Bidirectional mTLS termination proxy with tenant-scoped CA trust isolation, backend application credential concealment, and service-catalog-driven provisioning. mTLS is required on both the inbound vector (partner-to-CVS) and the outbound vector (CVS-to-3PLZ): CVS must present a valid client certificate when initiating outbound connections through the 3PLZ platform. Full SSL/TLS session termination and inspection is required on both inbound and outbound paths — passthrough is not acceptable for SSL/TLS traffic.</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SSH Managed Access — Bidirectional SSH proxy with full session termination and inspection (not TCP passthrough). Inbound: TOTP-authenticated partner SSH sessions proxied to CVS internal hosts with per-service ACL enforcement, transparent credential injection from a vaulted credential store, and full session attribution. Outbound: CVS-initiated SSH sessions to third-party and partner hosts proxied through the governed platform with per-service ACL enforcement, credential vaulting, full session attribution, and complete session content inspection. SSH traffic must be terminated and inspected at the platform — TCP passthrough of SSH connections is not acceptable in either direction.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HTTPS/API Outbound (Enterprise-to-Partner) — CVS Health-initiated governed forward proxy with per-tenant destination allow-list (explicit host ACL), per-tenant DNS rewriting through the same CoreDNS construct, egress session audit, and mandatory full TLS inspection and mTLS enforcement. mTLS is required on the outbound vector: CVS must present a valid client certificate when connecting through the 3PLZ platform to third-party endpoints. TLS passthrough is not acceptable — all outbound SSL/TLS traffic must be terminated and inspected at the platform boundary.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are explicitly out of scope for the POC phase: VDI proxy, deep SFTP payload inspection, DLP inline integration, and internet-facing WAF capability. These may be addressed in subsequent platform phases.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Scope rationale: Third-party connectivity is architecturally bidirectional. Inbound mediation governs partner-to-CVS traffic. Outbound mediation governs CVS-to-partner traffic — API calls to vendor platforms, data pushes to partners, and outbound SaaS integrations. Without outbound coverage, the POC validates only half the trust boundary. CVS-initiated connections to third-party systems would continue to operate outside the governed exposure model, creating a structural asymmetry the 3PLZ program is explicitly designed to eliminate.</w:t>
      </w:r>
    </w:p>
    <w:p>
      <w:pPr>
        <w:pStyle w:val="Heading1"/>
        <w:spacing w:after="160" w:before="360"/>
        <w:jc w:val="left"/>
      </w:pPr>
      <w:r>
        <w:rPr>
          <w:rFonts w:ascii="Times New Roman" w:cs="Times New Roman" w:eastAsia="Times New Roman" w:hAnsi="Times New Roman"/>
          <w:b/>
          <w:bCs/>
          <w:sz w:val="26"/>
          <w:szCs w:val="26"/>
        </w:rPr>
        <w:t xml:space="preserve">2. POC CAPABILITY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capabilities must be demonstrated during the POC. Each capability has defined acceptance criteria derived from the GW Platform functional specification. Partial demonstrations or capability-in-isolation demonstrations do not satisfy acceptance criteria — all capabilities must operate simultaneously across a minimum of five concurrent tenants.</w:t>
      </w:r>
    </w:p>
    <w:p>
      <w:pPr>
        <w:pStyle w:val="Heading2"/>
        <w:spacing w:after="120" w:before="280"/>
        <w:jc w:val="left"/>
      </w:pPr>
      <w:r>
        <w:rPr>
          <w:rFonts w:ascii="Times New Roman" w:cs="Times New Roman" w:eastAsia="Times New Roman" w:hAnsi="Times New Roman"/>
          <w:b/>
          <w:bCs/>
          <w:sz w:val="22"/>
          <w:szCs w:val="22"/>
        </w:rPr>
        <w:t xml:space="preserve">2.1 Capability CR-01: Per-Tenant mTLS Termination with CA Isolation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is the primary differentiating capability. The F5 platform must demonstrate that mTLS termination is genuinely per-tenant at the CA trust level — not a shared platform CA with per-tenant certificate policies. mTLS is required bidirectionally: on the inbound path (partner presents cert to 3PLZ) and on the outbound path (CVS presents cert when connecting through 3PLZ to third-party endpoints). Per-tenant CA isolation must be enforced on both vectors. Full SSL/TLS session termination and inspection is mandatory — passthrough is not an acceptable implementation for either direction.</w:t>
      </w:r>
    </w:p>
    <w:p>
      <w:pPr>
        <w:spacing w:after="80" w:before="120"/>
        <w:jc w:val="center"/>
      </w:pPr>
      <w:r>
        <w:rPr>
          <w:rFonts w:ascii="Times New Roman" w:cs="Times New Roman" w:eastAsia="Times New Roman" w:hAnsi="Times New Roman"/>
          <w:i/>
          <w:iCs/>
          <w:sz w:val="20"/>
          <w:szCs w:val="20"/>
        </w:rPr>
        <w:t xml:space="preserve">Table 2. CR-01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must have a dedicated intermediate CA. The CA private key must be scoped to that tenant and must not be accessible to any other tenant context. The tenant CA issues client certificates for both directions: partner client certs (for inbound mTLS) and CVS client certs (for outbound mTLS when CVS initiates connections through 3PLZ).</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five tenants with five independent CA chains. Show that a certificate issued under Tenant A CA is rejected by Tenant B proxy listener.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mTLS enforcement. Inbound: partner presents a client certificate issued by the tenant intermediate CA; F5 Distributed Cloud validates the certificate against that tenant's CA chain before proxying the request. Outbound: CVS presents a client certificate when connecting through 3PLZ to third-party endpoints; the platform validates the CVS certificate before forwarding the connection.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connection with valid partner cert; rejected with cert from wrong CA; rejected with expired cert. Outbound: successful CVS-initiated connection with valid CVS client cert; rejected without valid cert.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Backend application receives plain HTTP from F5 Distributed Cloud. The application has no visibility into the mTLS exchange. No application modification is required.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traffic at the backend host and confirm plain HTTP with no client cert headers unless explicitly configured.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 compromise or revocation for one tenant must have zero impact on other tenants.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Revoke Tenant A CA. Confirm Tenant B mTLS sessions continue uninterrupted.</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Certificate issuance workflow must be documented as a repeatable engineering step. The workflow must map to the onboarding workbook mTLS Certificate Requirements sheet.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step-by-step issuance workflow. Execute it live during POC review for a new test tenant.</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2.2 Capability CR-02: SSH Managed Access with Credential Vaulting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SSH managed access capability must deliver the full managed session model in both directions — not TCP passthrough in either direction. The platform terminates every SSH session at the platform boundary, performs full SSH session inspection, authenticates the user independently of internal credentials, and opens the proxied session using credentials retrieved from a secure vault. TCP passthrough of SSH connections is explicitly prohibited. Inbound SSH: partner-initiated sessions to CVS internal hosts. Outbound SSH: CVS-initiated sessions to third-party/partner hosts, governed through the same platform with per-tenant ACL, credential vaulting, and full session audit.</w:t>
      </w:r>
    </w:p>
    <w:p>
      <w:pPr>
        <w:spacing w:after="80" w:before="120"/>
        <w:jc w:val="center"/>
      </w:pPr>
      <w:r>
        <w:rPr>
          <w:rFonts w:ascii="Times New Roman" w:cs="Times New Roman" w:eastAsia="Times New Roman" w:hAnsi="Times New Roman"/>
          <w:i/>
          <w:iCs/>
          <w:sz w:val="20"/>
          <w:szCs w:val="20"/>
        </w:rPr>
        <w:t xml:space="preserve">Table 3. CR-02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Bidirectional SSH authentication. Inbound: partner user authenticates to the F5 Distributed Cloud platform using email identity and TOTP before any backend CVS connection is established. Outbound: CVS user or service account authenticates to the platform before any SSH connection to a third-party host is established. The platform validates TOTP (or equivalent strong authentication) in both directions.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successful auth with valid TOTP; rejected with invalid TOTP; rejected with expired TOTP window. Outbound: successful CVS-initiated SSH session with valid authentication; rejected without valid authentication.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Per-service ACL enforcement. Each service has a named user list. A user not in the service ACL must be denied even if TOTP passes.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User in ACL for Service A but not Service B. Confirm access to A, denial on B, with audit log for both.</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Credential vault is required for both directions. Inbound: internal CVS credentials (username/password or private key for backend host access) are stored in the vault; the partner user never handles internal CVS credentials; the platform injects them transparently. Outbound: third-party host credentials are stored in the vault; the CVS user or service never handles partner credentials directly; the platform injects them transparently.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Inbound: connect as partner user; confirm backend CVS SSH daemon sees only the internal service account; confirm partner session provides no mechanism to retrieve internal credentials. Outbound: connect as CVS user; confirm third-party SSH host sees only the injected service account; confirm CVS session provides no mechanism to retrieve vault credentials.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session audit log for both inbound and outbound SSH sessions: direction (inbound/outbound), source IP, user email or service account identity, service accessed, authentication outcome, ACL outcome, proxied host connected, session duration, bytes transferred, and session content summary (commands executed or data transferred where inspection is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session log after a completed session. Confirm all fields present and accurate.</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a failure or misconfiguration in one tenant's SSH proxy must not affect any other tenant's SSH sessions.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proxy failure on Tenant A. Confirm Tenant B sessions continue without interruption.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2.3 Capability CR-03: Per-Tenant DNS Rewriting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DNS rewriting is a load-bearing dependency for all name-initiated connections. The platform must provide genuinely isolated per-tenant DNS contexts — not shared DNS with per-tenant filtering rules.</w:t>
      </w:r>
    </w:p>
    <w:p>
      <w:pPr>
        <w:spacing w:after="80" w:before="120"/>
        <w:jc w:val="center"/>
      </w:pPr>
      <w:r>
        <w:rPr>
          <w:rFonts w:ascii="Times New Roman" w:cs="Times New Roman" w:eastAsia="Times New Roman" w:hAnsi="Times New Roman"/>
          <w:i/>
          <w:iCs/>
          <w:sz w:val="20"/>
          <w:szCs w:val="20"/>
        </w:rPr>
        <w:t xml:space="preserve">Table 4. CR-03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an isolated DNS resolution context. A DNS query in Tenant A's context must not be resolvable in Tenant B's context unless both tenants have been explicitly configured with access to the same service.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Query an internal name from Tenant A context. Confirm the SNAT inbound IP is returned. Query the same name from Tenant B context. Confirm no result or a different result appropriate to Tenant B.</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A-record rewriting: when an internal DNS name resolves to a real internal IP, the platform intercepts the response and returns the tenant SNAT inbound identity. The real internal IP is never disclosed.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Capture DNS response from the partner side. Confirm the returned A record is the SNAT inbound IP, not the real internal host address.</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Conditional forwarding: internal domain queries forwarded to internal DNS resolvers, external queries forwarded to external resolvers. Forwarding configuration must be per-tenant.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Tenant A with internal domain suffix X and Tenant B with suffix Y. Confirm correct forwarder is used per tenant per query.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CR-03.4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listener runs on tenant-specific VIP. No shared DNS listener is used across tenants.</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Show the DNS listener configuration for five tenants. Confirm each has a dedicated listener address.</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2.4 Capability CR-04: Tenant Lifecycle — Provisioning and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lifecycle workflow is the foundation for the self-service delivery layer targeted for September 30. The POC must demonstrate that tenant provisioning and offboarding are fully automated, deterministic, and leave no residual state.</w:t>
      </w:r>
    </w:p>
    <w:p>
      <w:pPr>
        <w:spacing w:after="80" w:before="120"/>
        <w:jc w:val="center"/>
      </w:pPr>
      <w:r>
        <w:rPr>
          <w:rFonts w:ascii="Times New Roman" w:cs="Times New Roman" w:eastAsia="Times New Roman" w:hAnsi="Times New Roman"/>
          <w:i/>
          <w:iCs/>
          <w:sz w:val="20"/>
          <w:szCs w:val="20"/>
        </w:rPr>
        <w:t xml:space="preserve">Table 5. CR-04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onboarding is driven by a defined input schema that maps to the CVS Health Tenant Onboarding Workbook. All fields in the workbook must have a corresponding platform configuration parameter.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Provide the input schema. Walk through workbook-to-schema field mapping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Provisioning is fully automated from the input schema. No manual per-tenant configuration steps are permitted after schema submission.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Submit a new tenant schema. Confirm all platform objects (proxy listener, CA, DNS context, vault entry, ACL, forward proxy policy) are created without manual intervention.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Offboarding removes all tenant state. No residual objects, rules, certificates, vault entries, DNS configuration, outbound governed access policies, or DNS rewriting rules remain after offboarding completes.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Offboard a test tenant. Enumerate all platform objects and confirm zero residual state for that tenant ID.</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Acceptance test suite executes post-provisioning and confirms all capabilities — including inbound and outbound mediation — are functional before the tenant is marked active.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Provision a tenant. Review the acceptance test output. Confirm all tests pass before ACTIVE state is set.</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CR-04.5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The provisioning workflow must be documented as a step-by-step engineering workflow suitable for automation into a self-service portal API.</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Deliver the engineering workflow document as a POC deliverable. Each step must have a defined API call or CLI command.</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2.5 Capability CR-05: Multi-Tenant Isolation at Scale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capabilities must operate simultaneously across a minimum of five concurrent tenants. Isolation properties must be verified across all tenant boundaries, not just demonstrated per-tenant in isolation.</w:t>
      </w:r>
    </w:p>
    <w:p>
      <w:pPr>
        <w:spacing w:after="80" w:before="120"/>
        <w:jc w:val="center"/>
      </w:pPr>
      <w:r>
        <w:rPr>
          <w:rFonts w:ascii="Times New Roman" w:cs="Times New Roman" w:eastAsia="Times New Roman" w:hAnsi="Times New Roman"/>
          <w:i/>
          <w:iCs/>
          <w:sz w:val="20"/>
          <w:szCs w:val="20"/>
        </w:rPr>
        <w:t xml:space="preserve">Table 6. CR-05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Five concurrent tenants with active mTLS proxy listeners, SSH managed access proxies, DNS listeners, and forward proxy policies running simultaneously.</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 simultaneous active sessions across all five tenants during POC review.</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 certificate valid for Tenant A must be rejected by any other tenant's proxy listener.</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Attempt connection to Tenant B proxy using Tenant A certificate. Confirm rejection with appropriate TLS alert.</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An SSH session authenticated as a user in Tenant A must have no path to Tenant B resources.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From an active Tenant A SSH session, attempt to reach Tenant B internal host via any path. Confirm no reachability.</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CR-05.4</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Performance under concurrent load: all five tenants must maintain functional connectivity — both inbound and outbound — with no session interruption during a simulated load test.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Run concurrent inbound and outbound connections across all five tenants for 30 minutes. Confirm zero session drops attributable to platform resource contention.</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2.6 Capability CR-06: Outbound Governed Access (Enterprise-to-Partner)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capability addresses the outbound vector of the third-party connectivity use case. CVS-initiated connections to third-party systems must traverse a governed enforcement construct with per-tenant destination allow-list (explicit host ACL), per-tenant DNS rewriting through the same CoreDNS construct used for inbound, egress session audit, and mandatory full TLS inspection and mTLS enforcement. mTLS is required on the outbound vector — CVS must present a valid client certificate when initiating connections through 3PLZ to third-party endpoints. TLS passthrough is not an acceptable implementation for outbound SSL/TLS traffic.</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F5 Distributed Cloud platform must demonstrate that outbound connections from CVS systems to third-party endpoints are mediated through a governed per-tenant enforcement path, that destinations are constrained to the tenant's declared service scope via explicit host ACL, that DNS resolution for outbound traffic traverses the same CoreDNS per-tenant construct, and that full egress audit telemetry is produced.</w:t>
      </w:r>
    </w:p>
    <w:p>
      <w:pPr>
        <w:shd w:fill="F5F5F5" w:val="clear"/>
        <w:spacing w:after="120" w:line="276" w:lineRule="exact"/>
        <w:jc w:val="both"/>
      </w:pPr>
      <w:r>
        <w:rPr>
          <w:rFonts w:ascii="Times New Roman" w:cs="Times New Roman" w:eastAsia="Times New Roman" w:hAnsi="Times New Roman"/>
          <w:i/>
          <w:iCs/>
          <w:sz w:val="20"/>
          <w:szCs w:val="20"/>
        </w:rPr>
        <w:t xml:space="preserve">Platform Note: F5 XC Forward Proxy Policy and the existing CoreDNS per-tenant DNS construct support per-tenant outbound governed access without fundamental re-architecture. The same CoreDNS rewriting used for inbound (CR-03) provides outbound DNS resolution through the governed path. mTLS is required on the outbound vector — the F5 platform must terminate and inspect all outbound SSL/TLS connections and enforce CVS client certificate presentation. SSH outbound sessions must be terminated and inspected at the platform — TCP passthrough is prohibited. Scoped configuration within the existing tenant namespace is the implementation path.</w:t>
      </w:r>
    </w:p>
    <w:p>
      <w:pPr>
        <w:spacing w:after="80" w:before="120"/>
        <w:jc w:val="center"/>
      </w:pPr>
      <w:r>
        <w:rPr>
          <w:rFonts w:ascii="Times New Roman" w:cs="Times New Roman" w:eastAsia="Times New Roman" w:hAnsi="Times New Roman"/>
          <w:i/>
          <w:iCs/>
          <w:sz w:val="20"/>
          <w:szCs w:val="20"/>
        </w:rPr>
        <w:t xml:space="preserve">Table 7. CR-06 Acceptance Criteria</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Description</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Acceptance Criteria</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Each tenant has a dedicated outbound governed access policy scoped to its namespace with an explicit host ACL (destination allow-list). CVS-initiated outbound traffic destined for third-party endpoints must traverse the tenant's governed path. No shared or cross-tenant policy is permitted.</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Configure outbound governed access policies for five tenants with distinct destination allow-lists. Show that a CVS system in Tenant A's context is governed through Tenant A's policy and cannot traverse Tenant B's policy.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DNS rewriting for outbound traffic uses the same CoreDNS construct as inbound (CR-03). Outbound DNS resolution traverses the tenant's DNS context, ensuring all name-initiated outbound connections are governed. Destination allow-listing is enforced per tenant via explicit host ACL.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outbound DNS queries resolve through the tenant's CoreDNS context. Confirm destination allow-list enforcement: connection to declared destination succeeds, connection to undeclared destination is blocked with audit log entry.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outbound TLS inspection is mandatory. The platform must terminate and inspect all outbound SSL/TLS traffic. Passthrough configurations are not acceptable. The platform must also enforce mTLS client certificate presentation for CVS-initiated outbound connections.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Confirm full L7 TLS inspection is active for all tenant outbound traffic. Confirm CVS client certificate is presented and validated on outbound mTLS connections. Confirm that any attempt to configure passthrough is rejected by the platform or flagged as a policy violation.</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egress session audit log: source identity (CVS system or service account), tenant context, destination hostname/IP, destination port, connection outcome (allowed/blocked), bytes transferred, and timestamp.</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Review egress session log after completed allowed and blocked connection attempts. Confirm all fields present and accurate for both outcomes.</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CR-06.5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isolation on egress: a misconfiguration or policy failure in one tenant's forward proxy must not affect any other tenant's outbound connectivity.</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Force a forward proxy policy failure on Tenant A. Confirm Tenant B outbound sessions continue without interruption and Tenant B policy is not affected.</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3. ENGINEERING IMPLEMENTATION WORKFLOWS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workflows define the step-by-step engineering implementation for each capability. These workflows serve two purposes: they define the POC implementation methodology, and they form the engineering blueprint for the self-service automation layer to be delivered by September 30. Each step must be executable as a discrete, automatable operation.</w:t>
      </w:r>
    </w:p>
    <w:p>
      <w:pPr>
        <w:pStyle w:val="Heading2"/>
        <w:spacing w:after="120" w:before="280"/>
        <w:jc w:val="left"/>
      </w:pPr>
      <w:r>
        <w:rPr>
          <w:rFonts w:ascii="Times New Roman" w:cs="Times New Roman" w:eastAsia="Times New Roman" w:hAnsi="Times New Roman"/>
          <w:b/>
          <w:bCs/>
          <w:sz w:val="22"/>
          <w:szCs w:val="22"/>
        </w:rPr>
        <w:t xml:space="preserve">3.1 Workflow EW-01: Tenant Provisioning End-to-End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complete provisioning sequence for a new tenant from schema intake to ACTIVE state. It is the master workflow that orchestrates all sub-workflows below.</w:t>
      </w:r>
    </w:p>
    <w:p>
      <w:pPr>
        <w:spacing w:after="80" w:before="200"/>
        <w:jc w:val="left"/>
      </w:pPr>
      <w:r>
        <w:rPr>
          <w:rFonts w:ascii="Times New Roman" w:cs="Times New Roman" w:eastAsia="Times New Roman" w:hAnsi="Times New Roman"/>
          <w:b/>
          <w:bCs/>
          <w:i/>
          <w:iCs/>
          <w:sz w:val="22"/>
          <w:szCs w:val="22"/>
        </w:rPr>
        <w:t xml:space="preserve">Step 1: Receive and Validate Tenant Onboarding Schema</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Intake the completed Tenant Onboarding Workbook. Validate all mandatory fields: tenant organization details, IKE peer IP (must be public routable), remote network prefixes (must be unique across all active tenants), application access FQDN list, SSH proxy requirements if applicable, mTLS certificate subject and SAN, and outbound service scope (third-party destination hostnames and IP ranges). Reject incomplete submissions before proceeding.</w:t>
      </w:r>
    </w:p>
    <w:p>
      <w:pPr>
        <w:spacing w:after="80" w:before="200"/>
        <w:jc w:val="left"/>
      </w:pPr>
      <w:r>
        <w:rPr>
          <w:rFonts w:ascii="Times New Roman" w:cs="Times New Roman" w:eastAsia="Times New Roman" w:hAnsi="Times New Roman"/>
          <w:b/>
          <w:bCs/>
          <w:i/>
          <w:iCs/>
          <w:sz w:val="22"/>
          <w:szCs w:val="22"/>
        </w:rPr>
        <w:t xml:space="preserve">Step 2: Allocate Tenant Resources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Invoke the IPAM service to allocate: SNAT inbound identity (/32), SNAT outbound identity (/32), DNS listener VIP, SSH proxy VIP (if SSH enabled), and forward proxy egress VIP. Record all allocations in the tenant state store. Confirm uniqueness enforcement — no two tenants may share any allocated address.</w:t>
      </w:r>
    </w:p>
    <w:p>
      <w:pPr>
        <w:spacing w:after="80" w:before="200"/>
        <w:jc w:val="left"/>
      </w:pPr>
      <w:r>
        <w:rPr>
          <w:rFonts w:ascii="Times New Roman" w:cs="Times New Roman" w:eastAsia="Times New Roman" w:hAnsi="Times New Roman"/>
          <w:b/>
          <w:bCs/>
          <w:i/>
          <w:iCs/>
          <w:sz w:val="22"/>
          <w:szCs w:val="22"/>
        </w:rPr>
        <w:t xml:space="preserve">Step 3: Initialize Tenant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intermediate CA under the platform root CA hierarchy. Store the CA private key in the tenant-scoped PKI store. Generate the CA chain bundle. Issue the initial client certificate based on the workbook mTLS Certificate Requirements sheet (CN and SAN as specified). Create the CRL distribution point. Enable the CRL refresh timer. Confirm: CA initialized, certificate issued, CRL active.</w:t>
      </w:r>
    </w:p>
    <w:p>
      <w:pPr>
        <w:spacing w:after="80" w:before="200"/>
        <w:jc w:val="left"/>
      </w:pPr>
      <w:r>
        <w:rPr>
          <w:rFonts w:ascii="Times New Roman" w:cs="Times New Roman" w:eastAsia="Times New Roman" w:hAnsi="Times New Roman"/>
          <w:b/>
          <w:bCs/>
          <w:i/>
          <w:iCs/>
          <w:sz w:val="22"/>
          <w:szCs w:val="22"/>
        </w:rPr>
        <w:t xml:space="preserve">Step 4: Provision mTLS Proxy Listener</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F5 virtual server on the assigned SNAT inbound IP. Attach the tenant SSL profile referencing the tenant intermediate CA chain. Configure the mTLS termination policy: client certificate required, CA trust anchored to tenant intermediate CA, certificate validation including CRL check. Configure the backend pool pointing to the internal application host(s) as defined in the Application Access sheet. Configure plain HTTP backend connection. Apply tenant-specific traffic policy. Additionally provision the outbound mTLS enforcement: configure the CVS client certificate and outbound SSL profile so that CVS-initiated connections through 3PLZ present a valid mTLS certificate to third-party endpoints. Full TLS inspection must be active on the outbound path — passthrough is not permitted.</w:t>
      </w:r>
    </w:p>
    <w:p>
      <w:pPr>
        <w:spacing w:after="80" w:before="200"/>
        <w:jc w:val="left"/>
      </w:pPr>
      <w:r>
        <w:rPr>
          <w:rFonts w:ascii="Times New Roman" w:cs="Times New Roman" w:eastAsia="Times New Roman" w:hAnsi="Times New Roman"/>
          <w:b/>
          <w:bCs/>
          <w:i/>
          <w:iCs/>
          <w:sz w:val="22"/>
          <w:szCs w:val="22"/>
        </w:rPr>
        <w:t xml:space="preserve">Step 5: Provision SSH Managed Access Proxy (if required)</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SSH proxy listeners — one for inbound (partner-to-CVS) and one for outbound (CVS-to-third-party) on the assigned SSH proxy VIPs. Inbound: initialize the credential vault entry for internal CVS SSH credentials; configure TOTP provisioning for partner users; import the partner user access matrix; generate per-user TOTP secrets; configure per-service ACL files. Outbound: initialize the credential vault entry for third-party host credentials; configure CVS user or service account authentication; import the CVS outbound service access matrix; configure per-service ACL files for outbound sessions. Both listeners must perform full SSH session termination and inspection — TCP passthrough is prohibited. Confirm: vault initialized for both directions, TOTP secrets generated, ACLs loaded, both listeners active.</w:t>
      </w:r>
    </w:p>
    <w:p>
      <w:pPr>
        <w:spacing w:after="80" w:before="200"/>
        <w:jc w:val="left"/>
      </w:pPr>
      <w:r>
        <w:rPr>
          <w:rFonts w:ascii="Times New Roman" w:cs="Times New Roman" w:eastAsia="Times New Roman" w:hAnsi="Times New Roman"/>
          <w:b/>
          <w:bCs/>
          <w:i/>
          <w:iCs/>
          <w:sz w:val="22"/>
          <w:szCs w:val="22"/>
        </w:rPr>
        <w:t xml:space="preserve">Step 6: Provision Per-Tenant DNS Context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tenant DNS listener on the assigned DNS VIP port 53. Configure conditional forwarding rules: internal domain suffixes forwarded to internal DNS resolvers as defined in the DNS Rewriting sheet, external queries forwarded to external resolvers. Configure A-record rewrite rules: one per application service, mapping internal FQDN to SNAT inbound identity. Confirm: listener active, test query returns SNAT inbound IP, real internal IP is not disclosed in any response.</w:t>
      </w:r>
    </w:p>
    <w:p>
      <w:pPr>
        <w:spacing w:after="80" w:before="200"/>
        <w:jc w:val="left"/>
      </w:pPr>
      <w:r>
        <w:rPr>
          <w:rFonts w:ascii="Times New Roman" w:cs="Times New Roman" w:eastAsia="Times New Roman" w:hAnsi="Times New Roman"/>
          <w:b/>
          <w:bCs/>
          <w:i/>
          <w:iCs/>
          <w:sz w:val="22"/>
          <w:szCs w:val="22"/>
        </w:rPr>
        <w:t xml:space="preserve">Step 7: Provision Outbound Governed Access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Create the per-tenant outbound governed access policy scoped to the tenant namespace. Configure per-tenant DNS rewriting for outbound through the same CoreDNS construct (CR-03). Import the declared outbound service scope from the onboarding workbook (third-party hostnames and IP ranges). Build the destination allow-list (explicit host ACL): one entry per declared third-party service endpoint. Configure TLS handling per tenant specification (full inspection mandatory; passthrough is not permitted). Configure egress audit logging to the tenant audit store. Assign the governed access policy to the tenant egress path. Confirm: policy active, allow-list loaded, DNS rewriting functional, test connection to declared destination succeeds, test connection to undeclared destination is blocked with audit log entry.</w:t>
      </w:r>
    </w:p>
    <w:p>
      <w:pPr>
        <w:spacing w:after="80" w:before="200"/>
        <w:jc w:val="left"/>
      </w:pPr>
      <w:r>
        <w:rPr>
          <w:rFonts w:ascii="Times New Roman" w:cs="Times New Roman" w:eastAsia="Times New Roman" w:hAnsi="Times New Roman"/>
          <w:b/>
          <w:bCs/>
          <w:i/>
          <w:iCs/>
          <w:sz w:val="22"/>
          <w:szCs w:val="22"/>
        </w:rPr>
        <w:t xml:space="preserve">Step 8: Execute Acceptance Test Suite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Run the automated acceptance test suite: (1) Inbound mTLS connection with valid partner cert succeeds; (2) Inbound mTLS connection with invalid/wrong-tenant cert fails with correct TLS alert; (3) Outbound mTLS — CVS-initiated connection presents valid CVS client cert and succeeds; (4) Outbound mTLS — CVS-initiated connection without valid cert is rejected; (5) Inbound SSH managed access with valid TOTP succeeds; (6) Inbound SSH managed access with invalid TOTP fails; (7) Outbound SSH managed access — CVS-initiated session authenticates and succeeds; (8) Outbound SSH session is terminated and inspected at the platform — confirm no TCP passthrough; (9) DNS query returns SNAT inbound IP; (10) DNS query does not return real internal IP; (11) Outbound HTTPS connection to declared destination succeeds through governed path with full TLS inspection active; (12) Outbound connection to undeclared destination is blocked with audit log entry; (13) Outbound DNS resolves through tenant CoreDNS context; (14) Session log entries written for all inbound and outbound tests including SSH and mTLS; (15) Tenant isolation verified — Tenant A cert rejected by any other tenant listener; (16) Tenant A outbound governed access policy does not affect Tenant B egress. All tests must pass before proceeding.</w:t>
      </w:r>
    </w:p>
    <w:p>
      <w:pPr>
        <w:spacing w:after="80" w:before="200"/>
        <w:jc w:val="left"/>
      </w:pPr>
      <w:r>
        <w:rPr>
          <w:rFonts w:ascii="Times New Roman" w:cs="Times New Roman" w:eastAsia="Times New Roman" w:hAnsi="Times New Roman"/>
          <w:b/>
          <w:bCs/>
          <w:i/>
          <w:iCs/>
          <w:sz w:val="22"/>
          <w:szCs w:val="22"/>
        </w:rPr>
        <w:t xml:space="preserve">Step 9: Activate Tenant and Notify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ACTIVE in the tenant state store. Record workflow run ID, provisioning timestamp, and accepting engineer identity. Update ServiceNow request to provisioned state. Deliver the mTLS client certificate P12 bundle to the partner contact via the secure delivery mechanism. Deliver the TOTP provisioning link to authorized users (if SSH enabled). Notify the tenant technical contact that provisioning is complete with connection test instructions.</w:t>
      </w:r>
    </w:p>
    <w:p>
      <w:pPr>
        <w:pStyle w:val="Heading2"/>
        <w:spacing w:after="120" w:before="280"/>
        <w:jc w:val="left"/>
      </w:pPr>
      <w:r>
        <w:rPr>
          <w:rFonts w:ascii="Times New Roman" w:cs="Times New Roman" w:eastAsia="Times New Roman" w:hAnsi="Times New Roman"/>
          <w:b/>
          <w:bCs/>
          <w:sz w:val="22"/>
          <w:szCs w:val="22"/>
        </w:rPr>
        <w:t xml:space="preserve">3.2 Workflow EW-02: mTLS Certificate Issuance and Delivery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certificate lifecycle operations that will occur routinely during production operation and must be automatable.</w:t>
      </w:r>
    </w:p>
    <w:p>
      <w:pPr>
        <w:spacing w:after="80" w:before="200"/>
        <w:jc w:val="left"/>
      </w:pPr>
      <w:r>
        <w:rPr>
          <w:rFonts w:ascii="Times New Roman" w:cs="Times New Roman" w:eastAsia="Times New Roman" w:hAnsi="Times New Roman"/>
          <w:b/>
          <w:bCs/>
          <w:i/>
          <w:iCs/>
          <w:sz w:val="22"/>
          <w:szCs w:val="22"/>
        </w:rPr>
        <w:t xml:space="preserve">Step 1: Receive Certificate Request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Accept CSR from partner (preferred) or generate key and certificate server-side (POC convenience only, not recommended for production). Validate CN and SAN match the onboarding workbook specification. Confirm tenant intermediate CA is initialized and CRL is active.</w:t>
      </w:r>
    </w:p>
    <w:p>
      <w:pPr>
        <w:spacing w:after="80" w:before="200"/>
        <w:jc w:val="left"/>
      </w:pPr>
      <w:r>
        <w:rPr>
          <w:rFonts w:ascii="Times New Roman" w:cs="Times New Roman" w:eastAsia="Times New Roman" w:hAnsi="Times New Roman"/>
          <w:b/>
          <w:bCs/>
          <w:i/>
          <w:iCs/>
          <w:sz w:val="22"/>
          <w:szCs w:val="22"/>
        </w:rPr>
        <w:t xml:space="preserve">Step 2: Issue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Sign the CSR (or generated key) with the tenant intermediate CA. Record certificate serial in the CA index. Set validity period per workbook specification (default 365 days, maximum 825 days). Generate the certificate bundle including the full CA chain.</w:t>
      </w:r>
    </w:p>
    <w:p>
      <w:pPr>
        <w:spacing w:after="80" w:before="200"/>
        <w:jc w:val="left"/>
      </w:pPr>
      <w:r>
        <w:rPr>
          <w:rFonts w:ascii="Times New Roman" w:cs="Times New Roman" w:eastAsia="Times New Roman" w:hAnsi="Times New Roman"/>
          <w:b/>
          <w:bCs/>
          <w:i/>
          <w:iCs/>
          <w:sz w:val="22"/>
          <w:szCs w:val="22"/>
        </w:rPr>
        <w:t xml:space="preserve">Step 3: Deliver Certificate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Package the certificate as a P12 bundle if requested. Stand up the temporary delivery endpoint on the tenant VIP port 8443. Authenticate the recipient with a one-time password delivered out-of-band. Provide download link with 3-attempt / 15-minute window. Shut down delivery endpoint automatically after delivery or expiry.</w:t>
      </w:r>
    </w:p>
    <w:p>
      <w:pPr>
        <w:spacing w:after="80" w:before="200"/>
        <w:jc w:val="left"/>
      </w:pPr>
      <w:r>
        <w:rPr>
          <w:rFonts w:ascii="Times New Roman" w:cs="Times New Roman" w:eastAsia="Times New Roman" w:hAnsi="Times New Roman"/>
          <w:b/>
          <w:bCs/>
          <w:i/>
          <w:iCs/>
          <w:sz w:val="22"/>
          <w:szCs w:val="22"/>
        </w:rPr>
        <w:t xml:space="preserve">Step 4: Record and Schedule Renewal</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Record issued certificate serial, subject, expiry date in the tenant certificate inventory. Schedule renewal notification at 60 days before expiry. Schedule automated renewal workflow at 30 days before expiry if the partner has provided standing CSR authorization.</w:t>
      </w:r>
    </w:p>
    <w:p>
      <w:pPr>
        <w:pStyle w:val="Heading2"/>
        <w:spacing w:after="120" w:before="280"/>
        <w:jc w:val="left"/>
      </w:pPr>
      <w:r>
        <w:rPr>
          <w:rFonts w:ascii="Times New Roman" w:cs="Times New Roman" w:eastAsia="Times New Roman" w:hAnsi="Times New Roman"/>
          <w:b/>
          <w:bCs/>
          <w:sz w:val="22"/>
          <w:szCs w:val="22"/>
        </w:rPr>
        <w:t xml:space="preserve">3.3 Workflow EW-03: Tenant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offboarding workflow must be deterministic and must produce zero residual state. This workflow is as important as the provisioning workflow — ungoverned residual state is a primary risk driver in the current ASA estate.</w:t>
      </w:r>
    </w:p>
    <w:p>
      <w:pPr>
        <w:spacing w:after="80" w:before="200"/>
        <w:jc w:val="left"/>
      </w:pPr>
      <w:r>
        <w:rPr>
          <w:rFonts w:ascii="Times New Roman" w:cs="Times New Roman" w:eastAsia="Times New Roman" w:hAnsi="Times New Roman"/>
          <w:b/>
          <w:bCs/>
          <w:i/>
          <w:iCs/>
          <w:sz w:val="22"/>
          <w:szCs w:val="22"/>
        </w:rPr>
        <w:t xml:space="preserve">Step 1: Initiate Offboarding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Set tenant state to DEPROVISIONING. Record offboarding initiator identity, timestamp, and ServiceNow change reference. Block new connections to tenant listeners. Block new outbound connections through tenant governed access path. Allow existing sessions to drain with a defined grace period (default 5 minutes).</w:t>
      </w:r>
    </w:p>
    <w:p>
      <w:pPr>
        <w:spacing w:after="80" w:before="200"/>
        <w:jc w:val="left"/>
      </w:pPr>
      <w:r>
        <w:rPr>
          <w:rFonts w:ascii="Times New Roman" w:cs="Times New Roman" w:eastAsia="Times New Roman" w:hAnsi="Times New Roman"/>
          <w:b/>
          <w:bCs/>
          <w:i/>
          <w:iCs/>
          <w:sz w:val="22"/>
          <w:szCs w:val="22"/>
        </w:rPr>
        <w:t xml:space="preserve">Step 2: Remove Service Plane Objects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the mTLS proxy virtual server and SSL profile. Delete the backend pool. Delete the SSH proxy listener, ACL files, and TOTP secrets. Delete the DNS listener, forwarding rules, and A-record rewrite rules. Delete the outbound governed access policy, destination allow-list entries, DNS rewriting rules for outbound, and TLS inspection configuration. Confirm each deletion before proceeding to the next object.</w:t>
      </w:r>
    </w:p>
    <w:p>
      <w:pPr>
        <w:spacing w:after="80" w:before="200"/>
        <w:jc w:val="left"/>
      </w:pPr>
      <w:r>
        <w:rPr>
          <w:rFonts w:ascii="Times New Roman" w:cs="Times New Roman" w:eastAsia="Times New Roman" w:hAnsi="Times New Roman"/>
          <w:b/>
          <w:bCs/>
          <w:i/>
          <w:iCs/>
          <w:sz w:val="22"/>
          <w:szCs w:val="22"/>
        </w:rPr>
        <w:t xml:space="preserve">Step 3: Revoke PKI</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Revoke the tenant intermediate CA. Update CRL. Revoke all issued certificates under the tenant CA. Remove CA chain from the platform CA store. Delete the CA private key and all associated key material. Confirm no references to the tenant CA remain in any active proxy configuration.</w:t>
      </w:r>
    </w:p>
    <w:p>
      <w:pPr>
        <w:spacing w:after="80" w:before="200"/>
        <w:jc w:val="left"/>
      </w:pPr>
      <w:r>
        <w:rPr>
          <w:rFonts w:ascii="Times New Roman" w:cs="Times New Roman" w:eastAsia="Times New Roman" w:hAnsi="Times New Roman"/>
          <w:b/>
          <w:bCs/>
          <w:i/>
          <w:iCs/>
          <w:sz w:val="22"/>
          <w:szCs w:val="22"/>
        </w:rPr>
        <w:t xml:space="preserve">Step 4: Release Address Allocations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Return SNAT inbound IP, SNAT outbound IP, DNS listener VIP, SSH proxy VIP, and forward proxy egress VIP to the IPAM pool. Confirm allocations are released and available for new tenant assignment.</w:t>
      </w:r>
    </w:p>
    <w:p>
      <w:pPr>
        <w:spacing w:after="80" w:before="200"/>
        <w:jc w:val="left"/>
      </w:pPr>
      <w:r>
        <w:rPr>
          <w:rFonts w:ascii="Times New Roman" w:cs="Times New Roman" w:eastAsia="Times New Roman" w:hAnsi="Times New Roman"/>
          <w:b/>
          <w:bCs/>
          <w:i/>
          <w:iCs/>
          <w:sz w:val="22"/>
          <w:szCs w:val="22"/>
        </w:rPr>
        <w:t xml:space="preserve">Step 5: Purge Credential Vault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Delete all credential vault entries for this tenant. Confirm vault has no remaining entries with this tenant ID. Confirm vault audit log records the deletion event with timestamp and operator identity.</w:t>
      </w:r>
    </w:p>
    <w:p>
      <w:pPr>
        <w:spacing w:after="80" w:before="200"/>
        <w:jc w:val="left"/>
      </w:pPr>
      <w:r>
        <w:rPr>
          <w:rFonts w:ascii="Times New Roman" w:cs="Times New Roman" w:eastAsia="Times New Roman" w:hAnsi="Times New Roman"/>
          <w:b/>
          <w:bCs/>
          <w:i/>
          <w:iCs/>
          <w:sz w:val="22"/>
          <w:szCs w:val="22"/>
        </w:rPr>
        <w:t xml:space="preserve">Step 6: Verify Zero Residual State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Execute the residual state verification scan: enumerate all platform objects tagged with this tenant ID — including outbound governed access policies, DNS rewriting rules, and egress allow-list entries. The result must be empty. Record the verification result in the offboarding record. Set tenant state to OFFBOARDED. Close the ServiceNow change record.</w:t>
      </w:r>
    </w:p>
    <w:p>
      <w:pPr>
        <w:pStyle w:val="Heading2"/>
        <w:spacing w:after="120" w:before="280"/>
        <w:jc w:val="left"/>
      </w:pPr>
      <w:r>
        <w:rPr>
          <w:rFonts w:ascii="Times New Roman" w:cs="Times New Roman" w:eastAsia="Times New Roman" w:hAnsi="Times New Roman"/>
          <w:b/>
          <w:bCs/>
          <w:sz w:val="22"/>
          <w:szCs w:val="22"/>
        </w:rPr>
        <w:t xml:space="preserve">3.4 Workflow EW-04: User Access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the ongoing management of user access within an active tenant — adding users, removing users, and modifying service ACLs. This workflow must be self-service automatable.</w:t>
      </w:r>
    </w:p>
    <w:p>
      <w:pPr>
        <w:spacing w:after="80" w:before="200"/>
        <w:jc w:val="left"/>
      </w:pPr>
      <w:r>
        <w:rPr>
          <w:rFonts w:ascii="Times New Roman" w:cs="Times New Roman" w:eastAsia="Times New Roman" w:hAnsi="Times New Roman"/>
          <w:b/>
          <w:bCs/>
          <w:i/>
          <w:iCs/>
          <w:sz w:val="22"/>
          <w:szCs w:val="22"/>
        </w:rPr>
        <w:t xml:space="preserve">Step 1: Add User to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user email address. Generate TOTP secret for the user. Add user to the service ACL files for each authorized service as defined in the updated User Access Matrix. Issue mTLS certificate if the user requires HTTPS application access. Record user entry in the tenant user inventory with service authorization scope.</w:t>
      </w:r>
    </w:p>
    <w:p>
      <w:pPr>
        <w:spacing w:after="80" w:before="200"/>
        <w:jc w:val="left"/>
      </w:pPr>
      <w:r>
        <w:rPr>
          <w:rFonts w:ascii="Times New Roman" w:cs="Times New Roman" w:eastAsia="Times New Roman" w:hAnsi="Times New Roman"/>
          <w:b/>
          <w:bCs/>
          <w:i/>
          <w:iCs/>
          <w:sz w:val="22"/>
          <w:szCs w:val="22"/>
        </w:rPr>
        <w:t xml:space="preserve">Step 2: Remove User from Tenant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user from all service ACL files. Revoke the user's mTLS certificate if one was issued. Invalidate the user's TOTP secret. Confirm all active sessions for this user are terminated. Record removal in the tenant audit log.</w:t>
      </w:r>
    </w:p>
    <w:p>
      <w:pPr>
        <w:spacing w:after="80" w:before="200"/>
        <w:jc w:val="left"/>
      </w:pPr>
      <w:r>
        <w:rPr>
          <w:rFonts w:ascii="Times New Roman" w:cs="Times New Roman" w:eastAsia="Times New Roman" w:hAnsi="Times New Roman"/>
          <w:b/>
          <w:bCs/>
          <w:i/>
          <w:iCs/>
          <w:sz w:val="22"/>
          <w:szCs w:val="22"/>
        </w:rPr>
        <w:t xml:space="preserve">Step 3: Modify Service Authorization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user's ACL membership across affected service ACL files. Hot-reload ACL files without service interruption. Confirm the updated authorization is effective for the next connection attempt. Record the change with before/after ACL state in the tenant audit log.</w:t>
      </w:r>
    </w:p>
    <w:p>
      <w:pPr>
        <w:pStyle w:val="Heading2"/>
        <w:spacing w:after="120" w:before="280"/>
        <w:jc w:val="left"/>
      </w:pPr>
      <w:r>
        <w:rPr>
          <w:rFonts w:ascii="Times New Roman" w:cs="Times New Roman" w:eastAsia="Times New Roman" w:hAnsi="Times New Roman"/>
          <w:b/>
          <w:bCs/>
          <w:sz w:val="22"/>
          <w:szCs w:val="22"/>
        </w:rPr>
        <w:t xml:space="preserve">3.5 Workflow EW-05: Outbound Governed Access Scope Management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This workflow covers ongoing management of the declared outbound governed access scope for an active tenant — adding permitted third-party destinations to the explicit host ACL, removing destinations, modifying TLS inspection policy, and validating CoreDNS per-tenant DNS rewriting. This workflow must be self-service automatable and must enforce that no CVS-to-third-party traffic flows outside the declared scope.</w:t>
      </w:r>
    </w:p>
    <w:p>
      <w:pPr>
        <w:spacing w:after="80" w:before="200"/>
        <w:jc w:val="left"/>
      </w:pPr>
      <w:r>
        <w:rPr>
          <w:rFonts w:ascii="Times New Roman" w:cs="Times New Roman" w:eastAsia="Times New Roman" w:hAnsi="Times New Roman"/>
          <w:b/>
          <w:bCs/>
          <w:i/>
          <w:iCs/>
          <w:sz w:val="22"/>
          <w:szCs w:val="22"/>
        </w:rPr>
        <w:t xml:space="preserve">Step 1: Add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Validate the requested destination (hostname or CIDR) against the enterprise destination policy — confirm the destination is not on the enterprise block-list. Add the destination entry to the tenant's forward proxy allow-list. Confirm the allow-list is hot-reloaded without service interruption to existing permitted connections. Record the addition in the tenant audit log with requestor identity, destination, and timestamp. Confirm a test connection to the new destination succeeds through the tenant proxy.</w:t>
      </w:r>
    </w:p>
    <w:p>
      <w:pPr>
        <w:spacing w:after="80" w:before="200"/>
        <w:jc w:val="left"/>
      </w:pPr>
      <w:r>
        <w:rPr>
          <w:rFonts w:ascii="Times New Roman" w:cs="Times New Roman" w:eastAsia="Times New Roman" w:hAnsi="Times New Roman"/>
          <w:b/>
          <w:bCs/>
          <w:i/>
          <w:iCs/>
          <w:sz w:val="22"/>
          <w:szCs w:val="22"/>
        </w:rPr>
        <w:t xml:space="preserve">Step 2: Remove Outbound Destination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Remove the destination entry from the tenant's forward proxy allow-list. Terminate any active connections to the removed destination with a defined grace period (default 2 minutes). Confirm the allow-list is reloaded and test connections to the removed destination are now blocked. Record the removal in the tenant audit log with operator identity, destination, removal reason, and timestamp.</w:t>
      </w:r>
    </w:p>
    <w:p>
      <w:pPr>
        <w:spacing w:after="80" w:before="200"/>
        <w:jc w:val="left"/>
      </w:pPr>
      <w:r>
        <w:rPr>
          <w:rFonts w:ascii="Times New Roman" w:cs="Times New Roman" w:eastAsia="Times New Roman" w:hAnsi="Times New Roman"/>
          <w:b/>
          <w:bCs/>
          <w:i/>
          <w:iCs/>
          <w:sz w:val="22"/>
          <w:szCs w:val="22"/>
        </w:rPr>
        <w:t xml:space="preserve">Step 3: Modify TLS Inspection Policy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Update the TLS handling configuration for the specified destination scope (inspection on/off, certificate pinning). Confirm the change takes effect for new connections without interrupting existing permitted sessions. Record the before/after policy state in the tenant audit log.</w:t>
      </w:r>
    </w:p>
    <w:p>
      <w:pPr>
        <w:spacing w:after="80" w:before="200"/>
        <w:jc w:val="left"/>
      </w:pPr>
      <w:r>
        <w:rPr>
          <w:rFonts w:ascii="Times New Roman" w:cs="Times New Roman" w:eastAsia="Times New Roman" w:hAnsi="Times New Roman"/>
          <w:b/>
          <w:bCs/>
          <w:i/>
          <w:iCs/>
          <w:sz w:val="22"/>
          <w:szCs w:val="22"/>
        </w:rPr>
        <w:t xml:space="preserve">Step 4: Validate Scope Integrity</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After any allow-list modification, run the scope integrity check: enumerate all active forward proxy allow-list entries for the tenant and confirm each entry maps to a destination declared in the current onboarding workbook or an approved scope extension request. Flag any entry without a matching declaration for operator review. Record the validation result in the tenant audit log.</w:t>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4. POC DELIVERABLE SCHEDULE</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All deliverables must be submitted by July 30, 2026. Partial submissions are not accepted — all deliverables in each milestone must be complete before the milestone is considered met.</w:t>
      </w:r>
    </w:p>
    <w:p>
      <w:pPr>
        <w:spacing w:after="80" w:before="120"/>
        <w:jc w:val="center"/>
      </w:pPr>
      <w:r>
        <w:rPr>
          <w:rFonts w:ascii="Times New Roman" w:cs="Times New Roman" w:eastAsia="Times New Roman" w:hAnsi="Times New Roman"/>
          <w:i/>
          <w:iCs/>
          <w:sz w:val="20"/>
          <w:szCs w:val="20"/>
        </w:rPr>
        <w:t xml:space="preserve">Table 8. POC Milestone Schedule</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Milestone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Target Date</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Deliverables &amp; Owner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April 14,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Environment setup confirmed. Platform tenancy model documented. Input schema mapped to Tenant Onboarding Workbook (including outbound service scope fields). F5 and integrator resource plan confirmed.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May 16,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CR-01 mTLS per-tenant CA isolation demonstrated across 3 tenants. EW-02 certificate issuance workflow documented and executed live. CR-03 DNS rewriting demonstrated. — Owner: Integrator + F5</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M3</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June 13,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CR-02 SSH managed access demonstrated. Credential vault operational. TOTP and ACL enforcement demonstrated. CR-06 outbound governed access demonstrated for 3 tenants: destination allow-list (explicit host ACL), CoreDNS per-tenant DNS rewriting, egress audit log confirmed, blocked-destination test confirmed. EW-01 and EW-05 provisioning workflows documented. — Owner: Integrator</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11, 2026</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CR-05 full multi-tenant (5 tenants) simultaneous operation demonstrated — inbound and outbound. CR-04 lifecycle automation demonstrated including offboarding with residual state verification (including outbound governed access policy teardown). All acceptance test suites passing including CR-06. — Owner: Integrator + F5</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July 30, 2026</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Final POC report delivered. All engineering workflow documents finalized (EW-01 through EW-05). Self-service automation API specification delivered (foundation for September 30 target). POC review meeting conducted. — Owner: Integrator</w:t>
            </w:r>
          </w:p>
        </w:tc>
      </w:tr>
    </w:tbl>
    <w:p>
      <w:pPr>
        <w:spacing w:after="0"/>
      </w:pPr>
      <w:r>
        <w:t xml:space="preserve"/>
      </w:r>
    </w:p>
    <w:p>
      <w:pPr>
        <w:pStyle w:val="Heading2"/>
        <w:spacing w:after="120" w:before="280"/>
        <w:jc w:val="left"/>
      </w:pPr>
      <w:r>
        <w:rPr>
          <w:rFonts w:ascii="Times New Roman" w:cs="Times New Roman" w:eastAsia="Times New Roman" w:hAnsi="Times New Roman"/>
          <w:b/>
          <w:bCs/>
          <w:sz w:val="22"/>
          <w:szCs w:val="22"/>
        </w:rPr>
        <w:t xml:space="preserve">4.1 Self-Service Delivery Foundation (September 30 Target)</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engineering workflows documented during the POC phase must be structured as automatable API sequences that form the foundation for the self-service portal. By July 30, the following must be delivered as part of the POC output: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each step in EW-01 (Tenant Provisioning) expressed as REST API calls or equivalent platform API operations — including outbound governed access policy provisioning (Step 7)</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EW-03 (Tenant Offboarding) with the same structure — including outbound governed access teardown, DNS rewriting cleanup, and residual state verification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EW-04 (User Access Management)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API specification for EW-05 (Outbound Governed Access Scope Management) — including destination add, remove, and scope integrity validation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Data schema definition mapping the Tenant Onboarding Workbook to platform API inputs — including the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Automation dependency map showing the sequence constraints and rollback points in each workflow</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These outputs enable the self-service portal development to begin immediately after POC completion, targeting September 30 delivery.</w:t>
      </w:r>
    </w:p>
    <w:p>
      <w:pPr>
        <w:pStyle w:val="Heading1"/>
        <w:spacing w:after="160" w:before="360"/>
        <w:jc w:val="left"/>
      </w:pPr>
      <w:r>
        <w:rPr>
          <w:rFonts w:ascii="Times New Roman" w:cs="Times New Roman" w:eastAsia="Times New Roman" w:hAnsi="Times New Roman"/>
          <w:b/>
          <w:bCs/>
          <w:sz w:val="26"/>
          <w:szCs w:val="26"/>
        </w:rPr>
        <w:t xml:space="preserve">5. POC ENVIRONMENT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F5 and the integrator are responsible for provisioning and operating the POC environment. The following requirements apply.</w:t>
      </w:r>
    </w:p>
    <w:p>
      <w:pPr>
        <w:pStyle w:val="Heading2"/>
        <w:spacing w:after="120" w:before="280"/>
        <w:jc w:val="left"/>
      </w:pPr>
      <w:r>
        <w:rPr>
          <w:rFonts w:ascii="Times New Roman" w:cs="Times New Roman" w:eastAsia="Times New Roman" w:hAnsi="Times New Roman"/>
          <w:b/>
          <w:bCs/>
          <w:sz w:val="22"/>
          <w:szCs w:val="22"/>
        </w:rPr>
        <w:t xml:space="preserve">5.1 Platform Configuration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Minimum five tenant contexts provisioned and simultaneously active during POC review</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F5 Distributed Cloud tenant or dedicated environment — shared multi-customer environments are not acceptable for POC isolation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Dedicated integrator-managed credential vault (HashiCorp Vault or equivalent) — not a shared or demo instance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PKI hierarchy initialized with a platform root CA, five tenant intermediate CAs (one per test tenant), and operational CRL distribution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DNS listeners provisioned on per-tenant VIPs — shared DNS listener configurations are not acceptable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Per-tenant outbound governed access policies provisioned with distinct destination allow-lists (explicit host ACL) and CoreDNS per-tenant DNS rewriting — shared or default-permit egress configurations are not acceptable</w:t>
      </w:r>
    </w:p>
    <w:p>
      <w:pPr>
        <w:pStyle w:val="Heading2"/>
        <w:spacing w:after="120" w:before="280"/>
        <w:jc w:val="left"/>
      </w:pPr>
      <w:r>
        <w:rPr>
          <w:rFonts w:ascii="Times New Roman" w:cs="Times New Roman" w:eastAsia="Times New Roman" w:hAnsi="Times New Roman"/>
          <w:b/>
          <w:bCs/>
          <w:sz w:val="22"/>
          <w:szCs w:val="22"/>
        </w:rPr>
        <w:t xml:space="preserve">5.2 Test Application Targets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integrator must provide or simulate the following backend targets for POC demonstration: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HTTPS application endpoints (simulating legacy HTTP applications that cannot support mTLS natively)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SSH-accessible hosts (simulating internal Linux hosts with SSH daemon)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Internal DNS resolver (simulating enterprise internal DNS)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simulated third-party HTTPS endpoints (simulating external vendor API platforms reachable via outbound governed access path — one declared in tenant allow-list, one not declared, to validate allow-list enforcement and CoreDNS DNS rewriting)</w:t>
      </w:r>
    </w:p>
    <w:p>
      <w:pPr>
        <w:pStyle w:val="Heading2"/>
        <w:spacing w:after="120" w:before="280"/>
        <w:jc w:val="left"/>
      </w:pPr>
      <w:r>
        <w:rPr>
          <w:rFonts w:ascii="Times New Roman" w:cs="Times New Roman" w:eastAsia="Times New Roman" w:hAnsi="Times New Roman"/>
          <w:b/>
          <w:bCs/>
          <w:sz w:val="22"/>
          <w:szCs w:val="22"/>
        </w:rPr>
        <w:t xml:space="preserve">5.3 CVS Health Participation</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CVS Health will provide: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Two designated engineers to participate in milestone reviews and acceptance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The completed Tenant Onboarding Workbook template as the input specification (including outbound service scope fields)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Test partner credential packages (certificates and TOTP seeds) for POC connectivity testing</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Acceptance test scenarios based on the GW Platform use case catalogue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Outbound scope declarations for each test tenant defining the permitted third-party destinations</w:t>
      </w:r>
    </w:p>
    <w:p>
      <w:pPr>
        <w:pStyle w:val="Heading2"/>
        <w:spacing w:after="120" w:before="280"/>
        <w:jc w:val="left"/>
      </w:pPr>
      <w:r>
        <w:rPr>
          <w:rFonts w:ascii="Times New Roman" w:cs="Times New Roman" w:eastAsia="Times New Roman" w:hAnsi="Times New Roman"/>
          <w:b/>
          <w:bCs/>
          <w:sz w:val="22"/>
          <w:szCs w:val="22"/>
        </w:rPr>
        <w:t xml:space="preserve">5.4 Documentation Requirements</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following documentation must be delivered as part of the POC:</w:t>
      </w:r>
    </w:p>
    <w:p>
      <w:pPr>
        <w:spacing w:after="80" w:before="120"/>
        <w:jc w:val="center"/>
      </w:pPr>
      <w:r>
        <w:rPr>
          <w:rFonts w:ascii="Times New Roman" w:cs="Times New Roman" w:eastAsia="Times New Roman" w:hAnsi="Times New Roman"/>
          <w:i/>
          <w:iCs/>
          <w:sz w:val="20"/>
          <w:szCs w:val="20"/>
        </w:rPr>
        <w:t xml:space="preserve">Table 9. Required Documentation</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Document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Content</w:t>
            </w:r>
          </w:p>
        </w:tc>
        <w:tc>
          <w:tcPr>
            <w:tcW w:type="dxa" w:w="3464"/>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Required By</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Platform Architecture</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How F5 Distributed Cloud implements per-tenant proxy tenancy, CA isolation, DNS segmentation, and outbound governed access (explicit host ACL, CoreDNS DNS rewriting, egress audit) at the platform level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M1</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Engineering Workflow Document</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Step-by-step workflows EW-01 through EW-05 with API call specifications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M4</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Tenant Isolation Model</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Formal description of the isolation boundaries between tenants — what is shared, what is per-tenant, and what structural enforcement prevents cross-tenant access on both inbound and outbound paths</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M2</w:t>
            </w:r>
          </w:p>
        </w:tc>
      </w:tr>
      <w:tr>
        <w:tc>
          <w:tcPr>
            <w:tcW w:type="dxa" w:w="2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Specification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API sequence specifications for all lifecycle workflows including EW-05, structured for portal integration</w:t>
            </w:r>
          </w:p>
        </w:tc>
        <w:tc>
          <w:tcPr>
            <w:tcW w:type="dxa" w:w="3464"/>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r>
        <w:tc>
          <w:tcPr>
            <w:tcW w:type="dxa" w:w="2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POC Final Report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Capability demonstration results against all acceptance criteria (CR-01 through CR-06), gap analysis, and production readiness assessment</w:t>
            </w:r>
          </w:p>
        </w:tc>
        <w:tc>
          <w:tcPr>
            <w:tcW w:type="dxa" w:w="3464"/>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M5</w:t>
            </w:r>
          </w:p>
        </w:tc>
      </w:tr>
    </w:tbl>
    <w:p>
      <w:pPr>
        <w:spacing w:after="0"/>
      </w:pPr>
      <w:r>
        <w:t xml:space="preserve"/>
      </w:r>
    </w:p>
    <w:p>
      <w:pPr>
        <w:pageBreakBefore/>
      </w:pPr>
      <w:r>
        <w:t xml:space="preserve"/>
      </w:r>
    </w:p>
    <w:p>
      <w:pPr>
        <w:pStyle w:val="Heading1"/>
        <w:spacing w:after="160" w:before="360"/>
        <w:jc w:val="left"/>
      </w:pPr>
      <w:r>
        <w:rPr>
          <w:rFonts w:ascii="Times New Roman" w:cs="Times New Roman" w:eastAsia="Times New Roman" w:hAnsi="Times New Roman"/>
          <w:b/>
          <w:bCs/>
          <w:sz w:val="26"/>
          <w:szCs w:val="26"/>
        </w:rPr>
        <w:t xml:space="preserve">6. EVALUATION CRITERIA AND SCORING</w:t>
      </w:r>
    </w:p>
    <w:p>
      <w:pPr>
        <w:spacing w:after="120" w:before="0" w:line="276" w:lineRule="exact"/>
        <w:jc w:val="both"/>
      </w:pPr>
      <w:r>
        <w:rPr>
          <w:rFonts w:ascii="Times New Roman" w:cs="Times New Roman" w:eastAsia="Times New Roman" w:hAnsi="Times New Roman"/>
          <w:b w:val="false"/>
          <w:bCs w:val="false"/>
          <w:i w:val="false"/>
          <w:iCs w:val="false"/>
          <w:sz w:val="22"/>
          <w:szCs w:val="22"/>
        </w:rPr>
        <w:t xml:space="preserve">The POC evaluation is comparative. F5 Distributed Cloud is evaluated against Cloudflare using the same criteria and weighting. The evaluation is conducted by the CVS Health architecture team with input from the designated integrator assessment lead.</w:t>
      </w:r>
    </w:p>
    <w:p>
      <w:pPr>
        <w:spacing w:after="80" w:before="120"/>
        <w:jc w:val="center"/>
      </w:pPr>
      <w:r>
        <w:rPr>
          <w:rFonts w:ascii="Times New Roman" w:cs="Times New Roman" w:eastAsia="Times New Roman" w:hAnsi="Times New Roman"/>
          <w:i/>
          <w:iCs/>
          <w:sz w:val="20"/>
          <w:szCs w:val="20"/>
        </w:rPr>
        <w:t xml:space="preserve">Table 10. Evaluation Scoring</w:t>
      </w:r>
    </w:p>
    <w:tbl>
      <w:tblPr>
        <w:tblW w:type="dxa" w:w="89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000"/>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Evaluation Dimension (Weight)</w:t>
            </w:r>
          </w:p>
        </w:tc>
        <w:tc>
          <w:tcPr>
            <w:tcW w:type="dxa" w:w="4928"/>
            <w:tcBorders>
              <w:top w:val="single" w:color="000000" w:sz="12"/>
              <w:left w:val="none" w:color="000000" w:sz="0"/>
              <w:bottom w:val="single" w:color="000000" w:sz="6"/>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What Is Being Assessed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CA Isolation — CR-01 (25%)</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CA trust separation at the platform level, not policy-based isolation over a shared CA</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SSH Managed Access Completeness — CR-02 (20%)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Full managed session model including credential vaulting and transparent injection — not TCP passthrough. Bidirectional: both inbound (partner-to-CVS) and outbound (CVS-to-third-party) SSH must be fully terminated and inspected.</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DNS Tenant Segmentation — CR-03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Genuine per-tenant DNS isolation — dedicated listener per tenant, not shared resolver with per-tenant filters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Lifecycle Automation Quality — CR-04 (20%)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Completeness and quality of provisioning/offboarding workflows, including zero residual state on offboarding across all service plane objects including outbound governed access policies and DNS rewriting rules</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Outbound Governed Access — CR-06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Per-tenant governed egress: explicit host ACL (destination allow-list), CoreDNS per-tenant rewriting, egress audit completeness, mandatory full TLS inspection, mTLS enforcement on outbound connections, SSH session termination and inspection, and isolation under failure.</w:t>
            </w:r>
          </w:p>
        </w:tc>
      </w:tr>
      <w:tr>
        <w:tc>
          <w:tcPr>
            <w:tcW w:type="dxa" w:w="4000"/>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Self-Service API Readiness (10%)</w:t>
            </w:r>
          </w:p>
        </w:tc>
        <w:tc>
          <w:tcPr>
            <w:tcW w:type="dxa" w:w="4928"/>
            <w:tcBorders>
              <w:top w:val="none" w:color="000000" w:sz="0"/>
              <w:left w:val="none" w:color="000000" w:sz="0"/>
              <w:bottom w:val="none" w:color="000000" w:sz="0"/>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Quality and completeness of the API specifications delivered as POC output — these directly determine September 30 feasibility</w:t>
            </w:r>
          </w:p>
        </w:tc>
      </w:tr>
      <w:tr>
        <w:tc>
          <w:tcPr>
            <w:tcW w:type="dxa" w:w="4000"/>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Multi-Tenant Scale and Isolation — CR-05 (5%)</w:t>
            </w:r>
          </w:p>
        </w:tc>
        <w:tc>
          <w:tcPr>
            <w:tcW w:type="dxa" w:w="4928"/>
            <w:tcBorders>
              <w:top w:val="none" w:color="000000" w:sz="0"/>
              <w:left w:val="none" w:color="000000" w:sz="0"/>
              <w:bottom w:val="single" w:color="000000" w:sz="12"/>
              <w:right w:val="none" w:color="000000" w:sz="0"/>
            </w:tcBorders>
            <w:tcMar>
              <w:top w:type="dxa" w:w="40"/>
              <w:left w:type="dxa" w:w="80"/>
              <w:bottom w:type="dxa" w:w="40"/>
              <w:right w:type="dxa" w:w="80"/>
            </w:tcMar>
          </w:tcPr>
          <w:p>
            <w:pPr>
              <w:spacing w:after="0"/>
            </w:pPr>
            <w:r>
              <w:rPr>
                <w:rFonts w:ascii="Times New Roman" w:cs="Times New Roman" w:eastAsia="Times New Roman" w:hAnsi="Times New Roman"/>
                <w:b w:val="false"/>
                <w:bCs w:val="false"/>
                <w:sz w:val="19"/>
                <w:szCs w:val="19"/>
              </w:rPr>
              <w:t xml:space="preserve">Demonstrated simultaneous operation across five tenants with verified cross-tenant isolation on both inbound and outbound paths</w:t>
            </w:r>
          </w:p>
        </w:tc>
      </w:tr>
    </w:tbl>
    <w:p>
      <w:pPr>
        <w:spacing w:after="0"/>
      </w:pPr>
      <w:r>
        <w:t xml:space="preserve"/>
      </w:r>
    </w:p>
    <w:p>
      <w:pPr>
        <w:shd w:fill="F5F5F5" w:val="clear"/>
        <w:spacing w:after="120" w:line="276" w:lineRule="exact"/>
        <w:jc w:val="both"/>
      </w:pPr>
      <w:r>
        <w:rPr>
          <w:rFonts w:ascii="Times New Roman" w:cs="Times New Roman" w:eastAsia="Times New Roman" w:hAnsi="Times New Roman"/>
          <w:i/>
          <w:iCs/>
          <w:sz w:val="20"/>
          <w:szCs w:val="20"/>
        </w:rPr>
        <w:t xml:space="preserve">CRITICAL NOTE: Per-tenant CA isolation carries the highest single weight (25%) because this is the requirement where F5 and Cloudflare diverge most structurally. Cloudflare's mTLS model is not designed for tenant-scoped CA isolation. F5's POC must demonstrate this capability cleanly and convincingly to support the vendor selection recommendation.</w:t>
      </w:r>
    </w:p>
    <w:p>
      <w:pPr>
        <w:shd w:fill="F5F5F5" w:val="clear"/>
        <w:spacing w:after="120" w:line="276" w:lineRule="exact"/>
        <w:jc w:val="both"/>
      </w:pPr>
      <w:r>
        <w:rPr>
          <w:rFonts w:ascii="Times New Roman" w:cs="Times New Roman" w:eastAsia="Times New Roman" w:hAnsi="Times New Roman"/>
          <w:i/>
          <w:iCs/>
          <w:sz w:val="20"/>
          <w:szCs w:val="20"/>
        </w:rPr>
        <w:t xml:space="preserve">OUTBOUND MEDIATION NOTE: CR-06 (Outbound Governed Access) is a minimum viable solution requirement. mTLS is required on the outbound vector — CVS must present a valid client certificate when connecting through 3PLZ to third-party endpoints. Full TLS session inspection is mandatory; passthrough is not acceptable. Outbound SSH must be terminated and inspected at the platform. Governed access control (destination allow-listing via explicit host ACL), CoreDNS per-tenant DNS rewriting, and egress audit are also mandatory. A POC that does not demonstrate governed outbound access validates only the inbound half of the third-party connectivity use case. Failure to demonstrate CR-06 renders the POC incomplete regardless of performance on other criteria.</w:t>
      </w:r>
    </w:p>
    <w:sectPr>
      <w:headerReference w:type="default" r:id="rId7"/>
      <w:pgSz w:w="11906" w:h="16838"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Times New Roman" w:cs="Times New Roman" w:eastAsia="Times New Roman" w:hAnsi="Times New Roman"/>
        <w:i/>
        <w:iCs/>
        <w:color w:val="888888"/>
        <w:sz w:val="16"/>
        <w:szCs w:val="16"/>
      </w:rPr>
      <w:t xml:space="preserve">3PLZ POC Deliverables — F5 Distributed Cloud</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2026-04-22T19:56:14.473Z</dcterms:created>
  <dcterms:modified xsi:type="dcterms:W3CDTF">2026-04-22T19:56:14.473Z</dcterms:modified>
</cp:coreProperties>
</file>

<file path=docProps/custom.xml><?xml version="1.0" encoding="utf-8"?>
<Properties xmlns="http://schemas.openxmlformats.org/officeDocument/2006/custom-properties" xmlns:vt="http://schemas.openxmlformats.org/officeDocument/2006/docPropsVTypes"/>
</file>