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32"/>
          <w:szCs w:val="32"/>
        </w:rPr>
        <w:t xml:space="preserve">Forescout and Claroty — Executive Summary</w:t>
      </w:r>
    </w:p>
    <w:p>
      <w:pPr>
        <w:spacing w:after="240" w:before="0"/>
        <w:jc w:val="center"/>
      </w:pPr>
      <w:r>
        <w:rPr>
          <w:rFonts w:ascii="Times New Roman" w:cs="Times New Roman" w:eastAsia="Times New Roman" w:hAnsi="Times New Roman"/>
          <w:b/>
          <w:bCs/>
          <w:sz w:val="26"/>
          <w:szCs w:val="26"/>
        </w:rPr>
        <w:t xml:space="preserve">Capability Boundaries, Role Assignment, and Value Model</w:t>
      </w:r>
    </w:p>
    <w:p>
      <w:pPr>
        <w:spacing w:after="60" w:before="0"/>
        <w:jc w:val="center"/>
      </w:pPr>
      <w:r>
        <w:rPr>
          <w:rFonts w:ascii="Times New Roman" w:cs="Times New Roman" w:eastAsia="Times New Roman" w:hAnsi="Times New Roman"/>
          <w:sz w:val="22"/>
          <w:szCs w:val="22"/>
        </w:rPr>
        <w:t xml:space="preserve">Michael J. Martin</w:t>
      </w:r>
    </w:p>
    <w:p>
      <w:pPr>
        <w:spacing w:after="60" w:before="0"/>
        <w:jc w:val="center"/>
      </w:pPr>
      <w:r>
        <w:rPr>
          <w:rFonts w:ascii="Times New Roman" w:cs="Times New Roman" w:eastAsia="Times New Roman" w:hAnsi="Times New Roman"/>
          <w:sz w:val="22"/>
          <w:szCs w:val="22"/>
        </w:rPr>
        <w:t xml:space="preserve">Lead Director, Information Security — CVS Health</w:t>
      </w:r>
    </w:p>
    <w:p>
      <w:pPr>
        <w:spacing w:after="60" w:before="0"/>
        <w:jc w:val="center"/>
      </w:pPr>
      <w:r>
        <w:rPr>
          <w:rFonts w:ascii="Times New Roman" w:cs="Times New Roman" w:eastAsia="Times New Roman" w:hAnsi="Times New Roman"/>
          <w:sz w:val="20"/>
          <w:szCs w:val="20"/>
        </w:rPr>
        <w:t xml:space="preserve">Version 3.0 | April 2026</w:t>
      </w:r>
    </w:p>
    <w:p>
      <w:pPr>
        <w:spacing w:after="240" w:before="0"/>
        <w:jc w:val="center"/>
      </w:pPr>
      <w:r>
        <w:rPr>
          <w:rFonts w:ascii="Times New Roman" w:cs="Times New Roman" w:eastAsia="Times New Roman" w:hAnsi="Times New Roman"/>
          <w:b/>
          <w:bCs/>
          <w:sz w:val="20"/>
          <w:szCs w:val="20"/>
        </w:rPr>
        <w:t xml:space="preserve">CONFIDENTIAL / INTERNAL</w:t>
      </w:r>
    </w:p>
    <w:p>
      <w:pPr>
        <w:spacing w:after="120" w:before="120"/>
        <w:jc w:val="center"/>
      </w:pPr>
      <w:r>
        <w:rPr>
          <w:rFonts w:ascii="Times New Roman" w:cs="Times New Roman" w:eastAsia="Times New Roman" w:hAnsi="Times New Roman"/>
          <w:b/>
          <w:bCs/>
          <w:sz w:val="22"/>
          <w:szCs w:val="22"/>
        </w:rPr>
        <w:t xml:space="preserve">Abstract</w:t>
      </w:r>
    </w:p>
    <w:p>
      <w:pPr>
        <w:spacing w:after="120" w:line="276" w:lineRule="exact"/>
        <w:ind w:left="360" w:right="360"/>
        <w:jc w:val="both"/>
      </w:pPr>
      <w:r>
        <w:rPr>
          <w:rFonts w:ascii="Times New Roman" w:cs="Times New Roman" w:eastAsia="Times New Roman" w:hAnsi="Times New Roman"/>
          <w:sz w:val="20"/>
          <w:szCs w:val="20"/>
        </w:rPr>
        <w:t xml:space="preserve">Forescout and Claroty are both deployed at CVS Health. They are often discussed as if they compete. They do not. Forescout is the enforcement element for RADIUS MAB admission, end-user workstation posture, and Change-of-Authorization session control across the managed estate. Claroty is the discovery and classification authority for OT, industrial, and medical devices — the device classes where Forescout's IT-signal classification model is architecturally insufficient. This summary distills the capability boundaries, assigns the production roles, and states the value model. The full capability matrices and technical evidence are in the companion document, Forescout and Claroty — Capability Boundaries and Value Model, v3.0.</w:t>
      </w:r>
    </w:p>
    <w:p>
      <w:pPr>
        <w:pStyle w:val="Heading1"/>
        <w:spacing w:after="160" w:before="360"/>
        <w:jc w:val="left"/>
      </w:pPr>
      <w:r>
        <w:rPr>
          <w:rFonts w:ascii="Times New Roman" w:cs="Times New Roman" w:eastAsia="Times New Roman" w:hAnsi="Times New Roman"/>
          <w:b/>
          <w:bCs/>
          <w:sz w:val="26"/>
          <w:szCs w:val="26"/>
        </w:rPr>
        <w:t xml:space="preserve">1. THESIS</w:t>
      </w:r>
    </w:p>
    <w:p>
      <w:pPr>
        <w:spacing w:after="120" w:line="276" w:lineRule="exact"/>
        <w:jc w:val="both"/>
      </w:pPr>
      <w:r>
        <w:rPr>
          <w:rFonts w:ascii="Times New Roman" w:cs="Times New Roman" w:eastAsia="Times New Roman" w:hAnsi="Times New Roman"/>
          <w:sz w:val="22"/>
          <w:szCs w:val="22"/>
        </w:rPr>
        <w:t xml:space="preserve">Forescout and Claroty are not substitutes. They operate on different signals, classify different device populations, and produce different outputs. Removing either tool leaves a gap the other cannot fill.</w:t>
      </w:r>
    </w:p>
    <w:p>
      <w:pPr>
        <w:spacing w:after="120" w:line="276" w:lineRule="exact"/>
        <w:jc w:val="both"/>
      </w:pPr>
      <w:r>
        <w:rPr>
          <w:rFonts w:ascii="Times New Roman" w:cs="Times New Roman" w:eastAsia="Times New Roman" w:hAnsi="Times New Roman"/>
          <w:sz w:val="22"/>
          <w:szCs w:val="22"/>
        </w:rPr>
        <w:t xml:space="preserve">Forescout is the CVS enforcement platform. It performs RADIUS MAB admission, end-user workstation posture validation across an 8-point check, Layer-3 dynamic ACL enforcement for Tier 2 endpoints, and Change-of-Authorization mid-session enforcement with a P95 target of 15 seconds. For these functions, Forescout is exclusive — Claroty does not participate and is not intended to.</w:t>
      </w:r>
    </w:p>
    <w:p>
      <w:pPr>
        <w:spacing w:after="120" w:line="276" w:lineRule="exact"/>
        <w:jc w:val="both"/>
      </w:pPr>
      <w:r>
        <w:rPr>
          <w:rFonts w:ascii="Times New Roman" w:cs="Times New Roman" w:eastAsia="Times New Roman" w:hAnsi="Times New Roman"/>
          <w:sz w:val="22"/>
          <w:szCs w:val="22"/>
        </w:rPr>
        <w:t xml:space="preserve">Claroty is the CVS Tier 3 classification authority. It owns discovery, model resolution, firmware identification, and behavioral baselining for OT, industrial, and medical device classes — the roughly 450-protocol landscape that includes EtherNet/IP, BACnet, Modbus, S7, Profinet, DNP3, IEC 61850, HL7, DICOM, and IHE. For these functions, Claroty is exclusive — Forescout cannot reach these devices via its IT-signal model.</w:t>
      </w:r>
    </w:p>
    <w:p>
      <w:pPr>
        <w:spacing w:after="120" w:line="276" w:lineRule="exact"/>
        <w:jc w:val="both"/>
      </w:pPr>
      <w:r>
        <w:rPr>
          <w:rFonts w:ascii="Times New Roman" w:cs="Times New Roman" w:eastAsia="Times New Roman" w:hAnsi="Times New Roman"/>
          <w:sz w:val="22"/>
          <w:szCs w:val="22"/>
        </w:rPr>
        <w:t xml:space="preserve">The two tools produce a complete picture only when paired. Every Forescout enforcement decision on a Tier 3 device depends on a Claroty classification as input. Every Claroty-identified risk on a Tier 3 device reaches enforcement only via a Forescout CoA. The value is in the pairing.</w:t>
      </w:r>
    </w:p>
    <w:p>
      <w:pPr>
        <w:pStyle w:val="Heading1"/>
        <w:spacing w:after="160" w:before="360"/>
        <w:jc w:val="left"/>
      </w:pPr>
      <w:r>
        <w:rPr>
          <w:rFonts w:ascii="Times New Roman" w:cs="Times New Roman" w:eastAsia="Times New Roman" w:hAnsi="Times New Roman"/>
          <w:b/>
          <w:bCs/>
          <w:sz w:val="26"/>
          <w:szCs w:val="26"/>
        </w:rPr>
        <w:t xml:space="preserve">2. WHERE FORESCOUT DELIVERS VALUE</w:t>
      </w:r>
    </w:p>
    <w:p>
      <w:pPr>
        <w:spacing w:after="120" w:line="276" w:lineRule="exact"/>
        <w:jc w:val="both"/>
      </w:pPr>
      <w:r>
        <w:rPr>
          <w:rFonts w:ascii="Times New Roman" w:cs="Times New Roman" w:eastAsia="Times New Roman" w:hAnsi="Times New Roman"/>
          <w:sz w:val="22"/>
          <w:szCs w:val="22"/>
        </w:rPr>
        <w:t xml:space="preserve">Forescout occupies the enforcement tier of the CVS network access architecture. Its strengths are concentrated in admission control, posture validation, and session enforcement for the managed IT estate.</w:t>
      </w:r>
    </w:p>
    <w:p>
      <w:pPr>
        <w:spacing w:after="120" w:line="276" w:lineRule="exact"/>
        <w:jc w:val="both"/>
      </w:pPr>
      <w:r>
        <w:rPr>
          <w:rFonts w:ascii="Times New Roman" w:cs="Times New Roman" w:eastAsia="Times New Roman" w:hAnsi="Times New Roman"/>
          <w:sz w:val="22"/>
          <w:szCs w:val="22"/>
        </w:rPr>
        <w:t xml:space="preserve">Capabilities (Forescout-exclusive at CVS):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RADIUS MAB admission enforcement for all wired and wireless endpoints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End-user workstation 8-point posture validation via Intune, Jamf, CrowdStrike, Qualys, Tanium, and SCCM APIs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Layer-3 dynamic ACL push for Tier 2 managed endpoints without VLAN reassignment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Change-of-Authorization mid-session enforcement, P95 target 15 seconds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Tier 2 Enterprise IoT discovery (cameras, printers, card readers, VoIP, facility HVAC supervisors at the Niagara/JACE tier) via HTTP banner, SNMP community strings, and switch CAM correlation</w:t>
      </w:r>
    </w:p>
    <w:p>
      <w:pPr>
        <w:spacing w:after="120" w:line="276" w:lineRule="exact"/>
        <w:jc w:val="both"/>
      </w:pPr>
      <w:r>
        <w:rPr>
          <w:rFonts w:ascii="Times New Roman" w:cs="Times New Roman" w:eastAsia="Times New Roman" w:hAnsi="Times New Roman"/>
          <w:sz w:val="22"/>
          <w:szCs w:val="22"/>
        </w:rPr>
        <w:t xml:space="preserve">Forescout also provides basic Enterprise IoT inventory for devices that expose conventional IT signals. This is the scope of functionality the Forescout product was designed for, and Forescout performs well inside it.</w:t>
      </w:r>
    </w:p>
    <w:p>
      <w:pPr>
        <w:pStyle w:val="Heading1"/>
        <w:spacing w:after="160" w:before="360"/>
        <w:jc w:val="left"/>
      </w:pPr>
      <w:r>
        <w:rPr>
          <w:rFonts w:ascii="Times New Roman" w:cs="Times New Roman" w:eastAsia="Times New Roman" w:hAnsi="Times New Roman"/>
          <w:b/>
          <w:bCs/>
          <w:sz w:val="26"/>
          <w:szCs w:val="26"/>
        </w:rPr>
        <w:t xml:space="preserve">3. WHERE FORESCOUT DOES NOT REACH</w:t>
      </w:r>
    </w:p>
    <w:p>
      <w:pPr>
        <w:spacing w:after="120" w:line="276" w:lineRule="exact"/>
        <w:jc w:val="both"/>
      </w:pPr>
      <w:r>
        <w:rPr>
          <w:rFonts w:ascii="Times New Roman" w:cs="Times New Roman" w:eastAsia="Times New Roman" w:hAnsi="Times New Roman"/>
          <w:sz w:val="22"/>
          <w:szCs w:val="22"/>
        </w:rPr>
        <w:t xml:space="preserve">Forescout's classification model assumes devices expose IT-typical signals — HTTP banners, SNMP sysDescr and OIDs, CDP/LLDP, NetBIOS, or mDNS. Tier 3 devices do not expose these signals. This is an architectural property of the Forescout product, not a tunable deployment gap, and it cannot be resolved by adding SPAN or TAP visibility.</w:t>
      </w:r>
    </w:p>
    <w:p>
      <w:pPr>
        <w:spacing w:after="120" w:line="276" w:lineRule="exact"/>
        <w:jc w:val="both"/>
      </w:pPr>
      <w:r>
        <w:rPr>
          <w:rFonts w:ascii="Times New Roman" w:cs="Times New Roman" w:eastAsia="Times New Roman" w:hAnsi="Times New Roman"/>
          <w:sz w:val="22"/>
          <w:szCs w:val="22"/>
        </w:rPr>
        <w:t xml:space="preserve">Device classes where Forescout's model is architecturally insufficient: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Allen-Bradley programmable logic controllers (CompactLogix, ControlLogix, MicroLogix) — no CIP Identity Object queries, no SNMP MIBs on the CPU, no CDP/LLDP at the PLC</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BACnet field-tier controllers (VAV boxes, AHUs, chillers, rooftop units) — require a BACnet Who-Is and Read-Property client, which Forescout does not implement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Refrigeration controllers (Copeland E2, Emerson, Danfoss) — proprietary Modbus or BACnet dialects without IT signaling</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Packaging, mailing, and distribution robotics (Rockwell, Fanuc, KUKA, ABB) — EtherNet/IP, Profinet, or vendor-specific process protocols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Medical devices — require HL7, DICOM, or IHE protocol parsing and an MDS2 correlation library; Forescout has no equivalent to the Medigate library Claroty inherited</w:t>
      </w:r>
    </w:p>
    <w:p>
      <w:pPr>
        <w:spacing w:after="120" w:line="276" w:lineRule="exact"/>
        <w:jc w:val="both"/>
      </w:pPr>
      <w:r>
        <w:rPr>
          <w:rFonts w:ascii="Times New Roman" w:cs="Times New Roman" w:eastAsia="Times New Roman" w:hAnsi="Times New Roman"/>
          <w:sz w:val="22"/>
          <w:szCs w:val="22"/>
        </w:rPr>
        <w:t xml:space="preserve">Placing a SPAN or TAP in front of these devices does not resolve the gap. Forescout can see the packets; it cannot comprehend the Layer 7 protocols they carry. The gap is in protocol library coverage, not in packet access. This point is the source of most of the confusion in recent Forescout conversations, and it is worth stating explicitly: no amount of sensor placement will give Forescout CIP Identity Object parsing or BACnet Read-Property client behavior, because those functions are not in the Forescout code path.</w:t>
      </w:r>
    </w:p>
    <w:p>
      <w:pPr>
        <w:pStyle w:val="Heading1"/>
        <w:spacing w:after="160" w:before="360"/>
        <w:jc w:val="left"/>
      </w:pPr>
      <w:r>
        <w:rPr>
          <w:rFonts w:ascii="Times New Roman" w:cs="Times New Roman" w:eastAsia="Times New Roman" w:hAnsi="Times New Roman"/>
          <w:b/>
          <w:bCs/>
          <w:sz w:val="26"/>
          <w:szCs w:val="26"/>
        </w:rPr>
        <w:t xml:space="preserve">4. WHERE CLAROTY DELIVERS VALUE</w:t>
      </w:r>
    </w:p>
    <w:p>
      <w:pPr>
        <w:spacing w:after="120" w:line="276" w:lineRule="exact"/>
        <w:jc w:val="both"/>
      </w:pPr>
      <w:r>
        <w:rPr>
          <w:rFonts w:ascii="Times New Roman" w:cs="Times New Roman" w:eastAsia="Times New Roman" w:hAnsi="Times New Roman"/>
          <w:sz w:val="22"/>
          <w:szCs w:val="22"/>
        </w:rPr>
        <w:t xml:space="preserve">Claroty occupies the classification and context tier for the device populations Forescout cannot reach. Its strengths are concentrated in deep protocol parsing, safe active querying, and OT-specific behavioral modeling.</w:t>
      </w:r>
    </w:p>
    <w:p>
      <w:pPr>
        <w:spacing w:after="120" w:line="276" w:lineRule="exact"/>
        <w:jc w:val="both"/>
      </w:pPr>
      <w:r>
        <w:rPr>
          <w:rFonts w:ascii="Times New Roman" w:cs="Times New Roman" w:eastAsia="Times New Roman" w:hAnsi="Times New Roman"/>
          <w:sz w:val="22"/>
          <w:szCs w:val="22"/>
        </w:rPr>
        <w:t xml:space="preserve">Capabilities (Claroty-exclusive at CVS):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450+ industrial, building, and medical protocols including CIP, EtherNet/IP, BACnet Read-Property, Modbus function codes, S7, Profinet, DNP3, IEC 61850, HL7, DICOM, IHE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Claroty Edge — agentless, hardware-free scanning from an existing Windows host, producing initial inventory in 24 to 48 hours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Safe Queries — active interrogation engineered within OT timing envelopes to avoid disrupting process control</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Engineering project file ingestion — RSLogix/Studio 5000, Siemens STEP 7 and TIA Portal, Niagara station files — producing ground-truth asset inventory without network queries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Behavioral baselining of OT traffic — process-variable change rates, scan cycles, and peer relationships that form the substrate for Stage 3 OT enforcement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MDS2 ingestion, CVE correlation, and medical device vulnerability context</w:t>
      </w:r>
    </w:p>
    <w:p>
      <w:pPr>
        <w:spacing w:after="120" w:line="276" w:lineRule="exact"/>
        <w:jc w:val="both"/>
      </w:pPr>
      <w:r>
        <w:rPr>
          <w:rFonts w:ascii="Times New Roman" w:cs="Times New Roman" w:eastAsia="Times New Roman" w:hAnsi="Times New Roman"/>
          <w:sz w:val="22"/>
          <w:szCs w:val="22"/>
        </w:rPr>
        <w:t xml:space="preserve">Claroty does not perform enforcement. It produces the authoritative classification and risk signal that Forescout consumes.</w:t>
      </w:r>
    </w:p>
    <w:p>
      <w:pPr>
        <w:pStyle w:val="Heading1"/>
        <w:spacing w:after="160" w:before="360"/>
        <w:jc w:val="left"/>
      </w:pPr>
      <w:r>
        <w:rPr>
          <w:rFonts w:ascii="Times New Roman" w:cs="Times New Roman" w:eastAsia="Times New Roman" w:hAnsi="Times New Roman"/>
          <w:b/>
          <w:bCs/>
          <w:sz w:val="26"/>
          <w:szCs w:val="26"/>
        </w:rPr>
        <w:t xml:space="preserve">5. ROLE ASSIGNMENT AT CVS</w:t>
      </w:r>
    </w:p>
    <w:p>
      <w:pPr>
        <w:spacing w:after="120" w:line="276" w:lineRule="exact"/>
        <w:jc w:val="both"/>
      </w:pPr>
      <w:r>
        <w:rPr>
          <w:rFonts w:ascii="Times New Roman" w:cs="Times New Roman" w:eastAsia="Times New Roman" w:hAnsi="Times New Roman"/>
          <w:sz w:val="22"/>
          <w:szCs w:val="22"/>
        </w:rPr>
        <w:t xml:space="preserve">The role assignment below is the operating contract between the two platforms in the CVS production environment. It is written as the authoritative reference for incident response, architecture review, and vendor conversations.</w:t>
      </w:r>
    </w:p>
    <w:p>
      <w:pPr>
        <w:spacing w:after="80" w:before="120"/>
        <w:jc w:val="center"/>
      </w:pPr>
      <w:r>
        <w:rPr>
          <w:rFonts w:ascii="Times New Roman" w:cs="Times New Roman" w:eastAsia="Times New Roman" w:hAnsi="Times New Roman"/>
          <w:i/>
          <w:iCs/>
          <w:sz w:val="20"/>
          <w:szCs w:val="20"/>
        </w:rPr>
        <w:t xml:space="preserve">Table 1. Role Assignment — Forescout and Claroty at CVS</w:t>
      </w:r>
    </w:p>
    <w:tbl>
      <w:tblPr>
        <w:tblW w:type="dxa" w:w="8928"/>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cantSplit/>
          <w:tblHeader/>
        </w:trPr>
        <w:tc>
          <w:tcPr>
            <w:tcW w:type="dxa" w:w="31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Function</w:t>
            </w:r>
          </w:p>
        </w:tc>
        <w:tc>
          <w:tcPr>
            <w:tcW w:type="dxa" w:w="2000"/>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Owner</w:t>
            </w:r>
          </w:p>
        </w:tc>
        <w:tc>
          <w:tcPr>
            <w:tcW w:type="dxa" w:w="3828"/>
            <w:tcBorders>
              <w:top w:val="single" w:color="000000" w:sz="12"/>
              <w:left w:val="none" w:color="FFFFFF" w:sz="0"/>
              <w:bottom w:val="single" w:color="000000" w:sz="6"/>
              <w:right w:val="none" w:color="FFFFFF" w:sz="0"/>
            </w:tcBorders>
            <w:tcMar>
              <w:top w:type="dxa" w:w="60"/>
              <w:left w:type="dxa" w:w="80"/>
              <w:bottom w:type="dxa" w:w="60"/>
              <w:right w:type="dxa" w:w="80"/>
            </w:tcMar>
          </w:tcPr>
          <w:p>
            <w:pPr>
              <w:spacing w:after="0" w:before="0" w:line="240"/>
              <w:jc w:val="left"/>
            </w:pPr>
            <w:r>
              <w:rPr>
                <w:rFonts w:ascii="Times New Roman" w:cs="Times New Roman" w:eastAsia="Times New Roman" w:hAnsi="Times New Roman"/>
                <w:b/>
                <w:bCs/>
                <w:sz w:val="19"/>
                <w:szCs w:val="19"/>
              </w:rPr>
              <w:t xml:space="preserve">Supporting Tool</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RADIUS MAB admission</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w:t>
            </w:r>
          </w:p>
        </w:tc>
        <w:tc>
          <w:tcPr>
            <w:tcW w:type="dxa" w:w="38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End-user workstation posture (8-point)</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w:t>
            </w:r>
          </w:p>
        </w:tc>
        <w:tc>
          <w:tcPr>
            <w:tcW w:type="dxa" w:w="38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CoA mid-session enforcement</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w:t>
            </w:r>
          </w:p>
        </w:tc>
        <w:tc>
          <w:tcPr>
            <w:tcW w:type="dxa" w:w="38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Claroty (Tier 3 risk signal)</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Tier 2 Enterprise IoT discovery</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w:t>
            </w:r>
          </w:p>
        </w:tc>
        <w:tc>
          <w:tcPr>
            <w:tcW w:type="dxa" w:w="38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Claroty (cross-validation)</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Tier 3 OT/industrial/medical discovery</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Claroty</w:t>
            </w:r>
          </w:p>
        </w:tc>
        <w:tc>
          <w:tcPr>
            <w:tcW w:type="dxa" w:w="38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 (switch location)</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Tier 3 classification and firmware ID</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Claroty</w:t>
            </w:r>
          </w:p>
        </w:tc>
        <w:tc>
          <w:tcPr>
            <w:tcW w:type="dxa" w:w="38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OT behavioral baselining</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Claroty</w:t>
            </w:r>
          </w:p>
        </w:tc>
        <w:tc>
          <w:tcPr>
            <w:tcW w:type="dxa" w:w="38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OT/SCADA allow-list policy source</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Claroty</w:t>
            </w:r>
          </w:p>
        </w:tc>
        <w:tc>
          <w:tcPr>
            <w:tcW w:type="dxa" w:w="38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 (enforcement)</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Medical device vulnerability context</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Claroty</w:t>
            </w:r>
          </w:p>
        </w:tc>
        <w:tc>
          <w:tcPr>
            <w:tcW w:type="dxa" w:w="38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w:t>
            </w:r>
          </w:p>
        </w:tc>
      </w:tr>
      <w:tr>
        <w:trPr>
          <w:cantSplit/>
        </w:trPr>
        <w:tc>
          <w:tcPr>
            <w:tcW w:type="dxa" w:w="31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East-west segmentation</w:t>
            </w:r>
          </w:p>
        </w:tc>
        <w:tc>
          <w:tcPr>
            <w:tcW w:type="dxa" w:w="20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Palo Alto NGFW</w:t>
            </w:r>
          </w:p>
        </w:tc>
        <w:tc>
          <w:tcPr>
            <w:tcW w:type="dxa" w:w="382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sz w:val="19"/>
                <w:szCs w:val="19"/>
              </w:rPr>
              <w:t xml:space="preserve">Forescout / Claroty (signal)</w:t>
            </w:r>
          </w:p>
        </w:tc>
      </w:tr>
    </w:tbl>
    <w:p>
      <w:pPr>
        <w:spacing w:after="120"/>
      </w:pPr>
      <w:r>
        <w:rPr>
          <w:rFonts w:ascii="Times New Roman" w:cs="Times New Roman" w:eastAsia="Times New Roman" w:hAnsi="Times New Roman"/>
          <w:sz w:val="4"/>
          <w:szCs w:val="4"/>
        </w:rPr>
        <w:t xml:space="preserve"/>
      </w:r>
    </w:p>
    <w:p>
      <w:pPr>
        <w:pStyle w:val="Heading1"/>
        <w:spacing w:after="160" w:before="360"/>
        <w:jc w:val="left"/>
      </w:pPr>
      <w:r>
        <w:rPr>
          <w:rFonts w:ascii="Times New Roman" w:cs="Times New Roman" w:eastAsia="Times New Roman" w:hAnsi="Times New Roman"/>
          <w:b/>
          <w:bCs/>
          <w:sz w:val="26"/>
          <w:szCs w:val="26"/>
        </w:rPr>
        <w:t xml:space="preserve">6. VALUE MODEL</w:t>
      </w:r>
    </w:p>
    <w:p>
      <w:pPr>
        <w:spacing w:after="120" w:line="276" w:lineRule="exact"/>
        <w:jc w:val="both"/>
      </w:pPr>
      <w:r>
        <w:rPr>
          <w:rFonts w:ascii="Times New Roman" w:cs="Times New Roman" w:eastAsia="Times New Roman" w:hAnsi="Times New Roman"/>
          <w:sz w:val="22"/>
          <w:szCs w:val="22"/>
        </w:rPr>
        <w:t xml:space="preserve">The value of each platform is most clearly expressed by stating what breaks in its absence.</w:t>
      </w:r>
    </w:p>
    <w:p>
      <w:pPr>
        <w:spacing w:after="120" w:line="276" w:lineRule="exact"/>
        <w:jc w:val="both"/>
      </w:pPr>
      <w:r>
        <w:rPr>
          <w:rFonts w:ascii="Times New Roman" w:cs="Times New Roman" w:eastAsia="Times New Roman" w:hAnsi="Times New Roman"/>
          <w:sz w:val="22"/>
          <w:szCs w:val="22"/>
        </w:rPr>
        <w:t xml:space="preserve">If Forescout is removed: CVS loses RADIUS MAB admission, end-user workstation posture enforcement, CoA mid-session enforcement, Tier 2 L3 dynamic ACL, and the switch-location input that Claroty depends on for network context. Claroty classifications continue to be produced but cannot be acted on. The enforcement layer collapses.</w:t>
      </w:r>
    </w:p>
    <w:p>
      <w:pPr>
        <w:spacing w:after="120" w:line="276" w:lineRule="exact"/>
        <w:jc w:val="both"/>
      </w:pPr>
      <w:r>
        <w:rPr>
          <w:rFonts w:ascii="Times New Roman" w:cs="Times New Roman" w:eastAsia="Times New Roman" w:hAnsi="Times New Roman"/>
          <w:sz w:val="22"/>
          <w:szCs w:val="22"/>
        </w:rPr>
        <w:t xml:space="preserve">If Claroty is removed: CVS loses Tier 3 device classification, firmware identification, OT behavioral baselining, Safe Query-based active discovery, engineering file ingestion, and medical device context. Forescout continues to admit and enforce on the managed estate but has no authoritative signal on which to base Tier 3 policy. Stage 3 OT enforcement becomes impossible — there is no baseline to enforce against.</w:t>
      </w:r>
    </w:p>
    <w:p>
      <w:pPr>
        <w:spacing w:after="120" w:line="276" w:lineRule="exact"/>
        <w:jc w:val="both"/>
      </w:pPr>
      <w:r>
        <w:rPr>
          <w:rFonts w:ascii="Times New Roman" w:cs="Times New Roman" w:eastAsia="Times New Roman" w:hAnsi="Times New Roman"/>
          <w:sz w:val="22"/>
          <w:szCs w:val="22"/>
        </w:rPr>
        <w:t xml:space="preserve">The two removals produce different failures, which is the definition of an additive architecture. Forescout is not a reduced-cost substitute for Claroty, and Claroty is not a substitute for Forescout. Framings that suggest otherwise — from either vendor — should be treated as commercial positioning, not capability claims.</w:t>
      </w:r>
    </w:p>
    <w:p>
      <w:pPr>
        <w:pStyle w:val="Heading1"/>
        <w:spacing w:after="160" w:before="360"/>
        <w:jc w:val="left"/>
      </w:pPr>
      <w:r>
        <w:rPr>
          <w:rFonts w:ascii="Times New Roman" w:cs="Times New Roman" w:eastAsia="Times New Roman" w:hAnsi="Times New Roman"/>
          <w:b/>
          <w:bCs/>
          <w:sz w:val="26"/>
          <w:szCs w:val="26"/>
        </w:rPr>
        <w:t xml:space="preserve">7. RECOMMENDATION</w:t>
      </w:r>
    </w:p>
    <w:p>
      <w:pPr>
        <w:spacing w:after="120" w:line="276" w:lineRule="exact"/>
        <w:jc w:val="both"/>
      </w:pPr>
      <w:r>
        <w:rPr>
          <w:rFonts w:ascii="Times New Roman" w:cs="Times New Roman" w:eastAsia="Times New Roman" w:hAnsi="Times New Roman"/>
          <w:sz w:val="22"/>
          <w:szCs w:val="22"/>
        </w:rPr>
        <w:t xml:space="preserve">Retain both platforms at their current scope. Resist any narrative, from any vendor, that reframes one tool as a replacement for the other. The enforcement maturation roadmap — Stage 1 admission and posture (M1 to M18), Stage 2 Tier 2 L3 ACL enforcement (M18 to M30), Stage 3 OT allow-list enforcement (M30 and beyond) — explicitly depends on both platforms executing their assigned roles.</w:t>
      </w:r>
    </w:p>
    <w:p>
      <w:pPr>
        <w:spacing w:after="120" w:line="276" w:lineRule="exact"/>
        <w:jc w:val="both"/>
      </w:pPr>
      <w:r>
        <w:rPr>
          <w:rFonts w:ascii="Times New Roman" w:cs="Times New Roman" w:eastAsia="Times New Roman" w:hAnsi="Times New Roman"/>
          <w:sz w:val="22"/>
          <w:szCs w:val="22"/>
        </w:rPr>
        <w:t xml:space="preserve">Specifically, CVS should:</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Continue Forescout hardware refresh to close the EOL/EOS gap that currently blocks Forescout expansion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Complete Claroty Edge deployment at the 16 distribution center sites that currently lack CSNA presence, to close the Tier 3 classification gap in industrial and packaging robotics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Maintain the minimum 12-month Claroty behavioral baseline requirement as the gate for Stage 3 OT enforcement; this is not a tunable parameter</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Treat any Forescout-as-IoT-platform positioning as out of scope for CVS; Forescout performs Tier 2 IoT adequately and does not perform Tier 3, and the product roadmap does not close that gap within a horizon that affects CVS enforcement planning</w:t>
      </w:r>
    </w:p>
    <w:p>
      <w:pPr>
        <w:spacing w:after="120" w:line="276" w:lineRule="exact"/>
        <w:jc w:val="both"/>
      </w:pPr>
      <w:r>
        <w:rPr>
          <w:rFonts w:ascii="Times New Roman" w:cs="Times New Roman" w:eastAsia="Times New Roman" w:hAnsi="Times New Roman"/>
          <w:sz w:val="22"/>
          <w:szCs w:val="22"/>
        </w:rPr>
        <w:t xml:space="preserve">The full technical evidence, capability matrices (Tier 2 and Tier 3), NAC admission and enforcement matrix, deployment characteristics, and enforcement maturation stages are detailed in the companion document, Forescout and Claroty — Capability Boundaries and Value Model, v3.0.</w:t>
      </w:r>
    </w:p>
    <w:sectPr>
      <w:headerReference w:type="default" r:id="rId7"/>
      <w:footerReference w:type="default" r:id="rId8"/>
      <w:pgSz w:w="12240" w:h="15840" w:orient="portrait"/>
      <w:pgMar w:top="1440" w:right="1656" w:bottom="1440" w:left="1656"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888888"/>
        <w:sz w:val="16"/>
        <w:szCs w:val="16"/>
      </w:rPr>
      <w:t xml:space="preserve">Page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r>
      <w:rPr>
        <w:rFonts w:ascii="Times New Roman" w:cs="Times New Roman" w:eastAsia="Times New Roman" w:hAnsi="Times New Roman"/>
        <w:color w:val="888888"/>
        <w:sz w:val="16"/>
        <w:szCs w:val="16"/>
      </w:rPr>
      <w:t xml:space="preserve"> of </w:t>
    </w:r>
    <w:r>
      <w:rPr>
        <w:rFonts w:ascii="Times New Roman" w:cs="Times New Roman" w:eastAsia="Times New Roman" w:hAnsi="Times New Roman"/>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6"/>
        <w:szCs w:val="16"/>
      </w:rPr>
      <w:t xml:space="preserve">Forescout &amp; Claroty — Executive Summary  |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276" w:lineRule="exact"/>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left"/>
      <w:outlineLvl w:val="0"/>
    </w:pPr>
    <w:rPr>
      <w:rFonts w:ascii="Times New Roman" w:cs="Times New Roman" w:eastAsia="Times New Roman" w:hAnsi="Times New Roman"/>
      <w:b/>
      <w:bCs/>
      <w:cap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Forescout and Claroty — Executive Summary</dc:title>
  <dc:creator>Michael J. Martin</dc:creator>
  <cp:lastModifiedBy>Un-named</cp:lastModifiedBy>
  <cp:revision>1</cp:revision>
  <dcterms:created xsi:type="dcterms:W3CDTF">2026-04-23T00:24:37.379Z</dcterms:created>
  <dcterms:modified xsi:type="dcterms:W3CDTF">2026-04-23T00:24:37.379Z</dcterms:modified>
</cp:coreProperties>
</file>

<file path=docProps/custom.xml><?xml version="1.0" encoding="utf-8"?>
<Properties xmlns="http://schemas.openxmlformats.org/officeDocument/2006/custom-properties" xmlns:vt="http://schemas.openxmlformats.org/officeDocument/2006/docPropsVTypes"/>
</file>