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  <w:sz w:val="36"/>
        </w:rPr>
        <w:t>CVS Health Information Security</w:t>
      </w:r>
    </w:p>
    <w:p>
      <w:pPr>
        <w:pStyle w:val="Heading2"/>
      </w:pPr>
      <w:r>
        <w:rPr>
          <w:color w:val="1F3864"/>
          <w:sz w:val="26"/>
        </w:rPr>
        <w:t>Forescout CounterACT vs. Claroty xDome</w:t>
      </w:r>
    </w:p>
    <w:p>
      <w:pPr>
        <w:spacing w:after="120"/>
      </w:pPr>
      <w:r>
        <w:rPr>
          <w:sz w:val="20"/>
        </w:rPr>
        <w:t>Capability and Operational Impact Comparison</w:t>
      </w:r>
    </w:p>
    <w:p>
      <w:pPr>
        <w:spacing w:after="120"/>
      </w:pPr>
      <w:r>
        <w:rPr>
          <w:b w:val="0"/>
          <w:i/>
          <w:sz w:val="20"/>
        </w:rPr>
        <w:t>Michael J. Martin, Lead Director, Information Security  |  April 2026  |  CONFIDENTIAL / INTERNAL</w:t>
      </w:r>
    </w:p>
    <w:p>
      <w:pPr>
        <w:pBdr>
          <w:bottom w:val="single" w:sz="6" w:space="1" w:color="1F3864"/>
        </w:pBdr>
        <w:spacing w:after="120"/>
      </w:pPr>
    </w:p>
    <w:p>
      <w:pPr>
        <w:pStyle w:val="Heading3"/>
      </w:pPr>
      <w:r>
        <w:rPr>
          <w:color w:val="1F3864"/>
          <w:sz w:val="22"/>
        </w:rPr>
        <w:t>Legend</w:t>
      </w:r>
    </w:p>
    <w:p>
      <w:pPr>
        <w:pStyle w:val="ListBullet"/>
        <w:spacing w:after="60"/>
      </w:pPr>
      <w:r>
        <w:rPr>
          <w:sz w:val="20"/>
        </w:rPr>
      </w:r>
      <w:r>
        <w:rPr>
          <w:b/>
          <w:sz w:val="20"/>
        </w:rPr>
        <w:t>● Full</w:t>
      </w:r>
      <w:r>
        <w:rPr>
          <w:sz w:val="20"/>
        </w:rPr>
        <w:t xml:space="preserve"> — Native, full capability without dependency on the other tool</w:t>
      </w:r>
    </w:p>
    <w:p>
      <w:pPr>
        <w:pStyle w:val="ListBullet"/>
        <w:spacing w:after="60"/>
      </w:pPr>
      <w:r>
        <w:rPr>
          <w:sz w:val="20"/>
        </w:rPr>
      </w:r>
      <w:r>
        <w:rPr>
          <w:b/>
          <w:sz w:val="20"/>
        </w:rPr>
        <w:t>◑ Partial</w:t>
      </w:r>
      <w:r>
        <w:rPr>
          <w:sz w:val="20"/>
        </w:rPr>
        <w:t xml:space="preserve"> — Limited capability; works in some scenarios but not all</w:t>
      </w:r>
    </w:p>
    <w:p>
      <w:pPr>
        <w:pStyle w:val="ListBullet"/>
        <w:spacing w:after="60"/>
      </w:pPr>
      <w:r>
        <w:rPr>
          <w:sz w:val="20"/>
        </w:rPr>
      </w:r>
      <w:r>
        <w:rPr>
          <w:b/>
          <w:sz w:val="20"/>
        </w:rPr>
        <w:t>▲ Dependent</w:t>
      </w:r>
      <w:r>
        <w:rPr>
          <w:sz w:val="20"/>
        </w:rPr>
        <w:t xml:space="preserve"> — Capability exists but requires the other tool to function correctly</w:t>
      </w:r>
    </w:p>
    <w:p>
      <w:pPr>
        <w:pStyle w:val="ListBullet"/>
        <w:spacing w:after="60"/>
      </w:pPr>
      <w:r>
        <w:rPr>
          <w:sz w:val="20"/>
        </w:rPr>
      </w:r>
      <w:r>
        <w:rPr>
          <w:b/>
          <w:sz w:val="20"/>
        </w:rPr>
        <w:t>○ None</w:t>
      </w:r>
      <w:r>
        <w:rPr>
          <w:sz w:val="20"/>
        </w:rPr>
        <w:t xml:space="preserve"> — Not a native capability of this tool</w:t>
      </w:r>
    </w:p>
    <w:p>
      <w:pPr>
        <w:pStyle w:val="ListBullet"/>
        <w:spacing w:after="60"/>
      </w:pPr>
      <w:r>
        <w:rPr>
          <w:sz w:val="20"/>
        </w:rPr>
      </w:r>
      <w:r>
        <w:rPr>
          <w:b/>
          <w:sz w:val="20"/>
        </w:rPr>
        <w:t>— N/A</w:t>
      </w:r>
      <w:r>
        <w:rPr>
          <w:sz w:val="20"/>
        </w:rPr>
        <w:t xml:space="preserve"> — Not applicable in this context</w:t>
      </w:r>
    </w:p>
    <w:p>
      <w:pPr>
        <w:pBdr>
          <w:bottom w:val="single" w:sz="6" w:space="1" w:color="1F3864"/>
        </w:pBdr>
        <w:spacing w:after="120"/>
      </w:pPr>
    </w:p>
    <w:p>
      <w:pPr>
        <w:pStyle w:val="Heading2"/>
      </w:pPr>
      <w:r>
        <w:rPr>
          <w:color w:val="1F3864"/>
          <w:sz w:val="26"/>
        </w:rPr>
        <w:t>1. IoT/OT Asset Discovery</w:t>
      </w:r>
    </w:p>
    <w:p>
      <w:pPr>
        <w:spacing w:after="120"/>
      </w:pPr>
      <w:r>
        <w:rPr>
          <w:b w:val="0"/>
          <w:i/>
          <w:sz w:val="20"/>
        </w:rPr>
        <w:t>Table 1. IoT/OT Discovery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Forescout CounterACT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Claroty xDome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Combined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CVS Health Impact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IoT/OT asset discovery — no SPAN required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○ None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Claroty Edge on existing Windows host. Inventory within 24–48 hrs at any site including 16 DC sites with no CSNA presence.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SPAN/TAP passive DPI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◑ Partial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Forescout ~100 IT/OT protocols via SPAN. Claroty supports 450+ OT protocols.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OT protocol coverage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◑ Partial (~100 protocols)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 (450+ protocols)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Claroty covers 4.5x more OT/ICS protocols. Critical for DC and specialty pharmacy environments.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Safe OT-aware active enrichment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○ None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Claroty Safe Queries retrieve firmware/serial numbers without active scanning. Forescout active probes prohibited on OT segments.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Engineering file / project file analysis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○ None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Claroty parses PLC and HMI engineering workstation project files — no network traffic required.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DHCP-based device fingerprinting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◑ Partial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Forescout DHCP integration strong for IT devices. IoT/OT with static IPs or non-standard DHCP behavior not reliably classified.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Ecosystem / CMDB enrichment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◑ Partial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Claroty integrates with CMDB, CrowdStrike, Intune, and Qualys to enrich and cross-validate device inventory.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Continuous behavioral baselining (IoT/OT)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○ None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Claroty baselines normal OT device communication patterns and flags anomalies. Required before IoT/OT enforcement can be safely activated.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Risk scoring per IoT/OT device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○ None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Claroty assigns risk score per device. Scores feed Forescout CoA — enabling automated enforcement response without manual intervention.</w:t>
            </w:r>
          </w:p>
        </w:tc>
      </w:tr>
    </w:tbl>
    <w:p/>
    <w:p>
      <w:pPr>
        <w:pBdr>
          <w:bottom w:val="single" w:sz="6" w:space="1" w:color="1F3864"/>
        </w:pBdr>
        <w:spacing w:after="120"/>
      </w:pPr>
    </w:p>
    <w:p>
      <w:pPr>
        <w:pStyle w:val="Heading2"/>
      </w:pPr>
      <w:r>
        <w:rPr>
          <w:color w:val="1F3864"/>
          <w:sz w:val="26"/>
        </w:rPr>
        <w:t>2. NAC Admission and Enforcement</w:t>
      </w:r>
    </w:p>
    <w:p>
      <w:pPr>
        <w:spacing w:after="120"/>
      </w:pPr>
      <w:r>
        <w:rPr>
          <w:b w:val="0"/>
          <w:i/>
          <w:sz w:val="20"/>
        </w:rPr>
        <w:t>Table 2. NAC Enforcement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Forescout CounterACT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Claroty xDome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Combined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CVS Health Impact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RADIUS MAB admission enforcement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○ None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Forescout is the RADIUS MAB control plane. All device admission decisions are made and enforced by Forescout.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End-user workstation posture enforcement (Tier 1/2)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○ None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Forescout evaluates the 8-point check policy via API integration with Intune, Jamf, CrowdStrike, Qualys, Tanium, SCCM. Claroty has no role in workstation enforcement.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IoT device MAB policy enforcement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▲ Dependent (requires Claroty inventory)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○ None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Forescout can enforce IoT MAB policy only once Claroty has provided an authoritative device classification.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OT/SCADA enforcement (allow-list)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▲ Dependent (requires Claroty baseline)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○ None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OT enforcement requires a minimum 12-month Claroty behavioral baseline.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CoA mid-session enforcement (P95 ≤15 sec)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○ None (signal only)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Forescout executes CoA. Claroty feeds the risk signal for IoT/OT. For workstations, CoA triggered by endpoint API posture change.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Unmanaged device hard block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○ None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Forescout blocks unmanaged Windows/Mac at admission. No Forescout agent + not in Intune = hard block.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Tier 2 — L3 dynamic ACL on switch (no VLAN change)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○ None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Forescout pushes an L3 dynamic ACL directly to the access layer switch. Device stays on its static VLAN. Management plane reachable for automated remediation. No SGT/NGFW policy required for Tier 2 managed device state.</w:t>
            </w:r>
          </w:p>
        </w:tc>
      </w:tr>
    </w:tbl>
    <w:p/>
    <w:p>
      <w:pPr>
        <w:pBdr>
          <w:bottom w:val="single" w:sz="6" w:space="1" w:color="1F3864"/>
        </w:pBdr>
        <w:spacing w:after="120"/>
      </w:pPr>
    </w:p>
    <w:p>
      <w:pPr>
        <w:pStyle w:val="Heading2"/>
      </w:pPr>
      <w:r>
        <w:rPr>
          <w:color w:val="1F3864"/>
          <w:sz w:val="26"/>
        </w:rPr>
        <w:t>3. Endpoint Posture Validation</w:t>
      </w:r>
    </w:p>
    <w:p>
      <w:pPr>
        <w:spacing w:after="120"/>
      </w:pPr>
      <w:r>
        <w:rPr>
          <w:b w:val="0"/>
          <w:i/>
          <w:sz w:val="20"/>
        </w:rPr>
        <w:t>Table 3. Endpoint Posture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Forescout CounterACT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Claroty xDome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Combined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CVS Health Impact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API integration — Intune, Jamf, SCCM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○ None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Forescout consumes MDM compliance state from Intune, Jamf, and SCCM via API. Drives the 8-point check policy for managed workstations.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API integration — CrowdStrike, Qualys, Tanium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◑ Partial (enrichment only)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Forescout uses CrowdStrike, Qualys, and Tanium posture data for the 8-point check. Claroty pulls these as supplementary enrichment only.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Continuous posture re-validation (post-admission)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○ None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Forescout re-evaluates the 8-point check continuously. A mid-session CrowdStrike sensor failure or Intune compliance lapse triggers immediate CoA demotion to Tier 2.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Remediation workflow management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○ None (by design)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○ None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○ None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Remediation is intentionally out of scope for both tools. Intune, Jamf, CrowdStrike, and SCCM own remediation.</w:t>
            </w:r>
          </w:p>
        </w:tc>
      </w:tr>
    </w:tbl>
    <w:p/>
    <w:p>
      <w:pPr>
        <w:pBdr>
          <w:bottom w:val="single" w:sz="6" w:space="1" w:color="1F3864"/>
        </w:pBdr>
        <w:spacing w:after="120"/>
      </w:pPr>
    </w:p>
    <w:p>
      <w:pPr>
        <w:pStyle w:val="Heading2"/>
      </w:pPr>
      <w:r>
        <w:rPr>
          <w:color w:val="1F3864"/>
          <w:sz w:val="26"/>
        </w:rPr>
        <w:t>4. Segmentation and NGFW Integration</w:t>
      </w:r>
    </w:p>
    <w:p>
      <w:pPr>
        <w:spacing w:after="120"/>
      </w:pPr>
      <w:r>
        <w:rPr>
          <w:b w:val="0"/>
          <w:i w:val="0"/>
          <w:sz w:val="20"/>
        </w:rPr>
        <w:t xml:space="preserve">Note: The Palo Alto NGFW is the east-west segmentation and IT-to-OT boundary enforcement layer. It is </w:t>
      </w:r>
      <w:r>
        <w:rPr>
          <w:b/>
          <w:i w:val="0"/>
          <w:sz w:val="20"/>
        </w:rPr>
        <w:t>not</w:t>
      </w:r>
      <w:r>
        <w:rPr>
          <w:b w:val="0"/>
          <w:i w:val="0"/>
          <w:sz w:val="20"/>
        </w:rPr>
        <w:t xml:space="preserve"> involved in Tier 2 managed device enforcement — that function is performed by Forescout pushing an L3 dynamic ACL directly to the access layer switch.</w:t>
      </w:r>
    </w:p>
    <w:p>
      <w:pPr>
        <w:spacing w:after="120"/>
      </w:pPr>
      <w:r>
        <w:rPr>
          <w:b w:val="0"/>
          <w:i/>
          <w:sz w:val="20"/>
        </w:rPr>
        <w:t>Table 4. Segmentation and NGFW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Forescout CounterACT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Claroty xDome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Combined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CVS Health Impact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Dynamic PAN NGFW policy update via risk signal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▲ Dependent (requires Claroty signal)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 (signal source)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Claroty behavioral anomaly triggers risk score breach. Signal feeds Forescout CoA. PAN enforces updated east-west policy in real time — IoT/OT Stage 3 only.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IT-to-OT boundary enforcement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▲ Dependent (requires Claroty classification)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● Full (classification source)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Meaningful IT/OT boundary enforcement requires knowing which devices are OT. Claroty provides classification; PAN enforces the segment boundary.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OT micro-segmentation (per device class)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▲ Dependent (requires Claroty inventory)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 (inventory + class source)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OT micro-segmentation at Stage 3 requires per-device class policy. Claroty provides the class taxonomy. Forescout and PAN enforce the policy.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Tier 2 managed device enforcement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● Full (L3 ACL on switch)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○ None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Forescout pushes L3 dynamic ACL to access switch. PAN NGFW not involved in managed endpoint Tier 2 enforcement.</w:t>
            </w:r>
          </w:p>
        </w:tc>
      </w:tr>
    </w:tbl>
    <w:p/>
    <w:p>
      <w:pPr>
        <w:pBdr>
          <w:bottom w:val="single" w:sz="6" w:space="1" w:color="1F3864"/>
        </w:pBdr>
        <w:spacing w:after="120"/>
      </w:pPr>
    </w:p>
    <w:p>
      <w:pPr>
        <w:pStyle w:val="Heading2"/>
      </w:pPr>
      <w:r>
        <w:rPr>
          <w:color w:val="1F3864"/>
          <w:sz w:val="26"/>
        </w:rPr>
        <w:t>5. Operational Characteristics</w:t>
      </w:r>
    </w:p>
    <w:p>
      <w:pPr>
        <w:spacing w:after="120"/>
      </w:pPr>
      <w:r>
        <w:rPr>
          <w:b w:val="0"/>
          <w:i/>
          <w:sz w:val="20"/>
        </w:rPr>
        <w:t>Table 5. Operational Deployment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Forescout CounterACT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Claroty xDome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Combined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CVS Health Impact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Hardware required at site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 (sensor appliance)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○ None (software only)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◑ Partial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Forescout requires a CounterACT sensor per site. Claroty Edge requires no hardware. Claroty eliminates the hardware dependency for IoT discovery.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SPAN port required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● Full (for OT discovery only)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○ None (Claroty Edge path)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○ None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In the CVS deployment, Claroty Edge is the primary discovery method. No SPAN ports required at any site.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WAN / SD-WAN tapping required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 (if IoT standalone)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○ None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○ None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If Forescout were the sole IoT discovery platform, WAN/SD-WAN tapping would be required. Claroty Edge eliminates this dependency.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Deployment complexity at CSNA-gap sites (16 DCs)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High — SPAN/TAP needed before any IoT data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Low — Claroty Edge on existing host, inventory in 24–48 hrs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Low — Claroty Edge first, Forescout sensor second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Claroty Edge resolves the discovery gap at all 16 DC sites without hardware or network changes.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Time to initial IoT/OT inventory per site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Days to weeks (SPAN provisioning)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24–48 hours (Claroty Edge)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24–48 hours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Claroty Edge compresses discovery timeline from weeks to hours at every site.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Forescout EOL/EOS refresh dependency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Yes — must complete before enforcement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○ None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Claroty not blocked by Forescout refresh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Claroty Edge can be deployed at all sites immediately — before Forescout EOL refresh completes. IoT inventory building begins Day 1.</w:t>
            </w:r>
          </w:p>
        </w:tc>
      </w:tr>
    </w:tbl>
    <w:p/>
    <w:p>
      <w:pPr>
        <w:pBdr>
          <w:bottom w:val="single" w:sz="6" w:space="1" w:color="1F3864"/>
        </w:pBdr>
        <w:spacing w:after="120"/>
      </w:pPr>
    </w:p>
    <w:p>
      <w:pPr>
        <w:pStyle w:val="Heading2"/>
      </w:pPr>
      <w:r>
        <w:rPr>
          <w:color w:val="1F3864"/>
          <w:sz w:val="26"/>
        </w:rPr>
        <w:t>6. IoT/OT Enforcement Maturation</w:t>
      </w:r>
    </w:p>
    <w:p>
      <w:pPr>
        <w:spacing w:after="120"/>
      </w:pPr>
      <w:r>
        <w:rPr>
          <w:b w:val="0"/>
          <w:i/>
          <w:sz w:val="20"/>
        </w:rPr>
        <w:t>Note: The IoT/OT enforcement track is independent of the Phase 1 endpoint model. IoT elements are not critical to the start and success of the initial endpoint enforcement program. Actual IoT timetables are tied to completion of the Forescout hardware renewal.</w:t>
      </w:r>
    </w:p>
    <w:p>
      <w:pPr>
        <w:spacing w:after="120"/>
      </w:pPr>
      <w:r>
        <w:rPr>
          <w:b w:val="0"/>
          <w:i/>
          <w:sz w:val="20"/>
        </w:rPr>
        <w:t>Table 6. IoT/OT Maturation Stage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Forescout CounterACT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Claroty xDome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Combined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CVS Health Impact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Stage 1 — IoT passive discovery (M1–M18)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▲ Dependent (ingests Claroty data)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 (primary discovery engine)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Claroty Edge at all sites from Day 1. Forescout ingests classifications and builds device profile database. No enforcement. Workstation NAC proceeds in parallel.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Stage 2 — Low-risk IoT enforcement (M18–M30)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● Full (MAB enforcement engine)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● Full (classification source)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Forescout activates MAB enforcement for known low-risk device classes. Claroty classifications define the device class; Forescout enforces.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Stage 3 — OT/SCADA enforcement (M30+)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 (enforcement, allow-list)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 (12-month baseline required)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● 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Allow-list only. Claroty provides approved device inventory. Forescout enforces at MAB layer. PAN enforces OT micro-segmentation. All three tools required.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Gate condition for Stage 2 (no Claroty)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◑ Partial (DHCP-only, monitor mode)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— N/A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— N/A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sz w:val="18"/>
              </w:rPr>
              <w:t>Without Claroty, Forescout IoT enforcement limited to DHCP-fingerprinted devices in monitor-only mode. Stage 2 and 3 cannot be safely activated.</w:t>
            </w:r>
          </w:p>
        </w:tc>
      </w:tr>
    </w:tbl>
    <w:p/>
    <w:p>
      <w:pPr>
        <w:pBdr>
          <w:bottom w:val="single" w:sz="6" w:space="1" w:color="1F3864"/>
        </w:pBdr>
        <w:spacing w:after="120"/>
      </w:pPr>
    </w:p>
    <w:p>
      <w:pPr>
        <w:pStyle w:val="Heading2"/>
      </w:pPr>
      <w:r>
        <w:rPr>
          <w:color w:val="1F3864"/>
          <w:sz w:val="26"/>
        </w:rPr>
        <w:t>7. Functional Boundaries Summary</w:t>
      </w:r>
    </w:p>
    <w:p>
      <w:pPr>
        <w:spacing w:after="120"/>
      </w:pPr>
      <w:r>
        <w:rPr>
          <w:sz w:val="20"/>
        </w:rPr>
        <w:t>Forescout CounterACT and Claroty xDome are not competing platforms in the CVS Health architecture. They occupy distinct, non-overlapping functional roles. The critical insight is that Forescout cannot safely fulfill the IoT/OT discovery function at CVS scale, and Claroty has no enforcement capability. The combination is additive, not redundant.</w:t>
      </w:r>
    </w:p>
    <w:p>
      <w:pPr>
        <w:spacing w:after="120"/>
      </w:pPr>
      <w:r>
        <w:rPr>
          <w:b w:val="0"/>
          <w:i/>
          <w:sz w:val="20"/>
        </w:rPr>
        <w:t>Table 7. Functional Boundary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Primary Tool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Supporting Tool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Neither Tool (Owned Elsewhere)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IoT/OT discovery and classification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Claroty xDome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Forescout (ingests data)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sz w:val="18"/>
              </w:rPr>
              <w:t>OT behavioral baselining and risk scoring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sz w:val="18"/>
              </w:rPr>
              <w:t>Claroty xDome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RADIUS MAB admission enforcement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Forescout CounterACT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sz w:val="18"/>
              </w:rPr>
              <w:t>Endpoint posture validation (8-point check)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sz w:val="18"/>
              </w:rPr>
              <w:t>Forescout CounterACT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Tier 2 enforcement (L3 ACL on switch)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Forescout CounterACT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sz w:val="18"/>
              </w:rPr>
              <w:t>MDM compliance and remediation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sz w:val="18"/>
              </w:rPr>
              <w:t>Intune / Jamf / SCCM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EDR telemetry and response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CrowdStrike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sz w:val="18"/>
              </w:rPr>
              <w:t>Vulnerability posture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sz w:val="18"/>
              </w:rPr>
              <w:t>Qualys / Tanium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East-west segmentation enforcement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Palo Alto NGFW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sz w:val="18"/>
              </w:rPr>
              <w:t>IoT MAB enforcement policy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sz w:val="18"/>
              </w:rPr>
              <w:t>Forescout CounterACT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sz w:val="18"/>
              </w:rPr>
              <w:t>Claroty (classification source)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OT/SCADA micro-segmentation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Forescout + Claroty (joint)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Palo Alto NGFW (enforcement)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