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C723" w14:textId="77777777" w:rsidR="00F04C96" w:rsidRDefault="00000000">
      <w:pPr>
        <w:spacing w:after="80"/>
      </w:pPr>
      <w:r>
        <w:rPr>
          <w:b/>
          <w:bCs/>
          <w:caps/>
          <w:color w:val="8C1D40"/>
          <w:sz w:val="18"/>
          <w:szCs w:val="18"/>
        </w:rPr>
        <w:t>CVS HEALTH  |  THIRD-PARTY LANDING ZONE (3PLZ)</w:t>
      </w:r>
    </w:p>
    <w:p w14:paraId="556C64D4" w14:textId="77777777" w:rsidR="00F04C96" w:rsidRDefault="00000000">
      <w:pPr>
        <w:pBdr>
          <w:bottom w:val="single" w:sz="18" w:space="4" w:color="8C1D40"/>
        </w:pBdr>
        <w:spacing w:after="200"/>
      </w:pPr>
      <w:r>
        <w:rPr>
          <w:b/>
          <w:bCs/>
          <w:sz w:val="36"/>
          <w:szCs w:val="36"/>
        </w:rPr>
        <w:t>Zscaler RFP Response — Disposition Against Stated Deliverables</w:t>
      </w:r>
    </w:p>
    <w:p w14:paraId="3A64EE0F" w14:textId="77777777" w:rsidR="00F04C96" w:rsidRDefault="00000000">
      <w:pPr>
        <w:spacing w:before="80" w:after="40" w:line="300" w:lineRule="auto"/>
      </w:pPr>
      <w:r>
        <w:rPr>
          <w:b/>
          <w:bCs/>
        </w:rPr>
        <w:t xml:space="preserve">Document Type: </w:t>
      </w:r>
      <w:r>
        <w:t>RFP Evaluation Memo</w:t>
      </w:r>
    </w:p>
    <w:p w14:paraId="4D0D9582" w14:textId="77777777" w:rsidR="00F04C96" w:rsidRDefault="00000000">
      <w:pPr>
        <w:spacing w:before="80" w:after="40" w:line="300" w:lineRule="auto"/>
      </w:pPr>
      <w:r>
        <w:rPr>
          <w:b/>
          <w:bCs/>
        </w:rPr>
        <w:t xml:space="preserve">Program: </w:t>
      </w:r>
      <w:r>
        <w:t>CVS Health — Third-Party Landing Zone (3PLZ)</w:t>
      </w:r>
    </w:p>
    <w:p w14:paraId="1D2D70D3" w14:textId="77777777" w:rsidR="00F04C96" w:rsidRDefault="00000000">
      <w:pPr>
        <w:spacing w:before="80" w:after="40" w:line="300" w:lineRule="auto"/>
      </w:pPr>
      <w:r>
        <w:rPr>
          <w:b/>
          <w:bCs/>
        </w:rPr>
        <w:t xml:space="preserve">Subject Vendor: </w:t>
      </w:r>
      <w:r>
        <w:t>Zscaler  |  Quote Q-741114  |  Strategic Partner: Presidio Networked Solutions</w:t>
      </w:r>
    </w:p>
    <w:p w14:paraId="734E04E6" w14:textId="77777777" w:rsidR="00F04C96" w:rsidRDefault="00000000">
      <w:pPr>
        <w:spacing w:before="80" w:after="40" w:line="300" w:lineRule="auto"/>
      </w:pPr>
      <w:r>
        <w:rPr>
          <w:b/>
          <w:bCs/>
        </w:rPr>
        <w:t xml:space="preserve">RFP Reference: </w:t>
      </w:r>
      <w:r>
        <w:t>3PLZ-RFC Final Draft v2.0, dated October 31, 2025</w:t>
      </w:r>
    </w:p>
    <w:p w14:paraId="131ED8E1" w14:textId="77777777" w:rsidR="00F04C96" w:rsidRDefault="00000000">
      <w:pPr>
        <w:spacing w:before="80" w:after="200" w:line="300" w:lineRule="auto"/>
      </w:pPr>
      <w:r>
        <w:rPr>
          <w:b/>
          <w:bCs/>
        </w:rPr>
        <w:t xml:space="preserve">Determination: </w:t>
      </w:r>
      <w:r>
        <w:rPr>
          <w:b/>
          <w:bCs/>
          <w:color w:val="8C1D40"/>
        </w:rPr>
        <w:t>Zscaler does not advance to the 3PLZ Proof of Concept.</w:t>
      </w:r>
    </w:p>
    <w:p w14:paraId="2172E3D1" w14:textId="77777777" w:rsidR="00F04C96" w:rsidRDefault="00000000">
      <w:pPr>
        <w:pBdr>
          <w:bottom w:val="single" w:sz="12" w:space="6" w:color="8C1D40"/>
        </w:pBdr>
        <w:spacing w:before="360" w:after="160"/>
      </w:pPr>
      <w:r>
        <w:rPr>
          <w:b/>
          <w:bCs/>
          <w:sz w:val="32"/>
          <w:szCs w:val="32"/>
        </w:rPr>
        <w:t>1. Purpose and Scope</w:t>
      </w:r>
    </w:p>
    <w:p w14:paraId="4F9A859E" w14:textId="77777777" w:rsidR="00F04C96" w:rsidRDefault="00000000">
      <w:pPr>
        <w:spacing w:before="80" w:after="80" w:line="300" w:lineRule="auto"/>
        <w:jc w:val="both"/>
      </w:pPr>
      <w:r>
        <w:t>This memo records the disposition of the Zscaler RFP response against the deliverables stated in the 3PLZ Request for Proposal (3PLZ-RFC Final Draft v2.0). It is a deliverable-by-deliverable evaluation. Each row identifies a specific capability or artifact the RFP required, the location of that requirement in the source document, and whether the Zscaler submission delivered it, partially delivered it, or did not deliver it.</w:t>
      </w:r>
    </w:p>
    <w:p w14:paraId="7604DD2E" w14:textId="77777777" w:rsidR="00F04C96" w:rsidRDefault="00000000">
      <w:pPr>
        <w:spacing w:before="80" w:after="80" w:line="300" w:lineRule="auto"/>
        <w:jc w:val="both"/>
      </w:pPr>
      <w:r>
        <w:t>The evaluation is intentionally narrow. It addresses architectural fit against the published 3PLZ requirements only. It does not assess Zscaler's broader product portfolio, employee ZTNA, Internet access security, or its existing operational footprint at CVS Health. Zscaler is a strong platform for the use cases for which it was engineered. This memo concerns whether it is the right platform for the 3PLZ control plane — and the conclusion, on the evidence of the submission itself, is that it is not.</w:t>
      </w:r>
    </w:p>
    <w:p w14:paraId="33A6254C" w14:textId="77777777" w:rsidR="00F04C96" w:rsidRDefault="00000000">
      <w:pPr>
        <w:pBdr>
          <w:bottom w:val="single" w:sz="12" w:space="6" w:color="8C1D40"/>
        </w:pBdr>
        <w:spacing w:before="360" w:after="160"/>
      </w:pPr>
      <w:r>
        <w:rPr>
          <w:b/>
          <w:bCs/>
          <w:sz w:val="32"/>
          <w:szCs w:val="32"/>
        </w:rPr>
        <w:t>2. Submission Reviewed</w:t>
      </w:r>
    </w:p>
    <w:p w14:paraId="07F1AA8E" w14:textId="77777777" w:rsidR="00F04C96" w:rsidRDefault="00000000">
      <w:pPr>
        <w:spacing w:before="80" w:after="80" w:line="300" w:lineRule="auto"/>
        <w:jc w:val="both"/>
      </w:pPr>
      <w:r>
        <w:t>The Zscaler 3PLZ submission consists of three artifacts:</w:t>
      </w:r>
    </w:p>
    <w:p w14:paraId="5D28CA2C" w14:textId="77777777" w:rsidR="00F04C96" w:rsidRDefault="00000000">
      <w:pPr>
        <w:pStyle w:val="ListParagraph"/>
        <w:numPr>
          <w:ilvl w:val="0"/>
          <w:numId w:val="1"/>
        </w:numPr>
        <w:spacing w:before="40" w:after="40" w:line="280" w:lineRule="auto"/>
      </w:pPr>
      <w:r>
        <w:t>Zscaler 3PLZ Proposal (sales cover, Q-741114), dated 02/06/26</w:t>
      </w:r>
    </w:p>
    <w:p w14:paraId="00E0E9DB" w14:textId="77777777" w:rsidR="00F04C96" w:rsidRDefault="00000000">
      <w:pPr>
        <w:pStyle w:val="ListParagraph"/>
        <w:numPr>
          <w:ilvl w:val="0"/>
          <w:numId w:val="1"/>
        </w:numPr>
        <w:spacing w:before="40" w:after="40" w:line="280" w:lineRule="auto"/>
      </w:pPr>
      <w:r>
        <w:t>Zscaler 3PLZ Vendor-Agnostic Feature Matrix (Capability Matrix + Answers, 14 rows; Executive Summary worksheet)</w:t>
      </w:r>
    </w:p>
    <w:p w14:paraId="4F78314D" w14:textId="77777777" w:rsidR="00F04C96" w:rsidRDefault="00000000">
      <w:pPr>
        <w:pStyle w:val="ListParagraph"/>
        <w:numPr>
          <w:ilvl w:val="0"/>
          <w:numId w:val="1"/>
        </w:numPr>
        <w:spacing w:before="40" w:after="40" w:line="280" w:lineRule="auto"/>
      </w:pPr>
      <w:r>
        <w:t>Pre-negotiated commercial terms: $687,500 annual, $2,062,500 over a 36-month term (6/1/26 – 5/31/29)</w:t>
      </w:r>
    </w:p>
    <w:p w14:paraId="51084066" w14:textId="77777777" w:rsidR="00F04C96" w:rsidRDefault="00000000">
      <w:pPr>
        <w:spacing w:before="80" w:after="80" w:line="300" w:lineRule="auto"/>
        <w:jc w:val="both"/>
      </w:pPr>
      <w:r>
        <w:t xml:space="preserve">The Executive Summary positions Zscaler Extranet as a partner-termination layer, with three external dependencies acknowledged in the response itself: (1) ServiceNow as the self-service and lifecycle workflow front end, (2) Presidio Networked Solutions as the systems integrator assembling the supporting application proxy stack, and (3) "best-of-breed" per-protocol proxies (API gateway, SSH/SFTP gateway, </w:t>
      </w:r>
      <w:proofErr w:type="spellStart"/>
      <w:r>
        <w:t>mTLS</w:t>
      </w:r>
      <w:proofErr w:type="spellEnd"/>
      <w:r>
        <w:t xml:space="preserve"> reverse proxy) deployed behind Zscaler. These three dependencies are central to the disposition findings that follow.</w:t>
      </w:r>
    </w:p>
    <w:p w14:paraId="449B5DCC" w14:textId="77777777" w:rsidR="00F04C96" w:rsidRDefault="00000000">
      <w:pPr>
        <w:pBdr>
          <w:bottom w:val="single" w:sz="12" w:space="6" w:color="8C1D40"/>
        </w:pBdr>
        <w:spacing w:before="360" w:after="160"/>
      </w:pPr>
      <w:r>
        <w:rPr>
          <w:b/>
          <w:bCs/>
          <w:sz w:val="32"/>
          <w:szCs w:val="32"/>
        </w:rPr>
        <w:t>3. Disposition Summary</w:t>
      </w:r>
    </w:p>
    <w:p w14:paraId="176A45A9" w14:textId="77777777" w:rsidR="00F04C96" w:rsidRDefault="00000000">
      <w:pPr>
        <w:spacing w:before="80" w:after="80" w:line="300" w:lineRule="auto"/>
        <w:jc w:val="both"/>
      </w:pPr>
      <w:r>
        <w:t>Across the 14 RFP-stated deliverables evaluated, the Zscaler submission produced the following disposition:</w:t>
      </w:r>
    </w:p>
    <w:p w14:paraId="62FF231C" w14:textId="77777777" w:rsidR="00F04C96" w:rsidRDefault="00000000">
      <w:r>
        <w:br w:type="page"/>
      </w:r>
    </w:p>
    <w:tbl>
      <w:tblPr>
        <w:tblW w:w="35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4089"/>
        <w:gridCol w:w="1363"/>
        <w:gridCol w:w="1363"/>
      </w:tblGrid>
      <w:tr w:rsidR="00F04C96" w14:paraId="4AD295FA" w14:textId="77777777">
        <w:tblPrEx>
          <w:tblCellMar>
            <w:top w:w="0" w:type="dxa"/>
            <w:bottom w:w="0" w:type="dxa"/>
          </w:tblCellMar>
        </w:tblPrEx>
        <w:trPr>
          <w:cantSplit/>
          <w:tblHeader/>
        </w:trPr>
        <w:tc>
          <w:tcPr>
            <w:tcW w:w="3000" w:type="pct"/>
            <w:shd w:val="solid" w:color="F2F2F2" w:fill="F2F2F2"/>
            <w:tcMar>
              <w:top w:w="100" w:type="dxa"/>
              <w:left w:w="120" w:type="dxa"/>
              <w:bottom w:w="100" w:type="dxa"/>
              <w:right w:w="120" w:type="dxa"/>
            </w:tcMar>
          </w:tcPr>
          <w:p w14:paraId="70F2C448" w14:textId="77777777" w:rsidR="00F04C96" w:rsidRDefault="00000000">
            <w:pPr>
              <w:spacing w:before="20" w:after="20"/>
            </w:pPr>
            <w:r>
              <w:rPr>
                <w:b/>
                <w:bCs/>
                <w:caps/>
                <w:sz w:val="18"/>
                <w:szCs w:val="18"/>
              </w:rPr>
              <w:lastRenderedPageBreak/>
              <w:t>Disposition</w:t>
            </w:r>
          </w:p>
        </w:tc>
        <w:tc>
          <w:tcPr>
            <w:tcW w:w="1000" w:type="pct"/>
            <w:shd w:val="solid" w:color="F2F2F2" w:fill="F2F2F2"/>
            <w:tcMar>
              <w:top w:w="100" w:type="dxa"/>
              <w:left w:w="120" w:type="dxa"/>
              <w:bottom w:w="100" w:type="dxa"/>
              <w:right w:w="120" w:type="dxa"/>
            </w:tcMar>
          </w:tcPr>
          <w:p w14:paraId="2C60F991" w14:textId="77777777" w:rsidR="00F04C96" w:rsidRDefault="00000000">
            <w:pPr>
              <w:spacing w:before="20" w:after="20"/>
            </w:pPr>
            <w:r>
              <w:rPr>
                <w:b/>
                <w:bCs/>
                <w:caps/>
                <w:sz w:val="18"/>
                <w:szCs w:val="18"/>
              </w:rPr>
              <w:t>Count</w:t>
            </w:r>
          </w:p>
        </w:tc>
        <w:tc>
          <w:tcPr>
            <w:tcW w:w="1000" w:type="pct"/>
            <w:shd w:val="solid" w:color="F2F2F2" w:fill="F2F2F2"/>
            <w:tcMar>
              <w:top w:w="100" w:type="dxa"/>
              <w:left w:w="120" w:type="dxa"/>
              <w:bottom w:w="100" w:type="dxa"/>
              <w:right w:w="120" w:type="dxa"/>
            </w:tcMar>
          </w:tcPr>
          <w:p w14:paraId="1F52E973" w14:textId="77777777" w:rsidR="00F04C96" w:rsidRDefault="00000000">
            <w:pPr>
              <w:spacing w:before="20" w:after="20"/>
            </w:pPr>
            <w:r>
              <w:rPr>
                <w:b/>
                <w:bCs/>
                <w:caps/>
                <w:sz w:val="18"/>
                <w:szCs w:val="18"/>
              </w:rPr>
              <w:t>Share</w:t>
            </w:r>
          </w:p>
        </w:tc>
      </w:tr>
      <w:tr w:rsidR="00F04C96" w14:paraId="48F8D840" w14:textId="77777777">
        <w:tblPrEx>
          <w:tblCellMar>
            <w:top w:w="0" w:type="dxa"/>
            <w:bottom w:w="0" w:type="dxa"/>
          </w:tblCellMar>
        </w:tblPrEx>
        <w:trPr>
          <w:cantSplit/>
        </w:trPr>
        <w:tc>
          <w:tcPr>
            <w:tcW w:w="3000" w:type="pct"/>
            <w:tcMar>
              <w:top w:w="100" w:type="dxa"/>
              <w:left w:w="120" w:type="dxa"/>
              <w:bottom w:w="100" w:type="dxa"/>
              <w:right w:w="120" w:type="dxa"/>
            </w:tcMar>
          </w:tcPr>
          <w:p w14:paraId="0BD07050" w14:textId="77777777" w:rsidR="00F04C96" w:rsidRDefault="00000000">
            <w:pPr>
              <w:spacing w:before="20" w:after="20" w:line="260" w:lineRule="auto"/>
            </w:pPr>
            <w:r>
              <w:rPr>
                <w:b/>
                <w:bCs/>
                <w:color w:val="8C1D40"/>
                <w:sz w:val="18"/>
                <w:szCs w:val="18"/>
              </w:rPr>
              <w:t>Does not meet (Miss)</w:t>
            </w:r>
          </w:p>
        </w:tc>
        <w:tc>
          <w:tcPr>
            <w:tcW w:w="1000" w:type="pct"/>
            <w:tcMar>
              <w:top w:w="100" w:type="dxa"/>
              <w:left w:w="120" w:type="dxa"/>
              <w:bottom w:w="100" w:type="dxa"/>
              <w:right w:w="120" w:type="dxa"/>
            </w:tcMar>
          </w:tcPr>
          <w:p w14:paraId="56717465" w14:textId="77777777" w:rsidR="00F04C96" w:rsidRDefault="00000000">
            <w:pPr>
              <w:jc w:val="center"/>
            </w:pPr>
            <w:r>
              <w:rPr>
                <w:b/>
                <w:bCs/>
                <w:color w:val="8C1D40"/>
                <w:sz w:val="24"/>
                <w:szCs w:val="24"/>
              </w:rPr>
              <w:t>9</w:t>
            </w:r>
          </w:p>
        </w:tc>
        <w:tc>
          <w:tcPr>
            <w:tcW w:w="1000" w:type="pct"/>
            <w:tcMar>
              <w:top w:w="100" w:type="dxa"/>
              <w:left w:w="120" w:type="dxa"/>
              <w:bottom w:w="100" w:type="dxa"/>
              <w:right w:w="120" w:type="dxa"/>
            </w:tcMar>
          </w:tcPr>
          <w:p w14:paraId="598B1D88" w14:textId="77777777" w:rsidR="00F04C96" w:rsidRDefault="00000000">
            <w:pPr>
              <w:jc w:val="right"/>
            </w:pPr>
            <w:r>
              <w:rPr>
                <w:color w:val="8C1D40"/>
              </w:rPr>
              <w:t>64%</w:t>
            </w:r>
          </w:p>
        </w:tc>
      </w:tr>
      <w:tr w:rsidR="00F04C96" w14:paraId="43827EBA" w14:textId="77777777">
        <w:tblPrEx>
          <w:tblCellMar>
            <w:top w:w="0" w:type="dxa"/>
            <w:bottom w:w="0" w:type="dxa"/>
          </w:tblCellMar>
        </w:tblPrEx>
        <w:trPr>
          <w:cantSplit/>
        </w:trPr>
        <w:tc>
          <w:tcPr>
            <w:tcW w:w="3000" w:type="pct"/>
            <w:tcMar>
              <w:top w:w="100" w:type="dxa"/>
              <w:left w:w="120" w:type="dxa"/>
              <w:bottom w:w="100" w:type="dxa"/>
              <w:right w:w="120" w:type="dxa"/>
            </w:tcMar>
          </w:tcPr>
          <w:p w14:paraId="0D8CF408" w14:textId="77777777" w:rsidR="00F04C96" w:rsidRDefault="00000000">
            <w:pPr>
              <w:spacing w:before="20" w:after="20" w:line="260" w:lineRule="auto"/>
            </w:pPr>
            <w:r>
              <w:rPr>
                <w:b/>
                <w:bCs/>
                <w:color w:val="B45309"/>
                <w:sz w:val="18"/>
                <w:szCs w:val="18"/>
              </w:rPr>
              <w:t>Partially meets (Delegated / Adjunct)</w:t>
            </w:r>
          </w:p>
        </w:tc>
        <w:tc>
          <w:tcPr>
            <w:tcW w:w="1000" w:type="pct"/>
            <w:tcMar>
              <w:top w:w="100" w:type="dxa"/>
              <w:left w:w="120" w:type="dxa"/>
              <w:bottom w:w="100" w:type="dxa"/>
              <w:right w:w="120" w:type="dxa"/>
            </w:tcMar>
          </w:tcPr>
          <w:p w14:paraId="737A9625" w14:textId="77777777" w:rsidR="00F04C96" w:rsidRDefault="00000000">
            <w:pPr>
              <w:jc w:val="center"/>
            </w:pPr>
            <w:r>
              <w:rPr>
                <w:b/>
                <w:bCs/>
                <w:color w:val="B45309"/>
                <w:sz w:val="24"/>
                <w:szCs w:val="24"/>
              </w:rPr>
              <w:t>4</w:t>
            </w:r>
          </w:p>
        </w:tc>
        <w:tc>
          <w:tcPr>
            <w:tcW w:w="1000" w:type="pct"/>
            <w:tcMar>
              <w:top w:w="100" w:type="dxa"/>
              <w:left w:w="120" w:type="dxa"/>
              <w:bottom w:w="100" w:type="dxa"/>
              <w:right w:w="120" w:type="dxa"/>
            </w:tcMar>
          </w:tcPr>
          <w:p w14:paraId="40DEEEF8" w14:textId="77777777" w:rsidR="00F04C96" w:rsidRDefault="00000000">
            <w:pPr>
              <w:jc w:val="right"/>
            </w:pPr>
            <w:r>
              <w:rPr>
                <w:color w:val="B45309"/>
              </w:rPr>
              <w:t>29%</w:t>
            </w:r>
          </w:p>
        </w:tc>
      </w:tr>
      <w:tr w:rsidR="00F04C96" w14:paraId="027EE9D3" w14:textId="77777777">
        <w:tblPrEx>
          <w:tblCellMar>
            <w:top w:w="0" w:type="dxa"/>
            <w:bottom w:w="0" w:type="dxa"/>
          </w:tblCellMar>
        </w:tblPrEx>
        <w:trPr>
          <w:cantSplit/>
        </w:trPr>
        <w:tc>
          <w:tcPr>
            <w:tcW w:w="3000" w:type="pct"/>
            <w:tcMar>
              <w:top w:w="100" w:type="dxa"/>
              <w:left w:w="120" w:type="dxa"/>
              <w:bottom w:w="100" w:type="dxa"/>
              <w:right w:w="120" w:type="dxa"/>
            </w:tcMar>
          </w:tcPr>
          <w:p w14:paraId="00448F39" w14:textId="77777777" w:rsidR="00F04C96" w:rsidRDefault="00000000">
            <w:pPr>
              <w:spacing w:before="20" w:after="20" w:line="260" w:lineRule="auto"/>
            </w:pPr>
            <w:r>
              <w:rPr>
                <w:b/>
                <w:bCs/>
                <w:color w:val="1F6F3A"/>
                <w:sz w:val="18"/>
                <w:szCs w:val="18"/>
              </w:rPr>
              <w:t>Meets deliverable (Native)</w:t>
            </w:r>
          </w:p>
        </w:tc>
        <w:tc>
          <w:tcPr>
            <w:tcW w:w="1000" w:type="pct"/>
            <w:tcMar>
              <w:top w:w="100" w:type="dxa"/>
              <w:left w:w="120" w:type="dxa"/>
              <w:bottom w:w="100" w:type="dxa"/>
              <w:right w:w="120" w:type="dxa"/>
            </w:tcMar>
          </w:tcPr>
          <w:p w14:paraId="61373587" w14:textId="77777777" w:rsidR="00F04C96" w:rsidRDefault="00000000">
            <w:pPr>
              <w:jc w:val="center"/>
            </w:pPr>
            <w:r>
              <w:rPr>
                <w:b/>
                <w:bCs/>
                <w:color w:val="1F6F3A"/>
                <w:sz w:val="24"/>
                <w:szCs w:val="24"/>
              </w:rPr>
              <w:t>1</w:t>
            </w:r>
          </w:p>
        </w:tc>
        <w:tc>
          <w:tcPr>
            <w:tcW w:w="1000" w:type="pct"/>
            <w:tcMar>
              <w:top w:w="100" w:type="dxa"/>
              <w:left w:w="120" w:type="dxa"/>
              <w:bottom w:w="100" w:type="dxa"/>
              <w:right w:w="120" w:type="dxa"/>
            </w:tcMar>
          </w:tcPr>
          <w:p w14:paraId="1E0D6240" w14:textId="77777777" w:rsidR="00F04C96" w:rsidRDefault="00000000">
            <w:pPr>
              <w:jc w:val="right"/>
            </w:pPr>
            <w:r>
              <w:rPr>
                <w:color w:val="1F6F3A"/>
              </w:rPr>
              <w:t>7%</w:t>
            </w:r>
          </w:p>
        </w:tc>
      </w:tr>
    </w:tbl>
    <w:p w14:paraId="59DCFC72" w14:textId="77777777" w:rsidR="00F04C96" w:rsidRDefault="00F04C96">
      <w:pPr>
        <w:spacing w:before="60" w:after="60"/>
      </w:pPr>
    </w:p>
    <w:p w14:paraId="0DCD957C" w14:textId="791FB593" w:rsidR="00F04C96" w:rsidRDefault="00000000">
      <w:pPr>
        <w:spacing w:before="80" w:after="80" w:line="300" w:lineRule="auto"/>
        <w:jc w:val="both"/>
      </w:pPr>
      <w:r>
        <w:t xml:space="preserve">A single deliverable — site-to-site IPsec termination into a default-deny landing construct — is fully met by Zscaler's native capability. The remaining 13 are either delegated to adjunct platforms, integrators, or downstream proxies that CVS Health would need to procure and </w:t>
      </w:r>
      <w:r w:rsidR="000B1005">
        <w:t>operate or</w:t>
      </w:r>
      <w:r>
        <w:t xml:space="preserve"> are not addressed at all. The pattern is consistent across the response: Zscaler Extranet is offered as the transport and segmentation layer; everything else is "place a proxy behind it." That positioning is internally honest, but it is not what the RFP asked for.</w:t>
      </w:r>
    </w:p>
    <w:p w14:paraId="22EC6807" w14:textId="77777777" w:rsidR="00F04C96" w:rsidRDefault="00000000">
      <w:r>
        <w:br w:type="page"/>
      </w:r>
    </w:p>
    <w:p w14:paraId="625F8DF0" w14:textId="77777777" w:rsidR="00F04C96" w:rsidRDefault="00000000">
      <w:pPr>
        <w:pBdr>
          <w:bottom w:val="single" w:sz="12" w:space="6" w:color="8C1D40"/>
        </w:pBdr>
        <w:spacing w:before="360" w:after="160"/>
      </w:pPr>
      <w:r>
        <w:rPr>
          <w:b/>
          <w:bCs/>
          <w:sz w:val="32"/>
          <w:szCs w:val="32"/>
        </w:rPr>
        <w:lastRenderedPageBreak/>
        <w:t>4. Deliverable-by-Deliverable Findings</w:t>
      </w:r>
    </w:p>
    <w:p w14:paraId="06D50F46" w14:textId="77777777" w:rsidR="00F04C96" w:rsidRDefault="00000000">
      <w:pPr>
        <w:spacing w:before="80" w:after="80" w:line="300" w:lineRule="auto"/>
        <w:jc w:val="both"/>
      </w:pPr>
      <w:r>
        <w:t>The table below maps every evaluated deliverable to its source in the 3PLZ-RFC and the corresponding capability matrix row, identifies the disposition, and records the specific finding. Where the finding cites Zscaler's own answer, the language is drawn directly from the Capability Matrix + Answers worksheet.</w:t>
      </w:r>
    </w:p>
    <w:p w14:paraId="36B7B72A" w14:textId="77777777" w:rsidR="00F04C96" w:rsidRDefault="00F04C96">
      <w:pPr>
        <w:spacing w:before="60" w:after="60"/>
      </w:pPr>
    </w:p>
    <w:tbl>
      <w:tblPr>
        <w:tblW w:w="5000" w:type="pc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584"/>
        <w:gridCol w:w="3505"/>
        <w:gridCol w:w="1752"/>
        <w:gridCol w:w="974"/>
        <w:gridCol w:w="2921"/>
      </w:tblGrid>
      <w:tr w:rsidR="00F04C96" w14:paraId="504B7199" w14:textId="77777777">
        <w:tblPrEx>
          <w:tblCellMar>
            <w:top w:w="0" w:type="dxa"/>
            <w:bottom w:w="0" w:type="dxa"/>
          </w:tblCellMar>
        </w:tblPrEx>
        <w:trPr>
          <w:tblHeader/>
        </w:trPr>
        <w:tc>
          <w:tcPr>
            <w:tcW w:w="300" w:type="pct"/>
            <w:shd w:val="solid" w:color="F2F2F2" w:fill="F2F2F2"/>
            <w:tcMar>
              <w:top w:w="100" w:type="dxa"/>
              <w:left w:w="120" w:type="dxa"/>
              <w:bottom w:w="100" w:type="dxa"/>
              <w:right w:w="120" w:type="dxa"/>
            </w:tcMar>
          </w:tcPr>
          <w:p w14:paraId="40FA8BB7" w14:textId="77777777" w:rsidR="00F04C96" w:rsidRDefault="00000000">
            <w:pPr>
              <w:spacing w:before="20" w:after="20"/>
            </w:pPr>
            <w:r>
              <w:rPr>
                <w:b/>
                <w:bCs/>
                <w:caps/>
                <w:sz w:val="18"/>
                <w:szCs w:val="18"/>
              </w:rPr>
              <w:t>ID</w:t>
            </w:r>
          </w:p>
        </w:tc>
        <w:tc>
          <w:tcPr>
            <w:tcW w:w="1800" w:type="pct"/>
            <w:shd w:val="solid" w:color="F2F2F2" w:fill="F2F2F2"/>
            <w:tcMar>
              <w:top w:w="100" w:type="dxa"/>
              <w:left w:w="120" w:type="dxa"/>
              <w:bottom w:w="100" w:type="dxa"/>
              <w:right w:w="120" w:type="dxa"/>
            </w:tcMar>
          </w:tcPr>
          <w:p w14:paraId="66CED3EE" w14:textId="77777777" w:rsidR="00F04C96" w:rsidRDefault="00000000">
            <w:pPr>
              <w:spacing w:before="20" w:after="20"/>
            </w:pPr>
            <w:r>
              <w:rPr>
                <w:b/>
                <w:bCs/>
                <w:caps/>
                <w:sz w:val="18"/>
                <w:szCs w:val="18"/>
              </w:rPr>
              <w:t>RFP-Stated Deliverable</w:t>
            </w:r>
          </w:p>
        </w:tc>
        <w:tc>
          <w:tcPr>
            <w:tcW w:w="900" w:type="pct"/>
            <w:shd w:val="solid" w:color="F2F2F2" w:fill="F2F2F2"/>
            <w:tcMar>
              <w:top w:w="100" w:type="dxa"/>
              <w:left w:w="120" w:type="dxa"/>
              <w:bottom w:w="100" w:type="dxa"/>
              <w:right w:w="120" w:type="dxa"/>
            </w:tcMar>
          </w:tcPr>
          <w:p w14:paraId="27A5333F" w14:textId="77777777" w:rsidR="00F04C96" w:rsidRDefault="00000000">
            <w:pPr>
              <w:spacing w:before="20" w:after="20"/>
            </w:pPr>
            <w:r>
              <w:rPr>
                <w:b/>
                <w:bCs/>
                <w:caps/>
                <w:sz w:val="18"/>
                <w:szCs w:val="18"/>
              </w:rPr>
              <w:t>Source</w:t>
            </w:r>
          </w:p>
        </w:tc>
        <w:tc>
          <w:tcPr>
            <w:tcW w:w="500" w:type="pct"/>
            <w:shd w:val="solid" w:color="F2F2F2" w:fill="F2F2F2"/>
            <w:tcMar>
              <w:top w:w="100" w:type="dxa"/>
              <w:left w:w="120" w:type="dxa"/>
              <w:bottom w:w="100" w:type="dxa"/>
              <w:right w:w="120" w:type="dxa"/>
            </w:tcMar>
          </w:tcPr>
          <w:p w14:paraId="07ABACF1" w14:textId="77777777" w:rsidR="00F04C96" w:rsidRDefault="00000000">
            <w:pPr>
              <w:spacing w:before="20" w:after="20"/>
            </w:pPr>
            <w:r>
              <w:rPr>
                <w:b/>
                <w:bCs/>
                <w:caps/>
                <w:sz w:val="18"/>
                <w:szCs w:val="18"/>
              </w:rPr>
              <w:t>Disp.</w:t>
            </w:r>
          </w:p>
        </w:tc>
        <w:tc>
          <w:tcPr>
            <w:tcW w:w="1500" w:type="pct"/>
            <w:shd w:val="solid" w:color="F2F2F2" w:fill="F2F2F2"/>
            <w:tcMar>
              <w:top w:w="100" w:type="dxa"/>
              <w:left w:w="120" w:type="dxa"/>
              <w:bottom w:w="100" w:type="dxa"/>
              <w:right w:w="120" w:type="dxa"/>
            </w:tcMar>
          </w:tcPr>
          <w:p w14:paraId="60163DBD" w14:textId="77777777" w:rsidR="00F04C96" w:rsidRDefault="00000000">
            <w:pPr>
              <w:spacing w:before="20" w:after="20"/>
            </w:pPr>
            <w:r>
              <w:rPr>
                <w:b/>
                <w:bCs/>
                <w:caps/>
                <w:sz w:val="18"/>
                <w:szCs w:val="18"/>
              </w:rPr>
              <w:t>Finding</w:t>
            </w:r>
          </w:p>
        </w:tc>
      </w:tr>
      <w:tr w:rsidR="00F04C96" w14:paraId="6F8BDBAA" w14:textId="77777777">
        <w:tblPrEx>
          <w:tblCellMar>
            <w:top w:w="0" w:type="dxa"/>
            <w:bottom w:w="0" w:type="dxa"/>
          </w:tblCellMar>
        </w:tblPrEx>
        <w:tc>
          <w:tcPr>
            <w:tcW w:w="300" w:type="pct"/>
            <w:tcMar>
              <w:top w:w="100" w:type="dxa"/>
              <w:left w:w="120" w:type="dxa"/>
              <w:bottom w:w="100" w:type="dxa"/>
              <w:right w:w="120" w:type="dxa"/>
            </w:tcMar>
          </w:tcPr>
          <w:p w14:paraId="7951D0AC" w14:textId="77777777" w:rsidR="00F04C96" w:rsidRDefault="00000000">
            <w:pPr>
              <w:spacing w:before="20" w:after="20" w:line="260" w:lineRule="auto"/>
            </w:pPr>
            <w:r>
              <w:rPr>
                <w:b/>
                <w:bCs/>
                <w:sz w:val="18"/>
                <w:szCs w:val="18"/>
              </w:rPr>
              <w:t>D-01</w:t>
            </w:r>
          </w:p>
        </w:tc>
        <w:tc>
          <w:tcPr>
            <w:tcW w:w="1800" w:type="pct"/>
            <w:tcMar>
              <w:top w:w="100" w:type="dxa"/>
              <w:left w:w="120" w:type="dxa"/>
              <w:bottom w:w="100" w:type="dxa"/>
              <w:right w:w="120" w:type="dxa"/>
            </w:tcMar>
          </w:tcPr>
          <w:p w14:paraId="52BF4B5F" w14:textId="77777777" w:rsidR="00F04C96" w:rsidRDefault="00000000">
            <w:pPr>
              <w:spacing w:before="20" w:after="20" w:line="260" w:lineRule="auto"/>
            </w:pPr>
            <w:r>
              <w:rPr>
                <w:sz w:val="18"/>
                <w:szCs w:val="18"/>
              </w:rPr>
              <w:t xml:space="preserve">Site-to-Site IPsec (IKEv2, AES-GCM, PFS) terminating into a no-access VLZ with portable, </w:t>
            </w:r>
            <w:proofErr w:type="gramStart"/>
            <w:r>
              <w:rPr>
                <w:sz w:val="18"/>
                <w:szCs w:val="18"/>
              </w:rPr>
              <w:t>uniquely-assigned</w:t>
            </w:r>
            <w:proofErr w:type="gramEnd"/>
            <w:r>
              <w:rPr>
                <w:sz w:val="18"/>
                <w:szCs w:val="18"/>
              </w:rPr>
              <w:t xml:space="preserve"> tunnel anchors</w:t>
            </w:r>
          </w:p>
        </w:tc>
        <w:tc>
          <w:tcPr>
            <w:tcW w:w="900" w:type="pct"/>
            <w:tcMar>
              <w:top w:w="100" w:type="dxa"/>
              <w:left w:w="120" w:type="dxa"/>
              <w:bottom w:w="100" w:type="dxa"/>
              <w:right w:w="120" w:type="dxa"/>
            </w:tcMar>
          </w:tcPr>
          <w:p w14:paraId="0FBB6324" w14:textId="77777777" w:rsidR="00F04C96" w:rsidRDefault="00000000">
            <w:pPr>
              <w:spacing w:before="20" w:after="20" w:line="260" w:lineRule="auto"/>
            </w:pPr>
            <w:r>
              <w:rPr>
                <w:color w:val="57606A"/>
                <w:sz w:val="18"/>
                <w:szCs w:val="18"/>
              </w:rPr>
              <w:t>RFC §3a B2B Connectivity; Capability Matrix — Transport (Must, Native)</w:t>
            </w:r>
          </w:p>
        </w:tc>
        <w:tc>
          <w:tcPr>
            <w:tcW w:w="500" w:type="pct"/>
            <w:tcMar>
              <w:top w:w="100" w:type="dxa"/>
              <w:left w:w="120" w:type="dxa"/>
              <w:bottom w:w="100" w:type="dxa"/>
              <w:right w:w="120" w:type="dxa"/>
            </w:tcMar>
          </w:tcPr>
          <w:p w14:paraId="22D71793" w14:textId="77777777" w:rsidR="00F04C96" w:rsidRDefault="00000000">
            <w:pPr>
              <w:jc w:val="center"/>
            </w:pPr>
            <w:r>
              <w:rPr>
                <w:b/>
                <w:bCs/>
                <w:caps/>
                <w:color w:val="1F6F3A"/>
                <w:sz w:val="18"/>
                <w:szCs w:val="18"/>
              </w:rPr>
              <w:t>MET</w:t>
            </w:r>
          </w:p>
        </w:tc>
        <w:tc>
          <w:tcPr>
            <w:tcW w:w="1500" w:type="pct"/>
            <w:tcMar>
              <w:top w:w="100" w:type="dxa"/>
              <w:left w:w="120" w:type="dxa"/>
              <w:bottom w:w="100" w:type="dxa"/>
              <w:right w:w="120" w:type="dxa"/>
            </w:tcMar>
          </w:tcPr>
          <w:p w14:paraId="30B01E6C" w14:textId="77777777" w:rsidR="00F04C96" w:rsidRDefault="00000000">
            <w:pPr>
              <w:spacing w:before="20" w:after="20" w:line="260" w:lineRule="auto"/>
            </w:pPr>
            <w:r>
              <w:rPr>
                <w:sz w:val="18"/>
                <w:szCs w:val="18"/>
              </w:rPr>
              <w:t xml:space="preserve">Zscaler Extranet terminates IKEv2 tunnels with strong negotiated encryption into a partner-dedicated, default-deny construct. This is the one capability area where Zscaler is squarely </w:t>
            </w:r>
            <w:proofErr w:type="gramStart"/>
            <w:r>
              <w:rPr>
                <w:sz w:val="18"/>
                <w:szCs w:val="18"/>
              </w:rPr>
              <w:t>on-target</w:t>
            </w:r>
            <w:proofErr w:type="gramEnd"/>
            <w:r>
              <w:rPr>
                <w:sz w:val="18"/>
                <w:szCs w:val="18"/>
              </w:rPr>
              <w:t xml:space="preserve"> with the stated deliverable.</w:t>
            </w:r>
          </w:p>
        </w:tc>
      </w:tr>
      <w:tr w:rsidR="00F04C96" w14:paraId="1C41206A" w14:textId="77777777">
        <w:tblPrEx>
          <w:tblCellMar>
            <w:top w:w="0" w:type="dxa"/>
            <w:bottom w:w="0" w:type="dxa"/>
          </w:tblCellMar>
        </w:tblPrEx>
        <w:tc>
          <w:tcPr>
            <w:tcW w:w="300" w:type="pct"/>
            <w:tcMar>
              <w:top w:w="100" w:type="dxa"/>
              <w:left w:w="120" w:type="dxa"/>
              <w:bottom w:w="100" w:type="dxa"/>
              <w:right w:w="120" w:type="dxa"/>
            </w:tcMar>
          </w:tcPr>
          <w:p w14:paraId="6376FF11" w14:textId="77777777" w:rsidR="00F04C96" w:rsidRDefault="00000000">
            <w:pPr>
              <w:spacing w:before="20" w:after="20" w:line="260" w:lineRule="auto"/>
            </w:pPr>
            <w:r>
              <w:rPr>
                <w:b/>
                <w:bCs/>
                <w:sz w:val="18"/>
                <w:szCs w:val="18"/>
              </w:rPr>
              <w:t>D-02</w:t>
            </w:r>
          </w:p>
        </w:tc>
        <w:tc>
          <w:tcPr>
            <w:tcW w:w="1800" w:type="pct"/>
            <w:tcMar>
              <w:top w:w="100" w:type="dxa"/>
              <w:left w:w="120" w:type="dxa"/>
              <w:bottom w:w="100" w:type="dxa"/>
              <w:right w:w="120" w:type="dxa"/>
            </w:tcMar>
          </w:tcPr>
          <w:p w14:paraId="6724282F" w14:textId="77777777" w:rsidR="00F04C96" w:rsidRDefault="00000000">
            <w:pPr>
              <w:spacing w:before="20" w:after="20" w:line="260" w:lineRule="auto"/>
            </w:pPr>
            <w:r>
              <w:rPr>
                <w:sz w:val="18"/>
                <w:szCs w:val="18"/>
              </w:rPr>
              <w:t>Portable hub termination (floating /32 loopback, IP Anycast, or FQDN endpoint) for HA/FT, location-agnostic peer termination — partner-side configuration unchanged across failover</w:t>
            </w:r>
          </w:p>
        </w:tc>
        <w:tc>
          <w:tcPr>
            <w:tcW w:w="900" w:type="pct"/>
            <w:tcMar>
              <w:top w:w="100" w:type="dxa"/>
              <w:left w:w="120" w:type="dxa"/>
              <w:bottom w:w="100" w:type="dxa"/>
              <w:right w:w="120" w:type="dxa"/>
            </w:tcMar>
          </w:tcPr>
          <w:p w14:paraId="71267A53" w14:textId="77777777" w:rsidR="00F04C96" w:rsidRDefault="00000000">
            <w:pPr>
              <w:spacing w:before="20" w:after="20" w:line="260" w:lineRule="auto"/>
            </w:pPr>
            <w:r>
              <w:rPr>
                <w:color w:val="57606A"/>
                <w:sz w:val="18"/>
                <w:szCs w:val="18"/>
              </w:rPr>
              <w:t>RFC §3a; Capability Matrix — Transport HA (Must, Native)</w:t>
            </w:r>
          </w:p>
        </w:tc>
        <w:tc>
          <w:tcPr>
            <w:tcW w:w="500" w:type="pct"/>
            <w:tcMar>
              <w:top w:w="100" w:type="dxa"/>
              <w:left w:w="120" w:type="dxa"/>
              <w:bottom w:w="100" w:type="dxa"/>
              <w:right w:w="120" w:type="dxa"/>
            </w:tcMar>
          </w:tcPr>
          <w:p w14:paraId="6C2FA787" w14:textId="77777777" w:rsidR="00F04C96" w:rsidRDefault="00000000">
            <w:pPr>
              <w:jc w:val="center"/>
            </w:pPr>
            <w:r>
              <w:rPr>
                <w:b/>
                <w:bCs/>
                <w:caps/>
                <w:color w:val="B45309"/>
                <w:sz w:val="18"/>
                <w:szCs w:val="18"/>
              </w:rPr>
              <w:t>PARTIAL</w:t>
            </w:r>
          </w:p>
        </w:tc>
        <w:tc>
          <w:tcPr>
            <w:tcW w:w="1500" w:type="pct"/>
            <w:tcMar>
              <w:top w:w="100" w:type="dxa"/>
              <w:left w:w="120" w:type="dxa"/>
              <w:bottom w:w="100" w:type="dxa"/>
              <w:right w:w="120" w:type="dxa"/>
            </w:tcMar>
          </w:tcPr>
          <w:p w14:paraId="7B3ADD1A" w14:textId="77777777" w:rsidR="00F04C96" w:rsidRDefault="00000000">
            <w:pPr>
              <w:spacing w:before="20" w:after="20" w:line="260" w:lineRule="auto"/>
            </w:pPr>
            <w:r>
              <w:rPr>
                <w:sz w:val="18"/>
                <w:szCs w:val="18"/>
              </w:rPr>
              <w:t xml:space="preserve">Zscaler explicitly substitutes a different model — redundant tunnels to multiple Service Edges with FQDN-based peering — instead of the requested anycast /32 or floating loopback. The vendor states the "practical outcome is the same." It is not: the RFP deliverable is </w:t>
            </w:r>
            <w:proofErr w:type="gramStart"/>
            <w:r>
              <w:rPr>
                <w:sz w:val="18"/>
                <w:szCs w:val="18"/>
              </w:rPr>
              <w:t>anchor</w:t>
            </w:r>
            <w:proofErr w:type="gramEnd"/>
            <w:r>
              <w:rPr>
                <w:sz w:val="18"/>
                <w:szCs w:val="18"/>
              </w:rPr>
              <w:t xml:space="preserve"> portability so that legacy partner configurations migrate without partner-side change. Multi-endpoint HA requires the partner to configure multiple peers, which is precisely the migration cost the deliverable was written to eliminate.</w:t>
            </w:r>
          </w:p>
        </w:tc>
      </w:tr>
      <w:tr w:rsidR="00F04C96" w14:paraId="57551C04" w14:textId="77777777">
        <w:tblPrEx>
          <w:tblCellMar>
            <w:top w:w="0" w:type="dxa"/>
            <w:bottom w:w="0" w:type="dxa"/>
          </w:tblCellMar>
        </w:tblPrEx>
        <w:tc>
          <w:tcPr>
            <w:tcW w:w="300" w:type="pct"/>
            <w:tcMar>
              <w:top w:w="100" w:type="dxa"/>
              <w:left w:w="120" w:type="dxa"/>
              <w:bottom w:w="100" w:type="dxa"/>
              <w:right w:w="120" w:type="dxa"/>
            </w:tcMar>
          </w:tcPr>
          <w:p w14:paraId="098540A1" w14:textId="77777777" w:rsidR="00F04C96" w:rsidRDefault="00000000">
            <w:pPr>
              <w:spacing w:before="20" w:after="20" w:line="260" w:lineRule="auto"/>
            </w:pPr>
            <w:r>
              <w:rPr>
                <w:b/>
                <w:bCs/>
                <w:sz w:val="18"/>
                <w:szCs w:val="18"/>
              </w:rPr>
              <w:t>D-03</w:t>
            </w:r>
          </w:p>
        </w:tc>
        <w:tc>
          <w:tcPr>
            <w:tcW w:w="1800" w:type="pct"/>
            <w:tcMar>
              <w:top w:w="100" w:type="dxa"/>
              <w:left w:w="120" w:type="dxa"/>
              <w:bottom w:w="100" w:type="dxa"/>
              <w:right w:w="120" w:type="dxa"/>
            </w:tcMar>
          </w:tcPr>
          <w:p w14:paraId="580D03DA" w14:textId="77777777" w:rsidR="00F04C96" w:rsidRDefault="00000000">
            <w:pPr>
              <w:spacing w:before="20" w:after="20" w:line="260" w:lineRule="auto"/>
            </w:pPr>
            <w:r>
              <w:rPr>
                <w:sz w:val="18"/>
                <w:szCs w:val="18"/>
              </w:rPr>
              <w:t xml:space="preserve">Application-pattern proxies for SFTP/SSH, VDI, Web, API, and SaaS with </w:t>
            </w:r>
            <w:proofErr w:type="spellStart"/>
            <w:r>
              <w:rPr>
                <w:sz w:val="18"/>
                <w:szCs w:val="18"/>
              </w:rPr>
              <w:t>mTLS</w:t>
            </w:r>
            <w:proofErr w:type="spellEnd"/>
            <w:r>
              <w:rPr>
                <w:sz w:val="18"/>
                <w:szCs w:val="18"/>
              </w:rPr>
              <w:t>, OAuth/JWT, header/path controls, rate limiting, and protocol verification — delivered by the platform itself</w:t>
            </w:r>
          </w:p>
        </w:tc>
        <w:tc>
          <w:tcPr>
            <w:tcW w:w="900" w:type="pct"/>
            <w:tcMar>
              <w:top w:w="100" w:type="dxa"/>
              <w:left w:w="120" w:type="dxa"/>
              <w:bottom w:w="100" w:type="dxa"/>
              <w:right w:w="120" w:type="dxa"/>
            </w:tcMar>
          </w:tcPr>
          <w:p w14:paraId="0659B836" w14:textId="77777777" w:rsidR="00F04C96" w:rsidRDefault="00000000">
            <w:pPr>
              <w:spacing w:before="20" w:after="20" w:line="260" w:lineRule="auto"/>
            </w:pPr>
            <w:r>
              <w:rPr>
                <w:color w:val="57606A"/>
                <w:sz w:val="18"/>
                <w:szCs w:val="18"/>
              </w:rPr>
              <w:t>RFC §2a Use Cases; §3 Architecture; §4 Core Components; Capability Matrix — Service Patterns (Must, Native/Adjunct)</w:t>
            </w:r>
          </w:p>
        </w:tc>
        <w:tc>
          <w:tcPr>
            <w:tcW w:w="500" w:type="pct"/>
            <w:tcMar>
              <w:top w:w="100" w:type="dxa"/>
              <w:left w:w="120" w:type="dxa"/>
              <w:bottom w:w="100" w:type="dxa"/>
              <w:right w:w="120" w:type="dxa"/>
            </w:tcMar>
          </w:tcPr>
          <w:p w14:paraId="3AFCA651" w14:textId="77777777" w:rsidR="00F04C96" w:rsidRDefault="00000000">
            <w:pPr>
              <w:jc w:val="center"/>
            </w:pPr>
            <w:r>
              <w:rPr>
                <w:b/>
                <w:bCs/>
                <w:caps/>
                <w:color w:val="8C1D40"/>
                <w:sz w:val="18"/>
                <w:szCs w:val="18"/>
              </w:rPr>
              <w:t>MISS</w:t>
            </w:r>
          </w:p>
        </w:tc>
        <w:tc>
          <w:tcPr>
            <w:tcW w:w="1500" w:type="pct"/>
            <w:tcMar>
              <w:top w:w="100" w:type="dxa"/>
              <w:left w:w="120" w:type="dxa"/>
              <w:bottom w:w="100" w:type="dxa"/>
              <w:right w:w="120" w:type="dxa"/>
            </w:tcMar>
          </w:tcPr>
          <w:p w14:paraId="09853BD5" w14:textId="77777777" w:rsidR="00F04C96" w:rsidRDefault="00000000">
            <w:pPr>
              <w:spacing w:before="20" w:after="20" w:line="260" w:lineRule="auto"/>
            </w:pPr>
            <w:r>
              <w:rPr>
                <w:sz w:val="18"/>
                <w:szCs w:val="18"/>
              </w:rPr>
              <w:t>Zscaler's response explicitly states: "If you need true application proxying (API gateway and WAF functions, schema enforcement, rate limiting, or SSH/SFTP brokering), place an API gateway/reverse proxy and/or SSH/SFTP gateway in front of the apps." The RFP defines the application proxy layer as a core component of the 3PLZ platform itself — not something CVS or a systems integrator assembles behind it. Zscaler's answer reframes 3PLZ as transport-plus-segmentation and pushes the entire Layer-7 service-pattern catalog onto adjunct tooling and Presidio integration work. This is the central, non-recoverable miss.</w:t>
            </w:r>
          </w:p>
        </w:tc>
      </w:tr>
      <w:tr w:rsidR="00F04C96" w14:paraId="6A14D03A" w14:textId="77777777">
        <w:tblPrEx>
          <w:tblCellMar>
            <w:top w:w="0" w:type="dxa"/>
            <w:bottom w:w="0" w:type="dxa"/>
          </w:tblCellMar>
        </w:tblPrEx>
        <w:tc>
          <w:tcPr>
            <w:tcW w:w="300" w:type="pct"/>
            <w:tcMar>
              <w:top w:w="100" w:type="dxa"/>
              <w:left w:w="120" w:type="dxa"/>
              <w:bottom w:w="100" w:type="dxa"/>
              <w:right w:w="120" w:type="dxa"/>
            </w:tcMar>
          </w:tcPr>
          <w:p w14:paraId="7720A3C9" w14:textId="77777777" w:rsidR="00F04C96" w:rsidRDefault="00000000">
            <w:pPr>
              <w:spacing w:before="20" w:after="20" w:line="260" w:lineRule="auto"/>
            </w:pPr>
            <w:r>
              <w:rPr>
                <w:b/>
                <w:bCs/>
                <w:sz w:val="18"/>
                <w:szCs w:val="18"/>
              </w:rPr>
              <w:t>D-04</w:t>
            </w:r>
          </w:p>
        </w:tc>
        <w:tc>
          <w:tcPr>
            <w:tcW w:w="1800" w:type="pct"/>
            <w:tcMar>
              <w:top w:w="100" w:type="dxa"/>
              <w:left w:w="120" w:type="dxa"/>
              <w:bottom w:w="100" w:type="dxa"/>
              <w:right w:w="120" w:type="dxa"/>
            </w:tcMar>
          </w:tcPr>
          <w:p w14:paraId="3A384A29" w14:textId="77777777" w:rsidR="00F04C96" w:rsidRDefault="00000000">
            <w:pPr>
              <w:spacing w:before="20" w:after="20" w:line="260" w:lineRule="auto"/>
            </w:pPr>
            <w:r>
              <w:rPr>
                <w:sz w:val="18"/>
                <w:szCs w:val="18"/>
              </w:rPr>
              <w:t>Per-tenant SSH and SFTP managed access: platform-terminated sessions, credential vaulting and injection, full session inspection and audit, FQDN-defined targets</w:t>
            </w:r>
          </w:p>
        </w:tc>
        <w:tc>
          <w:tcPr>
            <w:tcW w:w="900" w:type="pct"/>
            <w:tcMar>
              <w:top w:w="100" w:type="dxa"/>
              <w:left w:w="120" w:type="dxa"/>
              <w:bottom w:w="100" w:type="dxa"/>
              <w:right w:w="120" w:type="dxa"/>
            </w:tcMar>
          </w:tcPr>
          <w:p w14:paraId="1C81CF5A" w14:textId="77777777" w:rsidR="00F04C96" w:rsidRDefault="00000000">
            <w:pPr>
              <w:spacing w:before="20" w:after="20" w:line="260" w:lineRule="auto"/>
            </w:pPr>
            <w:r>
              <w:rPr>
                <w:color w:val="57606A"/>
                <w:sz w:val="18"/>
                <w:szCs w:val="18"/>
              </w:rPr>
              <w:t xml:space="preserve">RFC §2a (NIST 800-171 3.13, FIPS); Third-Party Service </w:t>
            </w:r>
            <w:r>
              <w:rPr>
                <w:color w:val="57606A"/>
                <w:sz w:val="18"/>
                <w:szCs w:val="18"/>
              </w:rPr>
              <w:lastRenderedPageBreak/>
              <w:t>Catalog — SSH/SFTP, Sterling</w:t>
            </w:r>
          </w:p>
        </w:tc>
        <w:tc>
          <w:tcPr>
            <w:tcW w:w="500" w:type="pct"/>
            <w:tcMar>
              <w:top w:w="100" w:type="dxa"/>
              <w:left w:w="120" w:type="dxa"/>
              <w:bottom w:w="100" w:type="dxa"/>
              <w:right w:w="120" w:type="dxa"/>
            </w:tcMar>
          </w:tcPr>
          <w:p w14:paraId="3AFC7BF9" w14:textId="77777777" w:rsidR="00F04C96" w:rsidRDefault="00000000">
            <w:pPr>
              <w:jc w:val="center"/>
            </w:pPr>
            <w:r>
              <w:rPr>
                <w:b/>
                <w:bCs/>
                <w:caps/>
                <w:color w:val="8C1D40"/>
                <w:sz w:val="18"/>
                <w:szCs w:val="18"/>
              </w:rPr>
              <w:lastRenderedPageBreak/>
              <w:t>MISS</w:t>
            </w:r>
          </w:p>
        </w:tc>
        <w:tc>
          <w:tcPr>
            <w:tcW w:w="1500" w:type="pct"/>
            <w:tcMar>
              <w:top w:w="100" w:type="dxa"/>
              <w:left w:w="120" w:type="dxa"/>
              <w:bottom w:w="100" w:type="dxa"/>
              <w:right w:w="120" w:type="dxa"/>
            </w:tcMar>
          </w:tcPr>
          <w:p w14:paraId="032CD5DA" w14:textId="77777777" w:rsidR="00F04C96" w:rsidRDefault="00000000">
            <w:pPr>
              <w:spacing w:before="20" w:after="20" w:line="260" w:lineRule="auto"/>
            </w:pPr>
            <w:r>
              <w:rPr>
                <w:sz w:val="18"/>
                <w:szCs w:val="18"/>
              </w:rPr>
              <w:t>Zscaler provides network reachability and segmentation only. There is no native termination, vaulting, injection, or session-</w:t>
            </w:r>
            <w:r>
              <w:rPr>
                <w:sz w:val="18"/>
                <w:szCs w:val="18"/>
              </w:rPr>
              <w:lastRenderedPageBreak/>
              <w:t xml:space="preserve">content inspection for SSH or SFTP. The Capability Matrix answer directs CVS to "place a SSH bastion, API gateway, </w:t>
            </w:r>
            <w:proofErr w:type="spellStart"/>
            <w:r>
              <w:rPr>
                <w:sz w:val="18"/>
                <w:szCs w:val="18"/>
              </w:rPr>
              <w:t>mTLS</w:t>
            </w:r>
            <w:proofErr w:type="spellEnd"/>
            <w:r>
              <w:rPr>
                <w:sz w:val="18"/>
                <w:szCs w:val="18"/>
              </w:rPr>
              <w:t xml:space="preserve"> reverse proxy/ingress" inside the VLZ. That places the load-bearing audit and credential controls outside the 3PLZ platform — directly contrary to the RFC's mandated architecture.</w:t>
            </w:r>
          </w:p>
        </w:tc>
      </w:tr>
      <w:tr w:rsidR="00F04C96" w14:paraId="3F2FC4D2" w14:textId="77777777">
        <w:tblPrEx>
          <w:tblCellMar>
            <w:top w:w="0" w:type="dxa"/>
            <w:bottom w:w="0" w:type="dxa"/>
          </w:tblCellMar>
        </w:tblPrEx>
        <w:tc>
          <w:tcPr>
            <w:tcW w:w="300" w:type="pct"/>
            <w:tcMar>
              <w:top w:w="100" w:type="dxa"/>
              <w:left w:w="120" w:type="dxa"/>
              <w:bottom w:w="100" w:type="dxa"/>
              <w:right w:w="120" w:type="dxa"/>
            </w:tcMar>
          </w:tcPr>
          <w:p w14:paraId="3B853E94" w14:textId="77777777" w:rsidR="00F04C96" w:rsidRDefault="00000000">
            <w:pPr>
              <w:spacing w:before="20" w:after="20" w:line="260" w:lineRule="auto"/>
            </w:pPr>
            <w:r>
              <w:rPr>
                <w:b/>
                <w:bCs/>
                <w:sz w:val="18"/>
                <w:szCs w:val="18"/>
              </w:rPr>
              <w:lastRenderedPageBreak/>
              <w:t>D-05</w:t>
            </w:r>
          </w:p>
        </w:tc>
        <w:tc>
          <w:tcPr>
            <w:tcW w:w="1800" w:type="pct"/>
            <w:tcMar>
              <w:top w:w="100" w:type="dxa"/>
              <w:left w:w="120" w:type="dxa"/>
              <w:bottom w:w="100" w:type="dxa"/>
              <w:right w:w="120" w:type="dxa"/>
            </w:tcMar>
          </w:tcPr>
          <w:p w14:paraId="01BE87C4" w14:textId="77777777" w:rsidR="00F04C96" w:rsidRDefault="00000000">
            <w:pPr>
              <w:spacing w:before="20" w:after="20" w:line="260" w:lineRule="auto"/>
            </w:pPr>
            <w:r>
              <w:rPr>
                <w:sz w:val="18"/>
                <w:szCs w:val="18"/>
              </w:rPr>
              <w:t>Per-tenant Certificate-Based Identity (</w:t>
            </w:r>
            <w:proofErr w:type="spellStart"/>
            <w:r>
              <w:rPr>
                <w:sz w:val="18"/>
                <w:szCs w:val="18"/>
              </w:rPr>
              <w:t>mTLS</w:t>
            </w:r>
            <w:proofErr w:type="spellEnd"/>
            <w:r>
              <w:rPr>
                <w:sz w:val="18"/>
                <w:szCs w:val="18"/>
              </w:rPr>
              <w:t xml:space="preserve"> / PKI): per-tenant CAs, </w:t>
            </w:r>
            <w:proofErr w:type="spellStart"/>
            <w:r>
              <w:rPr>
                <w:sz w:val="18"/>
                <w:szCs w:val="18"/>
              </w:rPr>
              <w:t>mTLS</w:t>
            </w:r>
            <w:proofErr w:type="spellEnd"/>
            <w:r>
              <w:rPr>
                <w:sz w:val="18"/>
                <w:szCs w:val="18"/>
              </w:rPr>
              <w:t xml:space="preserve"> termination at the platform, ACME automation, rotation/revocation owned by the platform</w:t>
            </w:r>
          </w:p>
        </w:tc>
        <w:tc>
          <w:tcPr>
            <w:tcW w:w="900" w:type="pct"/>
            <w:tcMar>
              <w:top w:w="100" w:type="dxa"/>
              <w:left w:w="120" w:type="dxa"/>
              <w:bottom w:w="100" w:type="dxa"/>
              <w:right w:w="120" w:type="dxa"/>
            </w:tcMar>
          </w:tcPr>
          <w:p w14:paraId="056B0F12" w14:textId="77777777" w:rsidR="00F04C96" w:rsidRDefault="00000000">
            <w:pPr>
              <w:spacing w:before="20" w:after="20" w:line="260" w:lineRule="auto"/>
            </w:pPr>
            <w:r>
              <w:rPr>
                <w:color w:val="57606A"/>
                <w:sz w:val="18"/>
                <w:szCs w:val="18"/>
              </w:rPr>
              <w:t>RFC §3 Architecture; §4 Core Components — PKI/</w:t>
            </w:r>
            <w:proofErr w:type="spellStart"/>
            <w:r>
              <w:rPr>
                <w:color w:val="57606A"/>
                <w:sz w:val="18"/>
                <w:szCs w:val="18"/>
              </w:rPr>
              <w:t>mTLS</w:t>
            </w:r>
            <w:proofErr w:type="spellEnd"/>
            <w:r>
              <w:rPr>
                <w:color w:val="57606A"/>
                <w:sz w:val="18"/>
                <w:szCs w:val="18"/>
              </w:rPr>
              <w:t xml:space="preserve"> Identity; §7 Integration Requirements (</w:t>
            </w:r>
            <w:proofErr w:type="spellStart"/>
            <w:r>
              <w:rPr>
                <w:color w:val="57606A"/>
                <w:sz w:val="18"/>
                <w:szCs w:val="18"/>
              </w:rPr>
              <w:t>mTLS</w:t>
            </w:r>
            <w:proofErr w:type="spellEnd"/>
            <w:r>
              <w:rPr>
                <w:color w:val="57606A"/>
                <w:sz w:val="18"/>
                <w:szCs w:val="18"/>
              </w:rPr>
              <w:t>, ACME)</w:t>
            </w:r>
          </w:p>
        </w:tc>
        <w:tc>
          <w:tcPr>
            <w:tcW w:w="500" w:type="pct"/>
            <w:tcMar>
              <w:top w:w="100" w:type="dxa"/>
              <w:left w:w="120" w:type="dxa"/>
              <w:bottom w:w="100" w:type="dxa"/>
              <w:right w:w="120" w:type="dxa"/>
            </w:tcMar>
          </w:tcPr>
          <w:p w14:paraId="772DE71A" w14:textId="77777777" w:rsidR="00F04C96" w:rsidRDefault="00000000">
            <w:pPr>
              <w:jc w:val="center"/>
            </w:pPr>
            <w:r>
              <w:rPr>
                <w:b/>
                <w:bCs/>
                <w:caps/>
                <w:color w:val="8C1D40"/>
                <w:sz w:val="18"/>
                <w:szCs w:val="18"/>
              </w:rPr>
              <w:t>MISS</w:t>
            </w:r>
          </w:p>
        </w:tc>
        <w:tc>
          <w:tcPr>
            <w:tcW w:w="1500" w:type="pct"/>
            <w:tcMar>
              <w:top w:w="100" w:type="dxa"/>
              <w:left w:w="120" w:type="dxa"/>
              <w:bottom w:w="100" w:type="dxa"/>
              <w:right w:w="120" w:type="dxa"/>
            </w:tcMar>
          </w:tcPr>
          <w:p w14:paraId="3707BECE" w14:textId="77777777" w:rsidR="00F04C96" w:rsidRDefault="00000000">
            <w:pPr>
              <w:spacing w:before="20" w:after="20" w:line="260" w:lineRule="auto"/>
            </w:pPr>
            <w:r>
              <w:rPr>
                <w:sz w:val="18"/>
                <w:szCs w:val="18"/>
              </w:rPr>
              <w:t xml:space="preserve">Zscaler's response confirms PKI integration occurs at the proxies CVS would deploy behind Extranet — "those proxies are where you integrate with your enterprise PKI and vault tooling." Zscaler authenticates IPsec tunnels and ZPA connectors; it does not natively own per-tenant CA hierarchy, </w:t>
            </w:r>
            <w:proofErr w:type="spellStart"/>
            <w:r>
              <w:rPr>
                <w:sz w:val="18"/>
                <w:szCs w:val="18"/>
              </w:rPr>
              <w:t>mTLS</w:t>
            </w:r>
            <w:proofErr w:type="spellEnd"/>
            <w:r>
              <w:rPr>
                <w:sz w:val="18"/>
                <w:szCs w:val="18"/>
              </w:rPr>
              <w:t xml:space="preserve"> termination, or certificate lifecycle. The deliverable is platform-resident PKI ownership. Zscaler offers PKI adjacency.</w:t>
            </w:r>
          </w:p>
        </w:tc>
      </w:tr>
      <w:tr w:rsidR="00F04C96" w14:paraId="7AEFC3CD" w14:textId="77777777">
        <w:tblPrEx>
          <w:tblCellMar>
            <w:top w:w="0" w:type="dxa"/>
            <w:bottom w:w="0" w:type="dxa"/>
          </w:tblCellMar>
        </w:tblPrEx>
        <w:tc>
          <w:tcPr>
            <w:tcW w:w="300" w:type="pct"/>
            <w:tcMar>
              <w:top w:w="100" w:type="dxa"/>
              <w:left w:w="120" w:type="dxa"/>
              <w:bottom w:w="100" w:type="dxa"/>
              <w:right w:w="120" w:type="dxa"/>
            </w:tcMar>
          </w:tcPr>
          <w:p w14:paraId="269E79EB" w14:textId="77777777" w:rsidR="00F04C96" w:rsidRDefault="00000000">
            <w:pPr>
              <w:spacing w:before="20" w:after="20" w:line="260" w:lineRule="auto"/>
            </w:pPr>
            <w:r>
              <w:rPr>
                <w:b/>
                <w:bCs/>
                <w:sz w:val="18"/>
                <w:szCs w:val="18"/>
              </w:rPr>
              <w:t>D-06</w:t>
            </w:r>
          </w:p>
        </w:tc>
        <w:tc>
          <w:tcPr>
            <w:tcW w:w="1800" w:type="pct"/>
            <w:tcMar>
              <w:top w:w="100" w:type="dxa"/>
              <w:left w:w="120" w:type="dxa"/>
              <w:bottom w:w="100" w:type="dxa"/>
              <w:right w:w="120" w:type="dxa"/>
            </w:tcMar>
          </w:tcPr>
          <w:p w14:paraId="28B7E6BE" w14:textId="77777777" w:rsidR="00F04C96" w:rsidRDefault="00000000">
            <w:pPr>
              <w:spacing w:before="20" w:after="20" w:line="260" w:lineRule="auto"/>
            </w:pPr>
            <w:r>
              <w:rPr>
                <w:sz w:val="18"/>
                <w:szCs w:val="18"/>
              </w:rPr>
              <w:t>Per-tenant DNS execution context with DNS rewriting (FQDN → VLZ SNAT/proxy IP), split-horizon, conditional forwarding — DNS as a load-bearing platform control plane</w:t>
            </w:r>
          </w:p>
        </w:tc>
        <w:tc>
          <w:tcPr>
            <w:tcW w:w="900" w:type="pct"/>
            <w:tcMar>
              <w:top w:w="100" w:type="dxa"/>
              <w:left w:w="120" w:type="dxa"/>
              <w:bottom w:w="100" w:type="dxa"/>
              <w:right w:w="120" w:type="dxa"/>
            </w:tcMar>
          </w:tcPr>
          <w:p w14:paraId="321BCD9B" w14:textId="77777777" w:rsidR="00F04C96" w:rsidRDefault="00000000">
            <w:pPr>
              <w:spacing w:before="20" w:after="20" w:line="260" w:lineRule="auto"/>
            </w:pPr>
            <w:r>
              <w:rPr>
                <w:color w:val="57606A"/>
                <w:sz w:val="18"/>
                <w:szCs w:val="18"/>
              </w:rPr>
              <w:t>RFC §3 Architecture (DNS as control plane); Operational Expectations — DNS Forwarder; Capability Matrix — DNS (Should, Adjunct)</w:t>
            </w:r>
          </w:p>
        </w:tc>
        <w:tc>
          <w:tcPr>
            <w:tcW w:w="500" w:type="pct"/>
            <w:tcMar>
              <w:top w:w="100" w:type="dxa"/>
              <w:left w:w="120" w:type="dxa"/>
              <w:bottom w:w="100" w:type="dxa"/>
              <w:right w:w="120" w:type="dxa"/>
            </w:tcMar>
          </w:tcPr>
          <w:p w14:paraId="6FAB9131" w14:textId="77777777" w:rsidR="00F04C96" w:rsidRDefault="00000000">
            <w:pPr>
              <w:jc w:val="center"/>
            </w:pPr>
            <w:r>
              <w:rPr>
                <w:b/>
                <w:bCs/>
                <w:caps/>
                <w:color w:val="8C1D40"/>
                <w:sz w:val="18"/>
                <w:szCs w:val="18"/>
              </w:rPr>
              <w:t>MISS</w:t>
            </w:r>
          </w:p>
        </w:tc>
        <w:tc>
          <w:tcPr>
            <w:tcW w:w="1500" w:type="pct"/>
            <w:tcMar>
              <w:top w:w="100" w:type="dxa"/>
              <w:left w:w="120" w:type="dxa"/>
              <w:bottom w:w="100" w:type="dxa"/>
              <w:right w:w="120" w:type="dxa"/>
            </w:tcMar>
          </w:tcPr>
          <w:p w14:paraId="23EDF57F" w14:textId="77777777" w:rsidR="00F04C96" w:rsidRDefault="00000000">
            <w:pPr>
              <w:spacing w:before="20" w:after="20" w:line="260" w:lineRule="auto"/>
            </w:pPr>
            <w:r>
              <w:rPr>
                <w:sz w:val="18"/>
                <w:szCs w:val="18"/>
              </w:rPr>
              <w:t xml:space="preserve">The Capability Matrix marks DNS rewriting as "Adjunct" in Zscaler's own response. The vendor describes a model where partners send DNS over the tunnel to "a tenant-scoped resolver" running </w:t>
            </w:r>
            <w:proofErr w:type="spellStart"/>
            <w:r>
              <w:rPr>
                <w:sz w:val="18"/>
                <w:szCs w:val="18"/>
              </w:rPr>
              <w:t>CoreDNS</w:t>
            </w:r>
            <w:proofErr w:type="spellEnd"/>
            <w:r>
              <w:rPr>
                <w:sz w:val="18"/>
                <w:szCs w:val="18"/>
              </w:rPr>
              <w:t>, BIND, or Unbound — i.e., DNS service is delivered by software CVS deploys, not by Zscaler. The RFC treats per-tenant DNS as a primary platform function, not a downstream component. This is a structural gap.</w:t>
            </w:r>
          </w:p>
        </w:tc>
      </w:tr>
      <w:tr w:rsidR="00F04C96" w14:paraId="21A394ED" w14:textId="77777777">
        <w:tblPrEx>
          <w:tblCellMar>
            <w:top w:w="0" w:type="dxa"/>
            <w:bottom w:w="0" w:type="dxa"/>
          </w:tblCellMar>
        </w:tblPrEx>
        <w:tc>
          <w:tcPr>
            <w:tcW w:w="300" w:type="pct"/>
            <w:tcMar>
              <w:top w:w="100" w:type="dxa"/>
              <w:left w:w="120" w:type="dxa"/>
              <w:bottom w:w="100" w:type="dxa"/>
              <w:right w:w="120" w:type="dxa"/>
            </w:tcMar>
          </w:tcPr>
          <w:p w14:paraId="5B37984A" w14:textId="77777777" w:rsidR="00F04C96" w:rsidRDefault="00000000">
            <w:pPr>
              <w:spacing w:before="20" w:after="20" w:line="260" w:lineRule="auto"/>
            </w:pPr>
            <w:r>
              <w:rPr>
                <w:b/>
                <w:bCs/>
                <w:sz w:val="18"/>
                <w:szCs w:val="18"/>
              </w:rPr>
              <w:t>D-07</w:t>
            </w:r>
          </w:p>
        </w:tc>
        <w:tc>
          <w:tcPr>
            <w:tcW w:w="1800" w:type="pct"/>
            <w:tcMar>
              <w:top w:w="100" w:type="dxa"/>
              <w:left w:w="120" w:type="dxa"/>
              <w:bottom w:w="100" w:type="dxa"/>
              <w:right w:w="120" w:type="dxa"/>
            </w:tcMar>
          </w:tcPr>
          <w:p w14:paraId="7EDA42CB" w14:textId="77777777" w:rsidR="00F04C96" w:rsidRDefault="00000000">
            <w:pPr>
              <w:spacing w:before="20" w:after="20" w:line="260" w:lineRule="auto"/>
            </w:pPr>
            <w:r>
              <w:rPr>
                <w:sz w:val="18"/>
                <w:szCs w:val="18"/>
              </w:rPr>
              <w:t>Per-tenant routing with RFC1918 isolation via Private-ASN eBGP per tenant</w:t>
            </w:r>
          </w:p>
        </w:tc>
        <w:tc>
          <w:tcPr>
            <w:tcW w:w="900" w:type="pct"/>
            <w:tcMar>
              <w:top w:w="100" w:type="dxa"/>
              <w:left w:w="120" w:type="dxa"/>
              <w:bottom w:w="100" w:type="dxa"/>
              <w:right w:w="120" w:type="dxa"/>
            </w:tcMar>
          </w:tcPr>
          <w:p w14:paraId="164165E0" w14:textId="77777777" w:rsidR="00F04C96" w:rsidRDefault="00000000">
            <w:pPr>
              <w:spacing w:before="20" w:after="20" w:line="260" w:lineRule="auto"/>
            </w:pPr>
            <w:r>
              <w:rPr>
                <w:color w:val="57606A"/>
                <w:sz w:val="18"/>
                <w:szCs w:val="18"/>
              </w:rPr>
              <w:t>RFC §3a; Capability Matrix — Routing (Must, Native)</w:t>
            </w:r>
          </w:p>
        </w:tc>
        <w:tc>
          <w:tcPr>
            <w:tcW w:w="500" w:type="pct"/>
            <w:tcMar>
              <w:top w:w="100" w:type="dxa"/>
              <w:left w:w="120" w:type="dxa"/>
              <w:bottom w:w="100" w:type="dxa"/>
              <w:right w:w="120" w:type="dxa"/>
            </w:tcMar>
          </w:tcPr>
          <w:p w14:paraId="65EE0D3A" w14:textId="77777777" w:rsidR="00F04C96" w:rsidRDefault="00000000">
            <w:pPr>
              <w:jc w:val="center"/>
            </w:pPr>
            <w:r>
              <w:rPr>
                <w:b/>
                <w:bCs/>
                <w:caps/>
                <w:color w:val="B45309"/>
                <w:sz w:val="18"/>
                <w:szCs w:val="18"/>
              </w:rPr>
              <w:t>PARTIAL</w:t>
            </w:r>
          </w:p>
        </w:tc>
        <w:tc>
          <w:tcPr>
            <w:tcW w:w="1500" w:type="pct"/>
            <w:tcMar>
              <w:top w:w="100" w:type="dxa"/>
              <w:left w:w="120" w:type="dxa"/>
              <w:bottom w:w="100" w:type="dxa"/>
              <w:right w:w="120" w:type="dxa"/>
            </w:tcMar>
          </w:tcPr>
          <w:p w14:paraId="787E5584" w14:textId="77777777" w:rsidR="00F04C96" w:rsidRDefault="00000000">
            <w:pPr>
              <w:spacing w:before="20" w:after="20" w:line="260" w:lineRule="auto"/>
            </w:pPr>
            <w:r>
              <w:rPr>
                <w:sz w:val="18"/>
                <w:szCs w:val="18"/>
              </w:rPr>
              <w:t>Zscaler proposes static prefix controls and traffic selectors instead of per-tenant eBGP and private ASNs at the termination point: "rather than requiring per-tenant eBGP and private ASNs at the Zscaler termination, you can achieve predictable governance with centrally managed static prefix controls." This shifts dynamic routing onto the CVS edge and partner edge, which contradicts the deliverable. Operationally workable, but not what was asked.</w:t>
            </w:r>
          </w:p>
        </w:tc>
      </w:tr>
      <w:tr w:rsidR="00F04C96" w14:paraId="288AA66E" w14:textId="77777777">
        <w:tblPrEx>
          <w:tblCellMar>
            <w:top w:w="0" w:type="dxa"/>
            <w:bottom w:w="0" w:type="dxa"/>
          </w:tblCellMar>
        </w:tblPrEx>
        <w:tc>
          <w:tcPr>
            <w:tcW w:w="300" w:type="pct"/>
            <w:tcMar>
              <w:top w:w="100" w:type="dxa"/>
              <w:left w:w="120" w:type="dxa"/>
              <w:bottom w:w="100" w:type="dxa"/>
              <w:right w:w="120" w:type="dxa"/>
            </w:tcMar>
          </w:tcPr>
          <w:p w14:paraId="1B951833" w14:textId="77777777" w:rsidR="00F04C96" w:rsidRDefault="00000000">
            <w:pPr>
              <w:spacing w:before="20" w:after="20" w:line="260" w:lineRule="auto"/>
            </w:pPr>
            <w:r>
              <w:rPr>
                <w:b/>
                <w:bCs/>
                <w:sz w:val="18"/>
                <w:szCs w:val="18"/>
              </w:rPr>
              <w:t>D-08</w:t>
            </w:r>
          </w:p>
        </w:tc>
        <w:tc>
          <w:tcPr>
            <w:tcW w:w="1800" w:type="pct"/>
            <w:tcMar>
              <w:top w:w="100" w:type="dxa"/>
              <w:left w:w="120" w:type="dxa"/>
              <w:bottom w:w="100" w:type="dxa"/>
              <w:right w:w="120" w:type="dxa"/>
            </w:tcMar>
          </w:tcPr>
          <w:p w14:paraId="41CE16AC" w14:textId="77777777" w:rsidR="00F04C96" w:rsidRDefault="00000000">
            <w:pPr>
              <w:spacing w:before="20" w:after="20" w:line="260" w:lineRule="auto"/>
            </w:pPr>
            <w:r>
              <w:rPr>
                <w:sz w:val="18"/>
                <w:szCs w:val="18"/>
              </w:rPr>
              <w:t>Bidirectional governance: outbound (Enterprise → 3rd Party) under the same tenant-scoped identity, PKI, DNS rewriting, destination allow-list, and TLS-inspection rigor as inbound</w:t>
            </w:r>
          </w:p>
        </w:tc>
        <w:tc>
          <w:tcPr>
            <w:tcW w:w="900" w:type="pct"/>
            <w:tcMar>
              <w:top w:w="100" w:type="dxa"/>
              <w:left w:w="120" w:type="dxa"/>
              <w:bottom w:w="100" w:type="dxa"/>
              <w:right w:w="120" w:type="dxa"/>
            </w:tcMar>
          </w:tcPr>
          <w:p w14:paraId="1A489C87" w14:textId="77777777" w:rsidR="00F04C96" w:rsidRDefault="00000000">
            <w:pPr>
              <w:spacing w:before="20" w:after="20" w:line="260" w:lineRule="auto"/>
            </w:pPr>
            <w:r>
              <w:rPr>
                <w:color w:val="57606A"/>
                <w:sz w:val="18"/>
                <w:szCs w:val="18"/>
              </w:rPr>
              <w:t>RFC §3a; POC Deliverables (CR-06 outbound mediation); Capability Matrix — Isolation (Must)</w:t>
            </w:r>
          </w:p>
        </w:tc>
        <w:tc>
          <w:tcPr>
            <w:tcW w:w="500" w:type="pct"/>
            <w:tcMar>
              <w:top w:w="100" w:type="dxa"/>
              <w:left w:w="120" w:type="dxa"/>
              <w:bottom w:w="100" w:type="dxa"/>
              <w:right w:w="120" w:type="dxa"/>
            </w:tcMar>
          </w:tcPr>
          <w:p w14:paraId="6EA9AAED" w14:textId="77777777" w:rsidR="00F04C96" w:rsidRDefault="00000000">
            <w:pPr>
              <w:jc w:val="center"/>
            </w:pPr>
            <w:r>
              <w:rPr>
                <w:b/>
                <w:bCs/>
                <w:caps/>
                <w:color w:val="8C1D40"/>
                <w:sz w:val="18"/>
                <w:szCs w:val="18"/>
              </w:rPr>
              <w:t>MISS</w:t>
            </w:r>
          </w:p>
        </w:tc>
        <w:tc>
          <w:tcPr>
            <w:tcW w:w="1500" w:type="pct"/>
            <w:tcMar>
              <w:top w:w="100" w:type="dxa"/>
              <w:left w:w="120" w:type="dxa"/>
              <w:bottom w:w="100" w:type="dxa"/>
              <w:right w:w="120" w:type="dxa"/>
            </w:tcMar>
          </w:tcPr>
          <w:p w14:paraId="7E0F35AA" w14:textId="77777777" w:rsidR="00F04C96" w:rsidRDefault="00000000">
            <w:pPr>
              <w:spacing w:before="20" w:after="20" w:line="260" w:lineRule="auto"/>
            </w:pPr>
            <w:r>
              <w:rPr>
                <w:sz w:val="18"/>
                <w:szCs w:val="18"/>
              </w:rPr>
              <w:t xml:space="preserve">Zscaler frames outbound as ZIA generic egress controls and per-tenant policy steering. ZIA is a strong forward proxy at population scale, but it does not bind outbound flows to per-tenant CAs, per-tenant </w:t>
            </w:r>
            <w:r>
              <w:rPr>
                <w:sz w:val="18"/>
                <w:szCs w:val="18"/>
              </w:rPr>
              <w:lastRenderedPageBreak/>
              <w:t>DNS execution contexts, or per-tenant destination allow-lists in the way the RFC and POC scope require. The result is asymmetric governance — the exact condition the 3PLZ program is chartered to eliminate.</w:t>
            </w:r>
          </w:p>
        </w:tc>
      </w:tr>
      <w:tr w:rsidR="00F04C96" w14:paraId="0F45C2DC" w14:textId="77777777">
        <w:tblPrEx>
          <w:tblCellMar>
            <w:top w:w="0" w:type="dxa"/>
            <w:bottom w:w="0" w:type="dxa"/>
          </w:tblCellMar>
        </w:tblPrEx>
        <w:tc>
          <w:tcPr>
            <w:tcW w:w="300" w:type="pct"/>
            <w:tcMar>
              <w:top w:w="100" w:type="dxa"/>
              <w:left w:w="120" w:type="dxa"/>
              <w:bottom w:w="100" w:type="dxa"/>
              <w:right w:w="120" w:type="dxa"/>
            </w:tcMar>
          </w:tcPr>
          <w:p w14:paraId="6A1FA48C" w14:textId="77777777" w:rsidR="00F04C96" w:rsidRDefault="00000000">
            <w:pPr>
              <w:spacing w:before="20" w:after="20" w:line="260" w:lineRule="auto"/>
            </w:pPr>
            <w:r>
              <w:rPr>
                <w:b/>
                <w:bCs/>
                <w:sz w:val="18"/>
                <w:szCs w:val="18"/>
              </w:rPr>
              <w:lastRenderedPageBreak/>
              <w:t>D-09</w:t>
            </w:r>
          </w:p>
        </w:tc>
        <w:tc>
          <w:tcPr>
            <w:tcW w:w="1800" w:type="pct"/>
            <w:tcMar>
              <w:top w:w="100" w:type="dxa"/>
              <w:left w:w="120" w:type="dxa"/>
              <w:bottom w:w="100" w:type="dxa"/>
              <w:right w:w="120" w:type="dxa"/>
            </w:tcMar>
          </w:tcPr>
          <w:p w14:paraId="5AF87FDA" w14:textId="77777777" w:rsidR="00F04C96" w:rsidRDefault="00000000">
            <w:pPr>
              <w:spacing w:before="20" w:after="20" w:line="260" w:lineRule="auto"/>
            </w:pPr>
            <w:r>
              <w:rPr>
                <w:sz w:val="18"/>
                <w:szCs w:val="18"/>
              </w:rPr>
              <w:t>End-to-end lifecycle automation owned by the platform: UI, API, Terraform, Ansible; auto-generated partner-ready IPsec configuration bundles; deterministic provisioning and decommissioning</w:t>
            </w:r>
          </w:p>
        </w:tc>
        <w:tc>
          <w:tcPr>
            <w:tcW w:w="900" w:type="pct"/>
            <w:tcMar>
              <w:top w:w="100" w:type="dxa"/>
              <w:left w:w="120" w:type="dxa"/>
              <w:bottom w:w="100" w:type="dxa"/>
              <w:right w:w="120" w:type="dxa"/>
            </w:tcMar>
          </w:tcPr>
          <w:p w14:paraId="0A4DA4BE" w14:textId="77777777" w:rsidR="00F04C96" w:rsidRDefault="00000000">
            <w:pPr>
              <w:spacing w:before="20" w:after="20" w:line="260" w:lineRule="auto"/>
            </w:pPr>
            <w:r>
              <w:rPr>
                <w:color w:val="57606A"/>
                <w:sz w:val="18"/>
                <w:szCs w:val="18"/>
              </w:rPr>
              <w:t xml:space="preserve">RFC §3 (self-service); §4 Functional Requirements — Automation; §8 Deliverables (Terraform modules, </w:t>
            </w:r>
            <w:proofErr w:type="spellStart"/>
            <w:r>
              <w:rPr>
                <w:color w:val="57606A"/>
                <w:sz w:val="18"/>
                <w:szCs w:val="18"/>
              </w:rPr>
              <w:t>OpenAPI</w:t>
            </w:r>
            <w:proofErr w:type="spellEnd"/>
            <w:r>
              <w:rPr>
                <w:color w:val="57606A"/>
                <w:sz w:val="18"/>
                <w:szCs w:val="18"/>
              </w:rPr>
              <w:t xml:space="preserve"> spec); Capability Matrix — Automation (Must, Adjunct)</w:t>
            </w:r>
          </w:p>
        </w:tc>
        <w:tc>
          <w:tcPr>
            <w:tcW w:w="500" w:type="pct"/>
            <w:tcMar>
              <w:top w:w="100" w:type="dxa"/>
              <w:left w:w="120" w:type="dxa"/>
              <w:bottom w:w="100" w:type="dxa"/>
              <w:right w:w="120" w:type="dxa"/>
            </w:tcMar>
          </w:tcPr>
          <w:p w14:paraId="5FB5B8A1" w14:textId="77777777" w:rsidR="00F04C96" w:rsidRDefault="00000000">
            <w:pPr>
              <w:jc w:val="center"/>
            </w:pPr>
            <w:r>
              <w:rPr>
                <w:b/>
                <w:bCs/>
                <w:caps/>
                <w:color w:val="8C1D40"/>
                <w:sz w:val="18"/>
                <w:szCs w:val="18"/>
              </w:rPr>
              <w:t>MISS</w:t>
            </w:r>
          </w:p>
        </w:tc>
        <w:tc>
          <w:tcPr>
            <w:tcW w:w="1500" w:type="pct"/>
            <w:tcMar>
              <w:top w:w="100" w:type="dxa"/>
              <w:left w:w="120" w:type="dxa"/>
              <w:bottom w:w="100" w:type="dxa"/>
              <w:right w:w="120" w:type="dxa"/>
            </w:tcMar>
          </w:tcPr>
          <w:p w14:paraId="5978EDC0" w14:textId="77777777" w:rsidR="00F04C96" w:rsidRDefault="00000000">
            <w:pPr>
              <w:spacing w:before="20" w:after="20" w:line="260" w:lineRule="auto"/>
            </w:pPr>
            <w:r>
              <w:rPr>
                <w:sz w:val="18"/>
                <w:szCs w:val="18"/>
              </w:rPr>
              <w:t xml:space="preserve">Zscaler classifies automation as "Adjunct" in its own matrix and proposes ServiceNow as the request/approval front end with Presidio building the orchestration. The RFC requires the platform itself to be lifecycle-authoritative with deterministic provisioning and zero residual state. Externalizing the workflow plane to ServiceNow + integrator scope means the platform is not self-contained, and the auto-generated multi-vendor IPsec config bundles (Cisco IOS XE, Arista EOS, PAN, Fortinet, </w:t>
            </w:r>
            <w:proofErr w:type="spellStart"/>
            <w:r>
              <w:rPr>
                <w:sz w:val="18"/>
                <w:szCs w:val="18"/>
              </w:rPr>
              <w:t>StrongSwan</w:t>
            </w:r>
            <w:proofErr w:type="spellEnd"/>
            <w:r>
              <w:rPr>
                <w:sz w:val="18"/>
                <w:szCs w:val="18"/>
              </w:rPr>
              <w:t>) called out in §3a are not part of the Extranet deliverable.</w:t>
            </w:r>
          </w:p>
        </w:tc>
      </w:tr>
      <w:tr w:rsidR="00F04C96" w14:paraId="269B9096" w14:textId="77777777">
        <w:tblPrEx>
          <w:tblCellMar>
            <w:top w:w="0" w:type="dxa"/>
            <w:bottom w:w="0" w:type="dxa"/>
          </w:tblCellMar>
        </w:tblPrEx>
        <w:tc>
          <w:tcPr>
            <w:tcW w:w="300" w:type="pct"/>
            <w:tcMar>
              <w:top w:w="100" w:type="dxa"/>
              <w:left w:w="120" w:type="dxa"/>
              <w:bottom w:w="100" w:type="dxa"/>
              <w:right w:w="120" w:type="dxa"/>
            </w:tcMar>
          </w:tcPr>
          <w:p w14:paraId="025118D0" w14:textId="77777777" w:rsidR="00F04C96" w:rsidRDefault="00000000">
            <w:pPr>
              <w:spacing w:before="20" w:after="20" w:line="260" w:lineRule="auto"/>
            </w:pPr>
            <w:r>
              <w:rPr>
                <w:b/>
                <w:bCs/>
                <w:sz w:val="18"/>
                <w:szCs w:val="18"/>
              </w:rPr>
              <w:t>D-10</w:t>
            </w:r>
          </w:p>
        </w:tc>
        <w:tc>
          <w:tcPr>
            <w:tcW w:w="1800" w:type="pct"/>
            <w:tcMar>
              <w:top w:w="100" w:type="dxa"/>
              <w:left w:w="120" w:type="dxa"/>
              <w:bottom w:w="100" w:type="dxa"/>
              <w:right w:w="120" w:type="dxa"/>
            </w:tcMar>
          </w:tcPr>
          <w:p w14:paraId="7C31A173" w14:textId="77777777" w:rsidR="00F04C96" w:rsidRDefault="00000000">
            <w:pPr>
              <w:spacing w:before="20" w:after="20" w:line="260" w:lineRule="auto"/>
            </w:pPr>
            <w:r>
              <w:rPr>
                <w:sz w:val="18"/>
                <w:szCs w:val="18"/>
              </w:rPr>
              <w:t>Vendor-supplied turnkey templates per service pattern (SFTP, VDI, Internal Web, External Web/SaaS) including DNS records, BGP prefixes, ACLs, health checks, logging fields</w:t>
            </w:r>
          </w:p>
        </w:tc>
        <w:tc>
          <w:tcPr>
            <w:tcW w:w="900" w:type="pct"/>
            <w:tcMar>
              <w:top w:w="100" w:type="dxa"/>
              <w:left w:w="120" w:type="dxa"/>
              <w:bottom w:w="100" w:type="dxa"/>
              <w:right w:w="120" w:type="dxa"/>
            </w:tcMar>
          </w:tcPr>
          <w:p w14:paraId="170BBA55" w14:textId="77777777" w:rsidR="00F04C96" w:rsidRDefault="00000000">
            <w:pPr>
              <w:spacing w:before="20" w:after="20" w:line="260" w:lineRule="auto"/>
            </w:pPr>
            <w:r>
              <w:rPr>
                <w:color w:val="57606A"/>
                <w:sz w:val="18"/>
                <w:szCs w:val="18"/>
              </w:rPr>
              <w:t>RFC §5 Service Pattern Catalog</w:t>
            </w:r>
          </w:p>
        </w:tc>
        <w:tc>
          <w:tcPr>
            <w:tcW w:w="500" w:type="pct"/>
            <w:tcMar>
              <w:top w:w="100" w:type="dxa"/>
              <w:left w:w="120" w:type="dxa"/>
              <w:bottom w:w="100" w:type="dxa"/>
              <w:right w:w="120" w:type="dxa"/>
            </w:tcMar>
          </w:tcPr>
          <w:p w14:paraId="37F81B88" w14:textId="77777777" w:rsidR="00F04C96" w:rsidRDefault="00000000">
            <w:pPr>
              <w:jc w:val="center"/>
            </w:pPr>
            <w:r>
              <w:rPr>
                <w:b/>
                <w:bCs/>
                <w:caps/>
                <w:color w:val="8C1D40"/>
                <w:sz w:val="18"/>
                <w:szCs w:val="18"/>
              </w:rPr>
              <w:t>MISS</w:t>
            </w:r>
          </w:p>
        </w:tc>
        <w:tc>
          <w:tcPr>
            <w:tcW w:w="1500" w:type="pct"/>
            <w:tcMar>
              <w:top w:w="100" w:type="dxa"/>
              <w:left w:w="120" w:type="dxa"/>
              <w:bottom w:w="100" w:type="dxa"/>
              <w:right w:w="120" w:type="dxa"/>
            </w:tcMar>
          </w:tcPr>
          <w:p w14:paraId="44450347" w14:textId="77777777" w:rsidR="00F04C96" w:rsidRDefault="00000000">
            <w:pPr>
              <w:spacing w:before="20" w:after="20" w:line="260" w:lineRule="auto"/>
            </w:pPr>
            <w:r>
              <w:rPr>
                <w:sz w:val="18"/>
                <w:szCs w:val="18"/>
              </w:rPr>
              <w:t xml:space="preserve">Zscaler's response does not provide turnkey templates for the four required service patterns. VDI is not addressed in the response. SFTP is acknowledged as requiring an external SFTP gateway. Internal/external web app templates depend on a </w:t>
            </w:r>
            <w:proofErr w:type="gramStart"/>
            <w:r>
              <w:rPr>
                <w:sz w:val="18"/>
                <w:szCs w:val="18"/>
              </w:rPr>
              <w:t>separately-procured</w:t>
            </w:r>
            <w:proofErr w:type="gramEnd"/>
            <w:r>
              <w:rPr>
                <w:sz w:val="18"/>
                <w:szCs w:val="18"/>
              </w:rPr>
              <w:t xml:space="preserve"> reverse-proxy stack. This is a direct gap against §5.</w:t>
            </w:r>
          </w:p>
        </w:tc>
      </w:tr>
      <w:tr w:rsidR="00F04C96" w14:paraId="3391A3BA" w14:textId="77777777">
        <w:tblPrEx>
          <w:tblCellMar>
            <w:top w:w="0" w:type="dxa"/>
            <w:bottom w:w="0" w:type="dxa"/>
          </w:tblCellMar>
        </w:tblPrEx>
        <w:tc>
          <w:tcPr>
            <w:tcW w:w="300" w:type="pct"/>
            <w:tcMar>
              <w:top w:w="100" w:type="dxa"/>
              <w:left w:w="120" w:type="dxa"/>
              <w:bottom w:w="100" w:type="dxa"/>
              <w:right w:w="120" w:type="dxa"/>
            </w:tcMar>
          </w:tcPr>
          <w:p w14:paraId="3906A382" w14:textId="77777777" w:rsidR="00F04C96" w:rsidRDefault="00000000">
            <w:pPr>
              <w:spacing w:before="20" w:after="20" w:line="260" w:lineRule="auto"/>
            </w:pPr>
            <w:r>
              <w:rPr>
                <w:b/>
                <w:bCs/>
                <w:sz w:val="18"/>
                <w:szCs w:val="18"/>
              </w:rPr>
              <w:t>D-11</w:t>
            </w:r>
          </w:p>
        </w:tc>
        <w:tc>
          <w:tcPr>
            <w:tcW w:w="1800" w:type="pct"/>
            <w:tcMar>
              <w:top w:w="100" w:type="dxa"/>
              <w:left w:w="120" w:type="dxa"/>
              <w:bottom w:w="100" w:type="dxa"/>
              <w:right w:w="120" w:type="dxa"/>
            </w:tcMar>
          </w:tcPr>
          <w:p w14:paraId="4EBB83F9" w14:textId="77777777" w:rsidR="00F04C96" w:rsidRDefault="00000000">
            <w:pPr>
              <w:spacing w:before="20" w:after="20" w:line="260" w:lineRule="auto"/>
            </w:pPr>
            <w:r>
              <w:rPr>
                <w:sz w:val="18"/>
                <w:szCs w:val="18"/>
              </w:rPr>
              <w:t xml:space="preserve">Tenant + Service Policy Identity Binding in transactional logging — every record traceable to </w:t>
            </w:r>
            <w:proofErr w:type="spellStart"/>
            <w:r>
              <w:rPr>
                <w:sz w:val="18"/>
                <w:szCs w:val="18"/>
              </w:rPr>
              <w:t>vendor_id</w:t>
            </w:r>
            <w:proofErr w:type="spellEnd"/>
            <w:r>
              <w:rPr>
                <w:sz w:val="18"/>
                <w:szCs w:val="18"/>
              </w:rPr>
              <w:t xml:space="preserve"> / </w:t>
            </w:r>
            <w:proofErr w:type="spellStart"/>
            <w:r>
              <w:rPr>
                <w:sz w:val="18"/>
                <w:szCs w:val="18"/>
              </w:rPr>
              <w:t>tenant_id</w:t>
            </w:r>
            <w:proofErr w:type="spellEnd"/>
            <w:r>
              <w:rPr>
                <w:sz w:val="18"/>
                <w:szCs w:val="18"/>
              </w:rPr>
              <w:t xml:space="preserve"> / </w:t>
            </w:r>
            <w:proofErr w:type="spellStart"/>
            <w:r>
              <w:rPr>
                <w:sz w:val="18"/>
                <w:szCs w:val="18"/>
              </w:rPr>
              <w:t>service_id</w:t>
            </w:r>
            <w:proofErr w:type="spellEnd"/>
            <w:r>
              <w:rPr>
                <w:sz w:val="18"/>
                <w:szCs w:val="18"/>
              </w:rPr>
              <w:t xml:space="preserve"> with SIEM export</w:t>
            </w:r>
          </w:p>
        </w:tc>
        <w:tc>
          <w:tcPr>
            <w:tcW w:w="900" w:type="pct"/>
            <w:tcMar>
              <w:top w:w="100" w:type="dxa"/>
              <w:left w:w="120" w:type="dxa"/>
              <w:bottom w:w="100" w:type="dxa"/>
              <w:right w:w="120" w:type="dxa"/>
            </w:tcMar>
          </w:tcPr>
          <w:p w14:paraId="0AC2C7D2" w14:textId="77777777" w:rsidR="00F04C96" w:rsidRDefault="00000000">
            <w:pPr>
              <w:spacing w:before="20" w:after="20" w:line="260" w:lineRule="auto"/>
            </w:pPr>
            <w:r>
              <w:rPr>
                <w:color w:val="57606A"/>
                <w:sz w:val="18"/>
                <w:szCs w:val="18"/>
              </w:rPr>
              <w:t>RFC §4 Core Components — Observability; Capability Matrix — Governance (Must, Native)</w:t>
            </w:r>
          </w:p>
        </w:tc>
        <w:tc>
          <w:tcPr>
            <w:tcW w:w="500" w:type="pct"/>
            <w:tcMar>
              <w:top w:w="100" w:type="dxa"/>
              <w:left w:w="120" w:type="dxa"/>
              <w:bottom w:w="100" w:type="dxa"/>
              <w:right w:w="120" w:type="dxa"/>
            </w:tcMar>
          </w:tcPr>
          <w:p w14:paraId="6D786707" w14:textId="77777777" w:rsidR="00F04C96" w:rsidRDefault="00000000">
            <w:pPr>
              <w:jc w:val="center"/>
            </w:pPr>
            <w:r>
              <w:rPr>
                <w:b/>
                <w:bCs/>
                <w:caps/>
                <w:color w:val="B45309"/>
                <w:sz w:val="18"/>
                <w:szCs w:val="18"/>
              </w:rPr>
              <w:t>PARTIAL</w:t>
            </w:r>
          </w:p>
        </w:tc>
        <w:tc>
          <w:tcPr>
            <w:tcW w:w="1500" w:type="pct"/>
            <w:tcMar>
              <w:top w:w="100" w:type="dxa"/>
              <w:left w:w="120" w:type="dxa"/>
              <w:bottom w:w="100" w:type="dxa"/>
              <w:right w:w="120" w:type="dxa"/>
            </w:tcMar>
          </w:tcPr>
          <w:p w14:paraId="3F156A09" w14:textId="77777777" w:rsidR="00F04C96" w:rsidRDefault="00000000">
            <w:pPr>
              <w:spacing w:before="20" w:after="20" w:line="260" w:lineRule="auto"/>
            </w:pPr>
            <w:r>
              <w:rPr>
                <w:sz w:val="18"/>
                <w:szCs w:val="18"/>
              </w:rPr>
              <w:t xml:space="preserve">Zscaler can stream segmented logs via ZPA Log Streaming Service (LSS) and ZIA, and a </w:t>
            </w:r>
            <w:proofErr w:type="spellStart"/>
            <w:r>
              <w:rPr>
                <w:sz w:val="18"/>
                <w:szCs w:val="18"/>
              </w:rPr>
              <w:t>vendor_id</w:t>
            </w:r>
            <w:proofErr w:type="spellEnd"/>
            <w:r>
              <w:rPr>
                <w:sz w:val="18"/>
                <w:szCs w:val="18"/>
              </w:rPr>
              <w:t>/</w:t>
            </w:r>
            <w:proofErr w:type="spellStart"/>
            <w:r>
              <w:rPr>
                <w:sz w:val="18"/>
                <w:szCs w:val="18"/>
              </w:rPr>
              <w:t>tenant_id</w:t>
            </w:r>
            <w:proofErr w:type="spellEnd"/>
            <w:r>
              <w:rPr>
                <w:sz w:val="18"/>
                <w:szCs w:val="18"/>
              </w:rPr>
              <w:t>/</w:t>
            </w:r>
            <w:proofErr w:type="spellStart"/>
            <w:r>
              <w:rPr>
                <w:sz w:val="18"/>
                <w:szCs w:val="18"/>
              </w:rPr>
              <w:t>service_id</w:t>
            </w:r>
            <w:proofErr w:type="spellEnd"/>
            <w:r>
              <w:rPr>
                <w:sz w:val="18"/>
                <w:szCs w:val="18"/>
              </w:rPr>
              <w:t xml:space="preserve"> naming convention is workable. However, identity binding for SSH session content, </w:t>
            </w:r>
            <w:proofErr w:type="spellStart"/>
            <w:r>
              <w:rPr>
                <w:sz w:val="18"/>
                <w:szCs w:val="18"/>
              </w:rPr>
              <w:t>mTLS</w:t>
            </w:r>
            <w:proofErr w:type="spellEnd"/>
            <w:r>
              <w:rPr>
                <w:sz w:val="18"/>
                <w:szCs w:val="18"/>
              </w:rPr>
              <w:t xml:space="preserve"> handshake metadata, DNS rewriting events, and application-proxy transactions does not exist in Zscaler — those records would originate in the adjunct proxies CVS would have to deploy, breaking the single-pane audit deliverable.</w:t>
            </w:r>
          </w:p>
        </w:tc>
      </w:tr>
      <w:tr w:rsidR="00F04C96" w14:paraId="783EA458" w14:textId="77777777">
        <w:tblPrEx>
          <w:tblCellMar>
            <w:top w:w="0" w:type="dxa"/>
            <w:bottom w:w="0" w:type="dxa"/>
          </w:tblCellMar>
        </w:tblPrEx>
        <w:tc>
          <w:tcPr>
            <w:tcW w:w="300" w:type="pct"/>
            <w:tcMar>
              <w:top w:w="100" w:type="dxa"/>
              <w:left w:w="120" w:type="dxa"/>
              <w:bottom w:w="100" w:type="dxa"/>
              <w:right w:w="120" w:type="dxa"/>
            </w:tcMar>
          </w:tcPr>
          <w:p w14:paraId="7542E2D8" w14:textId="77777777" w:rsidR="00F04C96" w:rsidRDefault="00000000">
            <w:pPr>
              <w:spacing w:before="20" w:after="20" w:line="260" w:lineRule="auto"/>
            </w:pPr>
            <w:r>
              <w:rPr>
                <w:b/>
                <w:bCs/>
                <w:sz w:val="18"/>
                <w:szCs w:val="18"/>
              </w:rPr>
              <w:t>D-12</w:t>
            </w:r>
          </w:p>
        </w:tc>
        <w:tc>
          <w:tcPr>
            <w:tcW w:w="1800" w:type="pct"/>
            <w:tcMar>
              <w:top w:w="100" w:type="dxa"/>
              <w:left w:w="120" w:type="dxa"/>
              <w:bottom w:w="100" w:type="dxa"/>
              <w:right w:w="120" w:type="dxa"/>
            </w:tcMar>
          </w:tcPr>
          <w:p w14:paraId="2205753A" w14:textId="77777777" w:rsidR="00F04C96" w:rsidRDefault="00000000">
            <w:pPr>
              <w:spacing w:before="20" w:after="20" w:line="260" w:lineRule="auto"/>
            </w:pPr>
            <w:r>
              <w:rPr>
                <w:sz w:val="18"/>
                <w:szCs w:val="18"/>
              </w:rPr>
              <w:t xml:space="preserve">PKI / vault integration directly on the 3PLZ platform: enterprise PKI lifecycle, </w:t>
            </w:r>
            <w:proofErr w:type="spellStart"/>
            <w:r>
              <w:rPr>
                <w:sz w:val="18"/>
                <w:szCs w:val="18"/>
              </w:rPr>
              <w:t>mTLS</w:t>
            </w:r>
            <w:proofErr w:type="spellEnd"/>
            <w:r>
              <w:rPr>
                <w:sz w:val="18"/>
                <w:szCs w:val="18"/>
              </w:rPr>
              <w:t xml:space="preserve"> certificate issuance and rotation, SSH key vaulting, API key management</w:t>
            </w:r>
          </w:p>
        </w:tc>
        <w:tc>
          <w:tcPr>
            <w:tcW w:w="900" w:type="pct"/>
            <w:tcMar>
              <w:top w:w="100" w:type="dxa"/>
              <w:left w:w="120" w:type="dxa"/>
              <w:bottom w:w="100" w:type="dxa"/>
              <w:right w:w="120" w:type="dxa"/>
            </w:tcMar>
          </w:tcPr>
          <w:p w14:paraId="466EF62E" w14:textId="77777777" w:rsidR="00F04C96" w:rsidRDefault="00000000">
            <w:pPr>
              <w:spacing w:before="20" w:after="20" w:line="260" w:lineRule="auto"/>
            </w:pPr>
            <w:r>
              <w:rPr>
                <w:color w:val="57606A"/>
                <w:sz w:val="18"/>
                <w:szCs w:val="18"/>
              </w:rPr>
              <w:t xml:space="preserve">RFC §4 Core Components — PKI Lifecycle Automation; §7 Integration — </w:t>
            </w:r>
            <w:proofErr w:type="spellStart"/>
            <w:r>
              <w:rPr>
                <w:color w:val="57606A"/>
                <w:sz w:val="18"/>
                <w:szCs w:val="18"/>
              </w:rPr>
              <w:t>mTLS</w:t>
            </w:r>
            <w:proofErr w:type="spellEnd"/>
            <w:r>
              <w:rPr>
                <w:color w:val="57606A"/>
                <w:sz w:val="18"/>
                <w:szCs w:val="18"/>
              </w:rPr>
              <w:t xml:space="preserve">, ACME; Capability Matrix — Identity </w:t>
            </w:r>
            <w:r>
              <w:rPr>
                <w:color w:val="57606A"/>
                <w:sz w:val="18"/>
                <w:szCs w:val="18"/>
              </w:rPr>
              <w:lastRenderedPageBreak/>
              <w:t>(Must, Adjunct/Native)</w:t>
            </w:r>
          </w:p>
        </w:tc>
        <w:tc>
          <w:tcPr>
            <w:tcW w:w="500" w:type="pct"/>
            <w:tcMar>
              <w:top w:w="100" w:type="dxa"/>
              <w:left w:w="120" w:type="dxa"/>
              <w:bottom w:w="100" w:type="dxa"/>
              <w:right w:w="120" w:type="dxa"/>
            </w:tcMar>
          </w:tcPr>
          <w:p w14:paraId="29E720D3" w14:textId="77777777" w:rsidR="00F04C96" w:rsidRDefault="00000000">
            <w:pPr>
              <w:jc w:val="center"/>
            </w:pPr>
            <w:r>
              <w:rPr>
                <w:b/>
                <w:bCs/>
                <w:caps/>
                <w:color w:val="8C1D40"/>
                <w:sz w:val="18"/>
                <w:szCs w:val="18"/>
              </w:rPr>
              <w:lastRenderedPageBreak/>
              <w:t>MISS</w:t>
            </w:r>
          </w:p>
        </w:tc>
        <w:tc>
          <w:tcPr>
            <w:tcW w:w="1500" w:type="pct"/>
            <w:tcMar>
              <w:top w:w="100" w:type="dxa"/>
              <w:left w:w="120" w:type="dxa"/>
              <w:bottom w:w="100" w:type="dxa"/>
              <w:right w:w="120" w:type="dxa"/>
            </w:tcMar>
          </w:tcPr>
          <w:p w14:paraId="22E2F786" w14:textId="77777777" w:rsidR="00F04C96" w:rsidRDefault="00000000">
            <w:pPr>
              <w:spacing w:before="20" w:after="20" w:line="260" w:lineRule="auto"/>
            </w:pPr>
            <w:r>
              <w:rPr>
                <w:sz w:val="18"/>
                <w:szCs w:val="18"/>
              </w:rPr>
              <w:t>Zscaler's own classification on this row is "Adjunct/Native." The vendor explicitly states PKI and key-vault integration occur "at the proxies" CVS deploys, not at Zscaler. This is the same architectural pattern as D-</w:t>
            </w:r>
            <w:r>
              <w:rPr>
                <w:sz w:val="18"/>
                <w:szCs w:val="18"/>
              </w:rPr>
              <w:lastRenderedPageBreak/>
              <w:t>05: PKI lives next to Zscaler, not within it.</w:t>
            </w:r>
          </w:p>
        </w:tc>
      </w:tr>
      <w:tr w:rsidR="00F04C96" w14:paraId="3BCFB2F2" w14:textId="77777777">
        <w:tblPrEx>
          <w:tblCellMar>
            <w:top w:w="0" w:type="dxa"/>
            <w:bottom w:w="0" w:type="dxa"/>
          </w:tblCellMar>
        </w:tblPrEx>
        <w:tc>
          <w:tcPr>
            <w:tcW w:w="300" w:type="pct"/>
            <w:tcMar>
              <w:top w:w="100" w:type="dxa"/>
              <w:left w:w="120" w:type="dxa"/>
              <w:bottom w:w="100" w:type="dxa"/>
              <w:right w:w="120" w:type="dxa"/>
            </w:tcMar>
          </w:tcPr>
          <w:p w14:paraId="1633CDEA" w14:textId="77777777" w:rsidR="00F04C96" w:rsidRDefault="00000000">
            <w:pPr>
              <w:spacing w:before="20" w:after="20" w:line="260" w:lineRule="auto"/>
            </w:pPr>
            <w:r>
              <w:rPr>
                <w:b/>
                <w:bCs/>
                <w:sz w:val="18"/>
                <w:szCs w:val="18"/>
              </w:rPr>
              <w:lastRenderedPageBreak/>
              <w:t>D-13</w:t>
            </w:r>
          </w:p>
        </w:tc>
        <w:tc>
          <w:tcPr>
            <w:tcW w:w="1800" w:type="pct"/>
            <w:tcMar>
              <w:top w:w="100" w:type="dxa"/>
              <w:left w:w="120" w:type="dxa"/>
              <w:bottom w:w="100" w:type="dxa"/>
              <w:right w:w="120" w:type="dxa"/>
            </w:tcMar>
          </w:tcPr>
          <w:p w14:paraId="5C6F4CEB" w14:textId="77777777" w:rsidR="00F04C96" w:rsidRDefault="00000000">
            <w:pPr>
              <w:spacing w:before="20" w:after="20" w:line="260" w:lineRule="auto"/>
            </w:pPr>
            <w:r>
              <w:rPr>
                <w:sz w:val="18"/>
                <w:szCs w:val="18"/>
              </w:rPr>
              <w:t>Self-service IAM/RBAC administrative interface for application teams, with role separation (network, 3P→Ent service, Ent→3P service) and SAML accounting</w:t>
            </w:r>
          </w:p>
        </w:tc>
        <w:tc>
          <w:tcPr>
            <w:tcW w:w="900" w:type="pct"/>
            <w:tcMar>
              <w:top w:w="100" w:type="dxa"/>
              <w:left w:w="120" w:type="dxa"/>
              <w:bottom w:w="100" w:type="dxa"/>
              <w:right w:w="120" w:type="dxa"/>
            </w:tcMar>
          </w:tcPr>
          <w:p w14:paraId="34E6B514" w14:textId="77777777" w:rsidR="00F04C96" w:rsidRDefault="00000000">
            <w:pPr>
              <w:spacing w:before="20" w:after="20" w:line="260" w:lineRule="auto"/>
            </w:pPr>
            <w:r>
              <w:rPr>
                <w:color w:val="57606A"/>
                <w:sz w:val="18"/>
                <w:szCs w:val="18"/>
              </w:rPr>
              <w:t>RFC §3 (DevOps "build, run, own"); Capability Matrix — Access (Should, Native)</w:t>
            </w:r>
          </w:p>
        </w:tc>
        <w:tc>
          <w:tcPr>
            <w:tcW w:w="500" w:type="pct"/>
            <w:tcMar>
              <w:top w:w="100" w:type="dxa"/>
              <w:left w:w="120" w:type="dxa"/>
              <w:bottom w:w="100" w:type="dxa"/>
              <w:right w:w="120" w:type="dxa"/>
            </w:tcMar>
          </w:tcPr>
          <w:p w14:paraId="11BD94B7" w14:textId="77777777" w:rsidR="00F04C96" w:rsidRDefault="00000000">
            <w:pPr>
              <w:jc w:val="center"/>
            </w:pPr>
            <w:r>
              <w:rPr>
                <w:b/>
                <w:bCs/>
                <w:caps/>
                <w:color w:val="B45309"/>
                <w:sz w:val="18"/>
                <w:szCs w:val="18"/>
              </w:rPr>
              <w:t>PARTIAL</w:t>
            </w:r>
          </w:p>
        </w:tc>
        <w:tc>
          <w:tcPr>
            <w:tcW w:w="1500" w:type="pct"/>
            <w:tcMar>
              <w:top w:w="100" w:type="dxa"/>
              <w:left w:w="120" w:type="dxa"/>
              <w:bottom w:w="100" w:type="dxa"/>
              <w:right w:w="120" w:type="dxa"/>
            </w:tcMar>
          </w:tcPr>
          <w:p w14:paraId="30FED8CB" w14:textId="77777777" w:rsidR="00F04C96" w:rsidRDefault="00000000">
            <w:pPr>
              <w:spacing w:before="20" w:after="20" w:line="260" w:lineRule="auto"/>
            </w:pPr>
            <w:r>
              <w:rPr>
                <w:sz w:val="18"/>
                <w:szCs w:val="18"/>
              </w:rPr>
              <w:t>Zscaler's answer assumes the consumer is the existing ZIA/ZPA admin team using the Zscaler Admin Portal. The deliverable is consumption by application development teams that "own" their 3P connectivity — an audience the Zscaler Admin Portal is not designed for. Without ServiceNow + Presidio building a separate front end, the Zscaler-native interface does not satisfy the self-service intent.</w:t>
            </w:r>
          </w:p>
        </w:tc>
      </w:tr>
      <w:tr w:rsidR="00F04C96" w14:paraId="0E91D5F7" w14:textId="77777777">
        <w:tblPrEx>
          <w:tblCellMar>
            <w:top w:w="0" w:type="dxa"/>
            <w:bottom w:w="0" w:type="dxa"/>
          </w:tblCellMar>
        </w:tblPrEx>
        <w:tc>
          <w:tcPr>
            <w:tcW w:w="300" w:type="pct"/>
            <w:tcMar>
              <w:top w:w="100" w:type="dxa"/>
              <w:left w:w="120" w:type="dxa"/>
              <w:bottom w:w="100" w:type="dxa"/>
              <w:right w:w="120" w:type="dxa"/>
            </w:tcMar>
          </w:tcPr>
          <w:p w14:paraId="2A10C788" w14:textId="77777777" w:rsidR="00F04C96" w:rsidRDefault="00000000">
            <w:pPr>
              <w:spacing w:before="20" w:after="20" w:line="260" w:lineRule="auto"/>
            </w:pPr>
            <w:r>
              <w:rPr>
                <w:b/>
                <w:bCs/>
                <w:sz w:val="18"/>
                <w:szCs w:val="18"/>
              </w:rPr>
              <w:t>D-14</w:t>
            </w:r>
          </w:p>
        </w:tc>
        <w:tc>
          <w:tcPr>
            <w:tcW w:w="1800" w:type="pct"/>
            <w:tcMar>
              <w:top w:w="100" w:type="dxa"/>
              <w:left w:w="120" w:type="dxa"/>
              <w:bottom w:w="100" w:type="dxa"/>
              <w:right w:w="120" w:type="dxa"/>
            </w:tcMar>
          </w:tcPr>
          <w:p w14:paraId="60C3692C" w14:textId="77777777" w:rsidR="00F04C96" w:rsidRDefault="00000000">
            <w:pPr>
              <w:spacing w:before="20" w:after="20" w:line="260" w:lineRule="auto"/>
            </w:pPr>
            <w:r>
              <w:rPr>
                <w:sz w:val="18"/>
                <w:szCs w:val="18"/>
              </w:rPr>
              <w:t xml:space="preserve">Document deliverables: HLD/LLD per service pattern, lifecycle runbooks, Terraform modules, </w:t>
            </w:r>
            <w:proofErr w:type="spellStart"/>
            <w:r>
              <w:rPr>
                <w:sz w:val="18"/>
                <w:szCs w:val="18"/>
              </w:rPr>
              <w:t>OpenAPI</w:t>
            </w:r>
            <w:proofErr w:type="spellEnd"/>
            <w:r>
              <w:rPr>
                <w:sz w:val="18"/>
                <w:szCs w:val="18"/>
              </w:rPr>
              <w:t xml:space="preserve"> spec, interoperability guides, test plans and results</w:t>
            </w:r>
          </w:p>
        </w:tc>
        <w:tc>
          <w:tcPr>
            <w:tcW w:w="900" w:type="pct"/>
            <w:tcMar>
              <w:top w:w="100" w:type="dxa"/>
              <w:left w:w="120" w:type="dxa"/>
              <w:bottom w:w="100" w:type="dxa"/>
              <w:right w:w="120" w:type="dxa"/>
            </w:tcMar>
          </w:tcPr>
          <w:p w14:paraId="43A6A2BD" w14:textId="77777777" w:rsidR="00F04C96" w:rsidRDefault="00000000">
            <w:pPr>
              <w:spacing w:before="20" w:after="20" w:line="260" w:lineRule="auto"/>
            </w:pPr>
            <w:r>
              <w:rPr>
                <w:color w:val="57606A"/>
                <w:sz w:val="18"/>
                <w:szCs w:val="18"/>
              </w:rPr>
              <w:t>RFC §8 Deliverables (D1–D5); §9 Vendor Response Format</w:t>
            </w:r>
          </w:p>
        </w:tc>
        <w:tc>
          <w:tcPr>
            <w:tcW w:w="500" w:type="pct"/>
            <w:tcMar>
              <w:top w:w="100" w:type="dxa"/>
              <w:left w:w="120" w:type="dxa"/>
              <w:bottom w:w="100" w:type="dxa"/>
              <w:right w:w="120" w:type="dxa"/>
            </w:tcMar>
          </w:tcPr>
          <w:p w14:paraId="6ABDF9C2" w14:textId="77777777" w:rsidR="00F04C96" w:rsidRDefault="00000000">
            <w:pPr>
              <w:jc w:val="center"/>
            </w:pPr>
            <w:r>
              <w:rPr>
                <w:b/>
                <w:bCs/>
                <w:caps/>
                <w:color w:val="8C1D40"/>
                <w:sz w:val="18"/>
                <w:szCs w:val="18"/>
              </w:rPr>
              <w:t>MISS</w:t>
            </w:r>
          </w:p>
        </w:tc>
        <w:tc>
          <w:tcPr>
            <w:tcW w:w="1500" w:type="pct"/>
            <w:tcMar>
              <w:top w:w="100" w:type="dxa"/>
              <w:left w:w="120" w:type="dxa"/>
              <w:bottom w:w="100" w:type="dxa"/>
              <w:right w:w="120" w:type="dxa"/>
            </w:tcMar>
          </w:tcPr>
          <w:p w14:paraId="15238429" w14:textId="77777777" w:rsidR="00F04C96" w:rsidRDefault="00000000">
            <w:pPr>
              <w:spacing w:before="20" w:after="20" w:line="260" w:lineRule="auto"/>
            </w:pPr>
            <w:r>
              <w:rPr>
                <w:sz w:val="18"/>
                <w:szCs w:val="18"/>
              </w:rPr>
              <w:t xml:space="preserve">The Zscaler submission consists of a sales proposal, a vendor-agnostic capability matrix with prose answers, and a price quote (Q-741114, $687,500 annual / $2,062,500 over 36 months). It does not contain HLD/LLD per service pattern, runbooks, Terraform modules, an </w:t>
            </w:r>
            <w:proofErr w:type="spellStart"/>
            <w:r>
              <w:rPr>
                <w:sz w:val="18"/>
                <w:szCs w:val="18"/>
              </w:rPr>
              <w:t>OpenAPI</w:t>
            </w:r>
            <w:proofErr w:type="spellEnd"/>
            <w:r>
              <w:rPr>
                <w:sz w:val="18"/>
                <w:szCs w:val="18"/>
              </w:rPr>
              <w:t xml:space="preserve"> specification, interoperability guides, or test plans. The §8 deliverables list is unaddressed.</w:t>
            </w:r>
          </w:p>
        </w:tc>
      </w:tr>
    </w:tbl>
    <w:p w14:paraId="0BCA19A2" w14:textId="77777777" w:rsidR="00F04C96" w:rsidRDefault="00000000">
      <w:r>
        <w:br w:type="page"/>
      </w:r>
    </w:p>
    <w:p w14:paraId="63461877" w14:textId="77777777" w:rsidR="00F04C96" w:rsidRDefault="00000000">
      <w:pPr>
        <w:pBdr>
          <w:bottom w:val="single" w:sz="12" w:space="6" w:color="8C1D40"/>
        </w:pBdr>
        <w:spacing w:before="360" w:after="160"/>
      </w:pPr>
      <w:r>
        <w:rPr>
          <w:b/>
          <w:bCs/>
          <w:sz w:val="32"/>
          <w:szCs w:val="32"/>
        </w:rPr>
        <w:lastRenderedPageBreak/>
        <w:t>5. The Three Structural Misses</w:t>
      </w:r>
    </w:p>
    <w:p w14:paraId="13258B6A" w14:textId="77777777" w:rsidR="00F04C96" w:rsidRDefault="00000000">
      <w:pPr>
        <w:spacing w:before="80" w:after="80" w:line="300" w:lineRule="auto"/>
        <w:jc w:val="both"/>
      </w:pPr>
      <w:r>
        <w:t>The seven "Miss" rows are not equally weighted. Three of them are structural — meaning the gap is in the platform's design center, not in configuration or scope. These three drove the determination.</w:t>
      </w:r>
    </w:p>
    <w:p w14:paraId="2262107D" w14:textId="77777777" w:rsidR="00F04C96" w:rsidRDefault="00000000">
      <w:pPr>
        <w:spacing w:before="280" w:after="100"/>
      </w:pPr>
      <w:r>
        <w:rPr>
          <w:b/>
          <w:bCs/>
          <w:color w:val="8C1D40"/>
          <w:sz w:val="24"/>
          <w:szCs w:val="24"/>
        </w:rPr>
        <w:t>5.1  Application-Layer Service Mediation (D-03, D-04)</w:t>
      </w:r>
    </w:p>
    <w:p w14:paraId="271F60FB" w14:textId="77777777" w:rsidR="00F04C96" w:rsidRDefault="00000000">
      <w:pPr>
        <w:spacing w:before="80" w:after="80" w:line="300" w:lineRule="auto"/>
        <w:jc w:val="both"/>
      </w:pPr>
      <w:r>
        <w:t xml:space="preserve">The 3PLZ-RFC defines per-service application proxies — for SSH/SFTP, VDI, Web, API, and SaaS — as a core platform component (RFC §4) and the foundation of the service-pattern catalog (§5). Zscaler's response treats this layer as out of scope and external: "place an API gateway/reverse proxy and/or SSH/SFTP gateway in front of the apps and use Zscaler for the segmented connectivity to the </w:t>
      </w:r>
      <w:proofErr w:type="gramStart"/>
      <w:r>
        <w:t>back-end</w:t>
      </w:r>
      <w:proofErr w:type="gramEnd"/>
      <w:r>
        <w:t>." That is a reasonable design pattern in many enterprises. It is not the 3PLZ architecture. The RFP's Layer-7 service-pattern catalog is the deliverable, not a downstream consumer of it.</w:t>
      </w:r>
    </w:p>
    <w:p w14:paraId="79D8414A" w14:textId="77777777" w:rsidR="00F04C96" w:rsidRDefault="00000000">
      <w:pPr>
        <w:spacing w:before="280" w:after="100"/>
      </w:pPr>
      <w:r>
        <w:rPr>
          <w:b/>
          <w:bCs/>
          <w:color w:val="8C1D40"/>
          <w:sz w:val="24"/>
          <w:szCs w:val="24"/>
        </w:rPr>
        <w:t xml:space="preserve">5.2  Per-Tenant PKI and </w:t>
      </w:r>
      <w:proofErr w:type="spellStart"/>
      <w:r>
        <w:rPr>
          <w:b/>
          <w:bCs/>
          <w:color w:val="8C1D40"/>
          <w:sz w:val="24"/>
          <w:szCs w:val="24"/>
        </w:rPr>
        <w:t>mTLS</w:t>
      </w:r>
      <w:proofErr w:type="spellEnd"/>
      <w:r>
        <w:rPr>
          <w:b/>
          <w:bCs/>
          <w:color w:val="8C1D40"/>
          <w:sz w:val="24"/>
          <w:szCs w:val="24"/>
        </w:rPr>
        <w:t xml:space="preserve"> Ownership (D-05, D-12)</w:t>
      </w:r>
    </w:p>
    <w:p w14:paraId="784DB85A" w14:textId="77777777" w:rsidR="00F04C96" w:rsidRDefault="00000000">
      <w:pPr>
        <w:spacing w:before="80" w:after="80" w:line="300" w:lineRule="auto"/>
        <w:jc w:val="both"/>
      </w:pPr>
      <w:r>
        <w:t xml:space="preserve">The RFC and the parallel POC scope mandate per-tenant certificate authorities and platform-terminated </w:t>
      </w:r>
      <w:proofErr w:type="spellStart"/>
      <w:r>
        <w:t>mTLS</w:t>
      </w:r>
      <w:proofErr w:type="spellEnd"/>
      <w:r>
        <w:t xml:space="preserve"> as the primary authentication primitive. Zscaler's submission is consistent in pointing PKI integration at the adjunct proxies CVS would deploy, not at Zscaler. The Capability Matrix marks the Identity row as "Adjunct/Native" — Zscaler's own classification confirms PKI does not live within Extranet. Per-tenant CA isolation is the explicit primary evaluation challenge for the platforms that did advance to POC; Zscaler did not address it.</w:t>
      </w:r>
    </w:p>
    <w:p w14:paraId="58A65A4B" w14:textId="77777777" w:rsidR="00F04C96" w:rsidRDefault="00000000">
      <w:pPr>
        <w:spacing w:before="280" w:after="100"/>
      </w:pPr>
      <w:r>
        <w:rPr>
          <w:b/>
          <w:bCs/>
          <w:color w:val="8C1D40"/>
          <w:sz w:val="24"/>
          <w:szCs w:val="24"/>
        </w:rPr>
        <w:t>5.3  DNS as a Control Plane Function (D-06)</w:t>
      </w:r>
    </w:p>
    <w:p w14:paraId="00E2C3FF" w14:textId="77777777" w:rsidR="00F04C96" w:rsidRDefault="00000000">
      <w:pPr>
        <w:spacing w:before="80" w:after="80" w:line="300" w:lineRule="auto"/>
        <w:jc w:val="both"/>
      </w:pPr>
      <w:r>
        <w:t xml:space="preserve">The RFC defines per-tenant DNS rewriting and split-horizon resolution as a platform-resident control — the mechanism that enables FQDN-based service abstraction and prevents internal address disclosure (RFC §3, §4 Core Components, Operational Expectations). Zscaler's response describes a model where partner DNS traffic is sent over the tunnel to a </w:t>
      </w:r>
      <w:proofErr w:type="spellStart"/>
      <w:r>
        <w:t>CoreDNS</w:t>
      </w:r>
      <w:proofErr w:type="spellEnd"/>
      <w:r>
        <w:t>, BIND, or Unbound resolver that CVS deploys. Functionally workable, but the platform is not the resolver. The RFC requires it to be.</w:t>
      </w:r>
    </w:p>
    <w:p w14:paraId="1685AB76" w14:textId="77777777" w:rsidR="00F04C96" w:rsidRDefault="00000000">
      <w:pPr>
        <w:pBdr>
          <w:bottom w:val="single" w:sz="12" w:space="6" w:color="8C1D40"/>
        </w:pBdr>
        <w:spacing w:before="360" w:after="160"/>
      </w:pPr>
      <w:r>
        <w:rPr>
          <w:b/>
          <w:bCs/>
          <w:sz w:val="32"/>
          <w:szCs w:val="32"/>
        </w:rPr>
        <w:t>6. Areas Where Zscaler's Submission Holds Up</w:t>
      </w:r>
    </w:p>
    <w:p w14:paraId="210F8C96" w14:textId="77777777" w:rsidR="00F04C96" w:rsidRDefault="00000000">
      <w:pPr>
        <w:spacing w:before="80" w:after="80" w:line="300" w:lineRule="auto"/>
        <w:jc w:val="both"/>
      </w:pPr>
      <w:r>
        <w:t>A fair evaluation records what worked. Three observations:</w:t>
      </w:r>
    </w:p>
    <w:p w14:paraId="6C9116BE" w14:textId="77777777" w:rsidR="00F04C96" w:rsidRDefault="00000000">
      <w:pPr>
        <w:pStyle w:val="ListParagraph"/>
        <w:numPr>
          <w:ilvl w:val="0"/>
          <w:numId w:val="1"/>
        </w:numPr>
        <w:spacing w:before="40" w:after="40" w:line="280" w:lineRule="auto"/>
      </w:pPr>
      <w:r>
        <w:rPr>
          <w:b/>
          <w:bCs/>
        </w:rPr>
        <w:t xml:space="preserve">IPsec transport and the default-deny landing construct are squarely on target. </w:t>
      </w:r>
      <w:r>
        <w:t>Zscaler Extranet does what Zscaler is built to do, and it does it well. This is the one MET row.</w:t>
      </w:r>
    </w:p>
    <w:p w14:paraId="15225AB8" w14:textId="77777777" w:rsidR="00F04C96" w:rsidRDefault="00000000">
      <w:pPr>
        <w:pStyle w:val="ListParagraph"/>
        <w:numPr>
          <w:ilvl w:val="0"/>
          <w:numId w:val="1"/>
        </w:numPr>
        <w:spacing w:before="40" w:after="40" w:line="280" w:lineRule="auto"/>
      </w:pPr>
      <w:r>
        <w:rPr>
          <w:b/>
          <w:bCs/>
        </w:rPr>
        <w:t xml:space="preserve">Operational continuity with the existing ZIA and ZPA footprint is real. </w:t>
      </w:r>
      <w:r>
        <w:t>For the operational team that already runs Zscaler at CVS, the learning curve on Extranet would be modest. That value is acknowledged but does not move the architectural needle on a different problem.</w:t>
      </w:r>
    </w:p>
    <w:p w14:paraId="61FEFF10" w14:textId="77777777" w:rsidR="00F04C96" w:rsidRDefault="00000000">
      <w:pPr>
        <w:pStyle w:val="ListParagraph"/>
        <w:numPr>
          <w:ilvl w:val="0"/>
          <w:numId w:val="1"/>
        </w:numPr>
        <w:spacing w:before="40" w:after="40" w:line="280" w:lineRule="auto"/>
      </w:pPr>
      <w:r>
        <w:rPr>
          <w:b/>
          <w:bCs/>
        </w:rPr>
        <w:t xml:space="preserve">The submission is internally consistent. </w:t>
      </w:r>
      <w:r>
        <w:t>Zscaler does not over-claim native capability where it does not have it. The Capability Matrix correctly classifies DNS rewriting, automation, and PKI lifecycle as Adjunct in its own response. That honesty is what makes the disposition straightforward to record.</w:t>
      </w:r>
    </w:p>
    <w:p w14:paraId="0E8BE7D3" w14:textId="77777777" w:rsidR="00F04C96" w:rsidRDefault="00000000">
      <w:pPr>
        <w:pBdr>
          <w:bottom w:val="single" w:sz="12" w:space="6" w:color="8C1D40"/>
        </w:pBdr>
        <w:spacing w:before="360" w:after="160"/>
      </w:pPr>
      <w:r>
        <w:rPr>
          <w:b/>
          <w:bCs/>
          <w:sz w:val="32"/>
          <w:szCs w:val="32"/>
        </w:rPr>
        <w:t>7. Determination</w:t>
      </w:r>
    </w:p>
    <w:p w14:paraId="2849496B" w14:textId="77777777" w:rsidR="00F04C96" w:rsidRDefault="00000000">
      <w:pPr>
        <w:spacing w:before="80" w:after="80" w:line="300" w:lineRule="auto"/>
        <w:jc w:val="both"/>
      </w:pPr>
      <w:r>
        <w:t>Zscaler does not advance to the 3PLZ Proof of Concept phase. Of 14 RFP-stated deliverables, the submission meets one natively, partially meets four through delegation to ServiceNow, Presidio, or downstream proxies, and does not meet the remaining nine. The three structural misses — application-layer mediation, per-tenant PKI ownership, and platform-resident DNS — are central to what the 3PLZ-RFC defines as the platform itself. They cannot be closed by integrator scope without redefining the program.</w:t>
      </w:r>
    </w:p>
    <w:p w14:paraId="1E925774" w14:textId="77777777" w:rsidR="00F04C96" w:rsidRDefault="00000000">
      <w:pPr>
        <w:spacing w:before="80" w:after="80" w:line="300" w:lineRule="auto"/>
        <w:jc w:val="both"/>
      </w:pPr>
      <w:r>
        <w:lastRenderedPageBreak/>
        <w:t>This determination is grounded in the published RFP requirements and in Zscaler's own response language. It is not a comment on Zscaler's product quality, the strength of its partnership with Presidio, or its broader fit at CVS Health. Those evaluations sit elsewhere and are not in scope for this memo.</w:t>
      </w:r>
    </w:p>
    <w:p w14:paraId="6F31BEDA" w14:textId="77777777" w:rsidR="00F04C96" w:rsidRDefault="00000000">
      <w:pPr>
        <w:pBdr>
          <w:bottom w:val="single" w:sz="12" w:space="6" w:color="8C1D40"/>
        </w:pBdr>
        <w:spacing w:before="360" w:after="160"/>
      </w:pPr>
      <w:r>
        <w:rPr>
          <w:b/>
          <w:bCs/>
          <w:sz w:val="32"/>
          <w:szCs w:val="32"/>
        </w:rPr>
        <w:t>8. Source Material</w:t>
      </w:r>
    </w:p>
    <w:p w14:paraId="6273967F" w14:textId="77777777" w:rsidR="00F04C96" w:rsidRDefault="00000000">
      <w:pPr>
        <w:pStyle w:val="ListParagraph"/>
        <w:numPr>
          <w:ilvl w:val="0"/>
          <w:numId w:val="1"/>
        </w:numPr>
        <w:spacing w:before="40" w:after="40" w:line="280" w:lineRule="auto"/>
      </w:pPr>
      <w:r>
        <w:t>3PLZ-RFC_Final-draft_v5 — Request for Proposal v2.0 (October 31, 2025)</w:t>
      </w:r>
    </w:p>
    <w:p w14:paraId="07617629" w14:textId="77777777" w:rsidR="00F04C96" w:rsidRDefault="00000000">
      <w:pPr>
        <w:pStyle w:val="ListParagraph"/>
        <w:numPr>
          <w:ilvl w:val="0"/>
          <w:numId w:val="1"/>
        </w:numPr>
        <w:spacing w:before="40" w:after="40" w:line="280" w:lineRule="auto"/>
      </w:pPr>
      <w:r>
        <w:t>Zscaler 3PLZ Vendor-Agnostic Feature Matrix — Executive Summary and Capability Matrix + Answers</w:t>
      </w:r>
    </w:p>
    <w:p w14:paraId="40FEA536" w14:textId="77777777" w:rsidR="00F04C96" w:rsidRDefault="00000000">
      <w:pPr>
        <w:pStyle w:val="ListParagraph"/>
        <w:numPr>
          <w:ilvl w:val="0"/>
          <w:numId w:val="1"/>
        </w:numPr>
        <w:spacing w:before="40" w:after="40" w:line="280" w:lineRule="auto"/>
      </w:pPr>
      <w:r>
        <w:t>Zscaler 3PLZ Proposal — Sales Cover and Quote Q-741114, dated 02/06/26</w:t>
      </w:r>
    </w:p>
    <w:p w14:paraId="0414E9CE" w14:textId="77777777" w:rsidR="00F04C96" w:rsidRDefault="00000000">
      <w:pPr>
        <w:pStyle w:val="ListParagraph"/>
        <w:numPr>
          <w:ilvl w:val="0"/>
          <w:numId w:val="1"/>
        </w:numPr>
        <w:spacing w:before="40" w:after="40" w:line="280" w:lineRule="auto"/>
      </w:pPr>
      <w:r>
        <w:t>3PLZ Executive Abstract — Platform Evaluation, Architectural Findings, and Zscaler Disposition (program-level companion memo)</w:t>
      </w:r>
    </w:p>
    <w:p w14:paraId="315A2781" w14:textId="77777777" w:rsidR="00F04C96" w:rsidRDefault="00000000">
      <w:pPr>
        <w:pStyle w:val="ListParagraph"/>
        <w:numPr>
          <w:ilvl w:val="0"/>
          <w:numId w:val="1"/>
        </w:numPr>
        <w:spacing w:before="40" w:after="40" w:line="280" w:lineRule="auto"/>
      </w:pPr>
      <w:r>
        <w:t>Cloudflare and F5 Distributed Cloud POC Deliverables, Rev 3 — for parallel acceptance criteria reference</w:t>
      </w:r>
    </w:p>
    <w:p w14:paraId="6AAA4505" w14:textId="77777777" w:rsidR="00F04C96" w:rsidRDefault="00F04C96">
      <w:pPr>
        <w:spacing w:before="60" w:after="60"/>
      </w:pPr>
    </w:p>
    <w:p w14:paraId="2126C3C2" w14:textId="77777777" w:rsidR="00F04C96" w:rsidRDefault="00000000">
      <w:pPr>
        <w:pBdr>
          <w:top w:val="single" w:sz="6" w:space="6" w:color="D0D7DE"/>
        </w:pBdr>
        <w:spacing w:before="240"/>
      </w:pPr>
      <w:r>
        <w:rPr>
          <w:i/>
          <w:iCs/>
          <w:color w:val="57606A"/>
          <w:sz w:val="18"/>
          <w:szCs w:val="18"/>
        </w:rPr>
        <w:t>— End of Memo —</w:t>
      </w:r>
    </w:p>
    <w:sectPr w:rsidR="00F04C96">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FC8D" w14:textId="77777777" w:rsidR="006B7540" w:rsidRDefault="006B7540">
      <w:r>
        <w:separator/>
      </w:r>
    </w:p>
  </w:endnote>
  <w:endnote w:type="continuationSeparator" w:id="0">
    <w:p w14:paraId="62C0045A" w14:textId="77777777" w:rsidR="006B7540" w:rsidRDefault="006B7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DD62" w14:textId="77777777" w:rsidR="00F04C96" w:rsidRDefault="00000000">
    <w:pPr>
      <w:jc w:val="center"/>
    </w:pPr>
    <w:r>
      <w:rPr>
        <w:color w:val="57606A"/>
        <w:sz w:val="16"/>
        <w:szCs w:val="16"/>
      </w:rPr>
      <w:t xml:space="preserve">Page </w:t>
    </w:r>
    <w:r>
      <w:rPr>
        <w:color w:val="57606A"/>
        <w:sz w:val="16"/>
        <w:szCs w:val="16"/>
      </w:rPr>
      <w:fldChar w:fldCharType="begin"/>
    </w:r>
    <w:r>
      <w:rPr>
        <w:color w:val="57606A"/>
        <w:sz w:val="16"/>
        <w:szCs w:val="16"/>
      </w:rPr>
      <w:instrText>PAGE</w:instrText>
    </w:r>
    <w:r>
      <w:rPr>
        <w:color w:val="57606A"/>
        <w:sz w:val="16"/>
        <w:szCs w:val="16"/>
      </w:rPr>
      <w:fldChar w:fldCharType="separate"/>
    </w:r>
    <w:r w:rsidR="000B1005">
      <w:rPr>
        <w:noProof/>
        <w:color w:val="57606A"/>
        <w:sz w:val="16"/>
        <w:szCs w:val="16"/>
      </w:rPr>
      <w:t>1</w:t>
    </w:r>
    <w:r>
      <w:rPr>
        <w:color w:val="57606A"/>
        <w:sz w:val="16"/>
        <w:szCs w:val="16"/>
      </w:rPr>
      <w:fldChar w:fldCharType="end"/>
    </w:r>
    <w:r>
      <w:rPr>
        <w:color w:val="57606A"/>
        <w:sz w:val="16"/>
        <w:szCs w:val="16"/>
      </w:rPr>
      <w:t xml:space="preserve"> of </w:t>
    </w:r>
    <w:r>
      <w:rPr>
        <w:color w:val="57606A"/>
        <w:sz w:val="16"/>
        <w:szCs w:val="16"/>
      </w:rPr>
      <w:fldChar w:fldCharType="begin"/>
    </w:r>
    <w:r>
      <w:rPr>
        <w:color w:val="57606A"/>
        <w:sz w:val="16"/>
        <w:szCs w:val="16"/>
      </w:rPr>
      <w:instrText>NUMPAGES</w:instrText>
    </w:r>
    <w:r>
      <w:rPr>
        <w:color w:val="57606A"/>
        <w:sz w:val="16"/>
        <w:szCs w:val="16"/>
      </w:rPr>
      <w:fldChar w:fldCharType="separate"/>
    </w:r>
    <w:r w:rsidR="000B1005">
      <w:rPr>
        <w:noProof/>
        <w:color w:val="57606A"/>
        <w:sz w:val="16"/>
        <w:szCs w:val="16"/>
      </w:rPr>
      <w:t>2</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1D520" w14:textId="77777777" w:rsidR="006B7540" w:rsidRDefault="006B7540">
      <w:r>
        <w:separator/>
      </w:r>
    </w:p>
  </w:footnote>
  <w:footnote w:type="continuationSeparator" w:id="0">
    <w:p w14:paraId="7235BB09" w14:textId="77777777" w:rsidR="006B7540" w:rsidRDefault="006B7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84A3" w14:textId="77777777" w:rsidR="00F04C96" w:rsidRDefault="00000000">
    <w:pPr>
      <w:jc w:val="right"/>
    </w:pPr>
    <w:r>
      <w:rPr>
        <w:color w:val="57606A"/>
        <w:sz w:val="16"/>
        <w:szCs w:val="16"/>
      </w:rPr>
      <w:t>CVS Health  |  3PLZ Program  |  Confidential — Restricted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6EF"/>
    <w:multiLevelType w:val="hybridMultilevel"/>
    <w:tmpl w:val="40F4368E"/>
    <w:lvl w:ilvl="0" w:tplc="69BAA560">
      <w:start w:val="1"/>
      <w:numFmt w:val="bullet"/>
      <w:lvlText w:val="●"/>
      <w:lvlJc w:val="left"/>
      <w:pPr>
        <w:ind w:left="720" w:hanging="360"/>
      </w:pPr>
    </w:lvl>
    <w:lvl w:ilvl="1" w:tplc="D652BAA8">
      <w:start w:val="1"/>
      <w:numFmt w:val="bullet"/>
      <w:lvlText w:val="○"/>
      <w:lvlJc w:val="left"/>
      <w:pPr>
        <w:ind w:left="1440" w:hanging="360"/>
      </w:pPr>
    </w:lvl>
    <w:lvl w:ilvl="2" w:tplc="38A22768">
      <w:start w:val="1"/>
      <w:numFmt w:val="bullet"/>
      <w:lvlText w:val="■"/>
      <w:lvlJc w:val="left"/>
      <w:pPr>
        <w:ind w:left="2160" w:hanging="360"/>
      </w:pPr>
    </w:lvl>
    <w:lvl w:ilvl="3" w:tplc="030A0ADC">
      <w:start w:val="1"/>
      <w:numFmt w:val="bullet"/>
      <w:lvlText w:val="●"/>
      <w:lvlJc w:val="left"/>
      <w:pPr>
        <w:ind w:left="2880" w:hanging="360"/>
      </w:pPr>
    </w:lvl>
    <w:lvl w:ilvl="4" w:tplc="E84E9438">
      <w:start w:val="1"/>
      <w:numFmt w:val="bullet"/>
      <w:lvlText w:val="○"/>
      <w:lvlJc w:val="left"/>
      <w:pPr>
        <w:ind w:left="3600" w:hanging="360"/>
      </w:pPr>
    </w:lvl>
    <w:lvl w:ilvl="5" w:tplc="CF929B60">
      <w:start w:val="1"/>
      <w:numFmt w:val="bullet"/>
      <w:lvlText w:val="■"/>
      <w:lvlJc w:val="left"/>
      <w:pPr>
        <w:ind w:left="4320" w:hanging="360"/>
      </w:pPr>
    </w:lvl>
    <w:lvl w:ilvl="6" w:tplc="2AF8BBA0">
      <w:start w:val="1"/>
      <w:numFmt w:val="bullet"/>
      <w:lvlText w:val="●"/>
      <w:lvlJc w:val="left"/>
      <w:pPr>
        <w:ind w:left="5040" w:hanging="360"/>
      </w:pPr>
    </w:lvl>
    <w:lvl w:ilvl="7" w:tplc="62CEF05C">
      <w:start w:val="1"/>
      <w:numFmt w:val="bullet"/>
      <w:lvlText w:val="●"/>
      <w:lvlJc w:val="left"/>
      <w:pPr>
        <w:ind w:left="5760" w:hanging="360"/>
      </w:pPr>
    </w:lvl>
    <w:lvl w:ilvl="8" w:tplc="91D66B18">
      <w:start w:val="1"/>
      <w:numFmt w:val="bullet"/>
      <w:lvlText w:val="●"/>
      <w:lvlJc w:val="left"/>
      <w:pPr>
        <w:ind w:left="6480" w:hanging="360"/>
      </w:pPr>
    </w:lvl>
  </w:abstractNum>
  <w:num w:numId="1" w16cid:durableId="1266427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C96"/>
    <w:rsid w:val="000942F2"/>
    <w:rsid w:val="000B1005"/>
    <w:rsid w:val="002F24A4"/>
    <w:rsid w:val="006B7540"/>
    <w:rsid w:val="00F0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8D9796"/>
  <w15:docId w15:val="{F2E48C84-0452-B441-9015-248F146A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2430</Words>
  <Characters>14656</Characters>
  <Application>Microsoft Office Word</Application>
  <DocSecurity>0</DocSecurity>
  <Lines>488</Lines>
  <Paragraphs>152</Paragraphs>
  <ScaleCrop>false</ScaleCrop>
  <HeadingPairs>
    <vt:vector size="2" baseType="variant">
      <vt:variant>
        <vt:lpstr>Title</vt:lpstr>
      </vt:variant>
      <vt:variant>
        <vt:i4>1</vt:i4>
      </vt:variant>
    </vt:vector>
  </HeadingPairs>
  <TitlesOfParts>
    <vt:vector size="1" baseType="lpstr">
      <vt:lpstr>Zscaler 3PLZ RFP Response — Disposition Against Stated Deliverables</vt:lpstr>
    </vt:vector>
  </TitlesOfParts>
  <Company/>
  <LinksUpToDate>false</LinksUpToDate>
  <CharactersWithSpaces>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Zscaler 3PLZ RFP Response — Disposition Against Stated Deliverables</dc:title>
  <dc:creator>CVS Health 3PLZ Program</dc:creator>
  <dc:description>Deliverable-by-deliverable mapping of the Zscaler RFP response against the 3PLZ-RFC requirements.</dc:description>
  <cp:lastModifiedBy>Sam Martin</cp:lastModifiedBy>
  <cp:revision>2</cp:revision>
  <dcterms:created xsi:type="dcterms:W3CDTF">2026-04-29T21:27:00Z</dcterms:created>
  <dcterms:modified xsi:type="dcterms:W3CDTF">2026-04-29T21:27:00Z</dcterms:modified>
</cp:coreProperties>
</file>