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rFonts w:ascii="Calibri" w:cs="Calibri" w:eastAsia="Calibri" w:hAnsi="Calibri"/>
          <w:b/>
          <w:bCs/>
          <w:i w:val="false"/>
          <w:iCs w:val="false"/>
          <w:caps/>
          <w:color w:val="8C1D40"/>
          <w:sz w:val="18"/>
          <w:szCs w:val="18"/>
        </w:rPr>
        <w:t xml:space="preserve">CVS HEALTH  |  THIRD-PARTY LANDING ZONE (3PLZ)</w:t>
      </w:r>
    </w:p>
    <w:p>
      <w:pPr>
        <w:pBdr>
          <w:bottom w:val="single" w:color="8C1D40" w:sz="18" w:space="4"/>
        </w:pBdr>
        <w:spacing w:after="200" w:before="0"/>
      </w:pPr>
      <w:r>
        <w:rPr>
          <w:rFonts w:ascii="Calibri" w:cs="Calibri" w:eastAsia="Calibri" w:hAnsi="Calibri"/>
          <w:b/>
          <w:bCs/>
          <w:i w:val="false"/>
          <w:iCs w:val="false"/>
          <w:color w:val="1F2328"/>
          <w:sz w:val="36"/>
          <w:szCs w:val="36"/>
        </w:rPr>
        <w:t xml:space="preserve">Zscaler RFP Response — Disposition Against Stated Deliverables</w:t>
      </w:r>
    </w:p>
    <w:p>
      <w:pPr>
        <w:spacing w:after="40" w:before="80" w:line="300"/>
        <w:jc w:val="left"/>
      </w:pPr>
      <w:r>
        <w:rPr>
          <w:rFonts w:ascii="Calibri" w:cs="Calibri" w:eastAsia="Calibri" w:hAnsi="Calibri"/>
          <w:b/>
          <w:bCs/>
          <w:i w:val="false"/>
          <w:iCs w:val="false"/>
          <w:color w:val="1F2328"/>
          <w:sz w:val="20"/>
          <w:szCs w:val="20"/>
        </w:rPr>
        <w:t xml:space="preserve">Document Type: </w:t>
      </w:r>
      <w:r>
        <w:rPr>
          <w:rFonts w:ascii="Calibri" w:cs="Calibri" w:eastAsia="Calibri" w:hAnsi="Calibri"/>
          <w:b w:val="false"/>
          <w:bCs w:val="false"/>
          <w:i w:val="false"/>
          <w:iCs w:val="false"/>
          <w:color w:val="1F2328"/>
          <w:sz w:val="20"/>
          <w:szCs w:val="20"/>
        </w:rPr>
        <w:t xml:space="preserve">RFP Evaluation Memo</w:t>
      </w:r>
    </w:p>
    <w:p>
      <w:pPr>
        <w:spacing w:after="40" w:before="80" w:line="300"/>
        <w:jc w:val="left"/>
      </w:pPr>
      <w:r>
        <w:rPr>
          <w:rFonts w:ascii="Calibri" w:cs="Calibri" w:eastAsia="Calibri" w:hAnsi="Calibri"/>
          <w:b/>
          <w:bCs/>
          <w:i w:val="false"/>
          <w:iCs w:val="false"/>
          <w:color w:val="1F2328"/>
          <w:sz w:val="20"/>
          <w:szCs w:val="20"/>
        </w:rPr>
        <w:t xml:space="preserve">Program: </w:t>
      </w:r>
      <w:r>
        <w:rPr>
          <w:rFonts w:ascii="Calibri" w:cs="Calibri" w:eastAsia="Calibri" w:hAnsi="Calibri"/>
          <w:b w:val="false"/>
          <w:bCs w:val="false"/>
          <w:i w:val="false"/>
          <w:iCs w:val="false"/>
          <w:color w:val="1F2328"/>
          <w:sz w:val="20"/>
          <w:szCs w:val="20"/>
        </w:rPr>
        <w:t xml:space="preserve">CVS Health — Third-Party Landing Zone (3PLZ)</w:t>
      </w:r>
    </w:p>
    <w:p>
      <w:pPr>
        <w:spacing w:after="40" w:before="80" w:line="300"/>
        <w:jc w:val="left"/>
      </w:pPr>
      <w:r>
        <w:rPr>
          <w:rFonts w:ascii="Calibri" w:cs="Calibri" w:eastAsia="Calibri" w:hAnsi="Calibri"/>
          <w:b/>
          <w:bCs/>
          <w:i w:val="false"/>
          <w:iCs w:val="false"/>
          <w:color w:val="1F2328"/>
          <w:sz w:val="20"/>
          <w:szCs w:val="20"/>
        </w:rPr>
        <w:t xml:space="preserve">Subject Vendor: </w:t>
      </w:r>
      <w:r>
        <w:rPr>
          <w:rFonts w:ascii="Calibri" w:cs="Calibri" w:eastAsia="Calibri" w:hAnsi="Calibri"/>
          <w:b w:val="false"/>
          <w:bCs w:val="false"/>
          <w:i w:val="false"/>
          <w:iCs w:val="false"/>
          <w:color w:val="1F2328"/>
          <w:sz w:val="20"/>
          <w:szCs w:val="20"/>
        </w:rPr>
        <w:t xml:space="preserve">Zscaler  |  Quote Q-741114  |  Strategic Partner: Presidio Networked Solutions</w:t>
      </w:r>
    </w:p>
    <w:p>
      <w:pPr>
        <w:spacing w:after="40" w:before="80" w:line="300"/>
        <w:jc w:val="left"/>
      </w:pPr>
      <w:r>
        <w:rPr>
          <w:rFonts w:ascii="Calibri" w:cs="Calibri" w:eastAsia="Calibri" w:hAnsi="Calibri"/>
          <w:b/>
          <w:bCs/>
          <w:i w:val="false"/>
          <w:iCs w:val="false"/>
          <w:color w:val="1F2328"/>
          <w:sz w:val="20"/>
          <w:szCs w:val="20"/>
        </w:rPr>
        <w:t xml:space="preserve">RFP Reference: </w:t>
      </w:r>
      <w:r>
        <w:rPr>
          <w:rFonts w:ascii="Calibri" w:cs="Calibri" w:eastAsia="Calibri" w:hAnsi="Calibri"/>
          <w:b w:val="false"/>
          <w:bCs w:val="false"/>
          <w:i w:val="false"/>
          <w:iCs w:val="false"/>
          <w:color w:val="1F2328"/>
          <w:sz w:val="20"/>
          <w:szCs w:val="20"/>
        </w:rPr>
        <w:t xml:space="preserve">3PLZ-RFC Final Draft v2.0, dated October 31, 2025</w:t>
      </w:r>
    </w:p>
    <w:p>
      <w:pPr>
        <w:spacing w:after="200" w:before="80" w:line="300"/>
        <w:jc w:val="left"/>
      </w:pPr>
      <w:r>
        <w:rPr>
          <w:rFonts w:ascii="Calibri" w:cs="Calibri" w:eastAsia="Calibri" w:hAnsi="Calibri"/>
          <w:b/>
          <w:bCs/>
          <w:i w:val="false"/>
          <w:iCs w:val="false"/>
          <w:color w:val="1F2328"/>
          <w:sz w:val="20"/>
          <w:szCs w:val="20"/>
        </w:rPr>
        <w:t xml:space="preserve">Determination: </w:t>
      </w:r>
      <w:r>
        <w:rPr>
          <w:rFonts w:ascii="Calibri" w:cs="Calibri" w:eastAsia="Calibri" w:hAnsi="Calibri"/>
          <w:b/>
          <w:bCs/>
          <w:i w:val="false"/>
          <w:iCs w:val="false"/>
          <w:color w:val="8C1D40"/>
          <w:sz w:val="20"/>
          <w:szCs w:val="20"/>
        </w:rPr>
        <w:t xml:space="preserve">Zscaler does not advance to the 3PLZ Proof of Concept.</w:t>
      </w:r>
    </w:p>
    <w:p>
      <w:pPr>
        <w:pBdr>
          <w:bottom w:val="single" w:color="8C1D40" w:sz="12" w:space="6"/>
        </w:pBdr>
        <w:spacing w:after="160" w:before="360"/>
      </w:pPr>
      <w:r>
        <w:rPr>
          <w:rFonts w:ascii="Calibri" w:cs="Calibri" w:eastAsia="Calibri" w:hAnsi="Calibri"/>
          <w:b/>
          <w:bCs/>
          <w:i w:val="false"/>
          <w:iCs w:val="false"/>
          <w:color w:val="1F2328"/>
          <w:sz w:val="32"/>
          <w:szCs w:val="32"/>
        </w:rPr>
        <w:t xml:space="preserve">1. Purpose and Scope</w:t>
      </w:r>
    </w:p>
    <w:p>
      <w:pPr>
        <w:spacing w:after="80" w:before="80" w:line="300"/>
        <w:jc w:val="both"/>
      </w:pPr>
      <w:r>
        <w:rPr>
          <w:rFonts w:ascii="Calibri" w:cs="Calibri" w:eastAsia="Calibri" w:hAnsi="Calibri"/>
          <w:b w:val="false"/>
          <w:bCs w:val="false"/>
          <w:i w:val="false"/>
          <w:iCs w:val="false"/>
          <w:color w:val="1F2328"/>
          <w:sz w:val="20"/>
          <w:szCs w:val="20"/>
        </w:rPr>
        <w:t xml:space="preserve">This memo records the disposition of the Zscaler RFP response against the deliverables stated in the 3PLZ Request for Proposal (3PLZ-RFC Final Draft v2.0). It is a deliverable-by-deliverable evaluation. Each row identifies a specific capability or artifact the RFP required, the location of that requirement in the source document, and whether the Zscaler submission delivered it, partially delivered it, or did not deliver it.</w:t>
      </w:r>
    </w:p>
    <w:p>
      <w:pPr>
        <w:spacing w:after="80" w:before="80" w:line="300"/>
        <w:jc w:val="both"/>
      </w:pPr>
      <w:r>
        <w:rPr>
          <w:rFonts w:ascii="Calibri" w:cs="Calibri" w:eastAsia="Calibri" w:hAnsi="Calibri"/>
          <w:b w:val="false"/>
          <w:bCs w:val="false"/>
          <w:i w:val="false"/>
          <w:iCs w:val="false"/>
          <w:color w:val="1F2328"/>
          <w:sz w:val="20"/>
          <w:szCs w:val="20"/>
        </w:rPr>
        <w:t xml:space="preserve">The evaluation is intentionally narrow. It addresses architectural fit against the published 3PLZ requirements only. It does not assess Zscaler's broader product portfolio, employee ZTNA, Internet access security, or its existing operational footprint at CVS Health. Zscaler is a strong platform for the use cases for which it was engineered. This memo concerns whether it is the right platform for the 3PLZ control plane — and the conclusion, on the evidence of the submission itself, is that it is not.</w:t>
      </w:r>
    </w:p>
    <w:p>
      <w:pPr>
        <w:pBdr>
          <w:bottom w:val="single" w:color="8C1D40" w:sz="12" w:space="6"/>
        </w:pBdr>
        <w:spacing w:after="160" w:before="360"/>
      </w:pPr>
      <w:r>
        <w:rPr>
          <w:rFonts w:ascii="Calibri" w:cs="Calibri" w:eastAsia="Calibri" w:hAnsi="Calibri"/>
          <w:b/>
          <w:bCs/>
          <w:i w:val="false"/>
          <w:iCs w:val="false"/>
          <w:color w:val="1F2328"/>
          <w:sz w:val="32"/>
          <w:szCs w:val="32"/>
        </w:rPr>
        <w:t xml:space="preserve">2. Submission Reviewed</w:t>
      </w:r>
    </w:p>
    <w:p>
      <w:pPr>
        <w:spacing w:after="80" w:before="80" w:line="300"/>
        <w:jc w:val="both"/>
      </w:pPr>
      <w:r>
        <w:rPr>
          <w:rFonts w:ascii="Calibri" w:cs="Calibri" w:eastAsia="Calibri" w:hAnsi="Calibri"/>
          <w:b w:val="false"/>
          <w:bCs w:val="false"/>
          <w:i w:val="false"/>
          <w:iCs w:val="false"/>
          <w:color w:val="1F2328"/>
          <w:sz w:val="20"/>
          <w:szCs w:val="20"/>
        </w:rPr>
        <w:t xml:space="preserve">The Zscaler 3PLZ submission consists of three artifacts:</w:t>
      </w:r>
    </w:p>
    <w:p>
      <w:pPr>
        <w:pStyle w:val="ListParagraph"/>
        <w:numPr>
          <w:ilvl w:val="0"/>
          <w:numId w:val="1"/>
        </w:numPr>
        <w:spacing w:after="40" w:before="40" w:line="280"/>
      </w:pPr>
      <w:r>
        <w:rPr>
          <w:rFonts w:ascii="Calibri" w:cs="Calibri" w:eastAsia="Calibri" w:hAnsi="Calibri"/>
          <w:b w:val="false"/>
          <w:bCs w:val="false"/>
          <w:i w:val="false"/>
          <w:iCs w:val="false"/>
          <w:color w:val="1F2328"/>
          <w:sz w:val="20"/>
          <w:szCs w:val="20"/>
        </w:rPr>
        <w:t xml:space="preserve">Zscaler 3PLZ Proposal (sales cover, Q-741114), dated 02/06/26</w:t>
      </w:r>
    </w:p>
    <w:p>
      <w:pPr>
        <w:pStyle w:val="ListParagraph"/>
        <w:numPr>
          <w:ilvl w:val="0"/>
          <w:numId w:val="1"/>
        </w:numPr>
        <w:spacing w:after="40" w:before="40" w:line="280"/>
      </w:pPr>
      <w:r>
        <w:rPr>
          <w:rFonts w:ascii="Calibri" w:cs="Calibri" w:eastAsia="Calibri" w:hAnsi="Calibri"/>
          <w:b w:val="false"/>
          <w:bCs w:val="false"/>
          <w:i w:val="false"/>
          <w:iCs w:val="false"/>
          <w:color w:val="1F2328"/>
          <w:sz w:val="20"/>
          <w:szCs w:val="20"/>
        </w:rPr>
        <w:t xml:space="preserve">Zscaler 3PLZ Vendor-Agnostic Feature Matrix (Capability Matrix + Answers, 14 rows; Executive Summary worksheet)</w:t>
      </w:r>
    </w:p>
    <w:p>
      <w:pPr>
        <w:pStyle w:val="ListParagraph"/>
        <w:numPr>
          <w:ilvl w:val="0"/>
          <w:numId w:val="1"/>
        </w:numPr>
        <w:spacing w:after="40" w:before="40" w:line="280"/>
      </w:pPr>
      <w:r>
        <w:rPr>
          <w:rFonts w:ascii="Calibri" w:cs="Calibri" w:eastAsia="Calibri" w:hAnsi="Calibri"/>
          <w:b w:val="false"/>
          <w:bCs w:val="false"/>
          <w:i w:val="false"/>
          <w:iCs w:val="false"/>
          <w:color w:val="1F2328"/>
          <w:sz w:val="20"/>
          <w:szCs w:val="20"/>
        </w:rPr>
        <w:t xml:space="preserve">Pre-negotiated commercial terms: $687,500 annual, $2,062,500 over a 36-month term (6/1/26 – 5/31/29)</w:t>
      </w:r>
    </w:p>
    <w:p>
      <w:pPr>
        <w:spacing w:after="80" w:before="80" w:line="300"/>
        <w:jc w:val="both"/>
      </w:pPr>
      <w:r>
        <w:rPr>
          <w:rFonts w:ascii="Calibri" w:cs="Calibri" w:eastAsia="Calibri" w:hAnsi="Calibri"/>
          <w:b w:val="false"/>
          <w:bCs w:val="false"/>
          <w:i w:val="false"/>
          <w:iCs w:val="false"/>
          <w:color w:val="1F2328"/>
          <w:sz w:val="20"/>
          <w:szCs w:val="20"/>
        </w:rPr>
        <w:t xml:space="preserve">The Executive Summary positions Zscaler Extranet as a partner-termination layer, with three external dependencies acknowledged in the response itself: (1) ServiceNow as the self-service and lifecycle workflow front end, (2) Presidio Networked Solutions as the systems integrator assembling the supporting application proxy stack, and (3) "best-of-breed" per-protocol proxies (API gateway, SSH/SFTP gateway, mTLS reverse proxy) deployed behind Zscaler. These three dependencies are central to the disposition findings that follow.</w:t>
      </w:r>
    </w:p>
    <w:p>
      <w:pPr>
        <w:pBdr>
          <w:bottom w:val="single" w:color="8C1D40" w:sz="12" w:space="6"/>
        </w:pBdr>
        <w:spacing w:after="160" w:before="360"/>
      </w:pPr>
      <w:r>
        <w:rPr>
          <w:rFonts w:ascii="Calibri" w:cs="Calibri" w:eastAsia="Calibri" w:hAnsi="Calibri"/>
          <w:b/>
          <w:bCs/>
          <w:i w:val="false"/>
          <w:iCs w:val="false"/>
          <w:color w:val="1F2328"/>
          <w:sz w:val="32"/>
          <w:szCs w:val="32"/>
        </w:rPr>
        <w:t xml:space="preserve">3. Disposition Summary</w:t>
      </w:r>
    </w:p>
    <w:p>
      <w:pPr>
        <w:spacing w:after="80" w:before="80" w:line="300"/>
        <w:jc w:val="both"/>
      </w:pPr>
      <w:r>
        <w:rPr>
          <w:rFonts w:ascii="Calibri" w:cs="Calibri" w:eastAsia="Calibri" w:hAnsi="Calibri"/>
          <w:b w:val="false"/>
          <w:bCs w:val="false"/>
          <w:i w:val="false"/>
          <w:iCs w:val="false"/>
          <w:color w:val="1F2328"/>
          <w:sz w:val="20"/>
          <w:szCs w:val="20"/>
        </w:rPr>
        <w:t xml:space="preserve">Across the 14 RFP-stated deliverables evaluated, the Zscaler submission produced the following disposition:</w:t>
      </w:r>
    </w:p>
    <w:p>
      <w:r>
        <w:br w:type="page"/>
      </w:r>
    </w:p>
    <w:tbl>
      <w:tblPr>
        <w:tblW w:type="pct" w:w="70%"/>
        <w:tblBorders>
          <w:top w:val="single" w:color="D0D7DE" w:sz="4"/>
          <w:left w:val="single" w:color="D0D7DE" w:sz="4"/>
          <w:bottom w:val="single" w:color="D0D7DE" w:sz="4"/>
          <w:right w:val="single" w:color="D0D7DE" w:sz="4"/>
          <w:insideH w:val="single" w:color="D0D7DE" w:sz="4"/>
          <w:insideV w:val="single" w:color="D0D7DE" w:sz="4"/>
        </w:tblBorders>
      </w:tblPr>
      <w:tblGrid>
        <w:gridCol w:w="100"/>
        <w:gridCol w:w="100"/>
        <w:gridCol w:w="100"/>
      </w:tblGrid>
      <w:tr>
        <w:trPr>
          <w:cantSplit/>
          <w:tblHeader/>
        </w:trPr>
        <w:tc>
          <w:tcPr>
            <w:tcW w:type="pct" w:w="60%"/>
            <w:shd w:fill="F2F2F2" w:color="F2F2F2" w:val="solid"/>
            <w:tcMar>
              <w:top w:type="dxa" w:w="100"/>
              <w:left w:type="dxa" w:w="120"/>
              <w:bottom w:type="dxa" w:w="100"/>
              <w:right w:type="dxa" w:w="120"/>
            </w:tcMar>
            <w:vAlign w:val="top"/>
          </w:tcPr>
          <w:p>
            <w:pPr>
              <w:spacing w:after="20" w:before="20"/>
            </w:pPr>
            <w:r>
              <w:rPr>
                <w:rFonts w:ascii="Calibri" w:cs="Calibri" w:eastAsia="Calibri" w:hAnsi="Calibri"/>
                <w:b/>
                <w:bCs/>
                <w:i w:val="false"/>
                <w:iCs w:val="false"/>
                <w:caps/>
                <w:color w:val="1F2328"/>
                <w:sz w:val="18"/>
                <w:szCs w:val="18"/>
              </w:rPr>
              <w:t xml:space="preserve">Disposition</w:t>
            </w:r>
          </w:p>
        </w:tc>
        <w:tc>
          <w:tcPr>
            <w:tcW w:type="pct" w:w="20%"/>
            <w:shd w:fill="F2F2F2" w:color="F2F2F2" w:val="solid"/>
            <w:tcMar>
              <w:top w:type="dxa" w:w="100"/>
              <w:left w:type="dxa" w:w="120"/>
              <w:bottom w:type="dxa" w:w="100"/>
              <w:right w:type="dxa" w:w="120"/>
            </w:tcMar>
            <w:vAlign w:val="top"/>
          </w:tcPr>
          <w:p>
            <w:pPr>
              <w:spacing w:after="20" w:before="20"/>
            </w:pPr>
            <w:r>
              <w:rPr>
                <w:rFonts w:ascii="Calibri" w:cs="Calibri" w:eastAsia="Calibri" w:hAnsi="Calibri"/>
                <w:b/>
                <w:bCs/>
                <w:i w:val="false"/>
                <w:iCs w:val="false"/>
                <w:caps/>
                <w:color w:val="1F2328"/>
                <w:sz w:val="18"/>
                <w:szCs w:val="18"/>
              </w:rPr>
              <w:t xml:space="preserve">Count</w:t>
            </w:r>
          </w:p>
        </w:tc>
        <w:tc>
          <w:tcPr>
            <w:tcW w:type="pct" w:w="20%"/>
            <w:shd w:fill="F2F2F2" w:color="F2F2F2" w:val="solid"/>
            <w:tcMar>
              <w:top w:type="dxa" w:w="100"/>
              <w:left w:type="dxa" w:w="120"/>
              <w:bottom w:type="dxa" w:w="100"/>
              <w:right w:type="dxa" w:w="120"/>
            </w:tcMar>
            <w:vAlign w:val="top"/>
          </w:tcPr>
          <w:p>
            <w:pPr>
              <w:spacing w:after="20" w:before="20"/>
            </w:pPr>
            <w:r>
              <w:rPr>
                <w:rFonts w:ascii="Calibri" w:cs="Calibri" w:eastAsia="Calibri" w:hAnsi="Calibri"/>
                <w:b/>
                <w:bCs/>
                <w:i w:val="false"/>
                <w:iCs w:val="false"/>
                <w:caps/>
                <w:color w:val="1F2328"/>
                <w:sz w:val="18"/>
                <w:szCs w:val="18"/>
              </w:rPr>
              <w:t xml:space="preserve">Share</w:t>
            </w:r>
          </w:p>
        </w:tc>
      </w:tr>
      <w:tr>
        <w:trPr>
          <w:cantSplit/>
        </w:trPr>
        <w:tc>
          <w:tcPr>
            <w:tcW w:type="pct" w:w="60%"/>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8C1D40"/>
                <w:sz w:val="18"/>
                <w:szCs w:val="18"/>
              </w:rPr>
              <w:t xml:space="preserve">Does not meet (Miss)</w:t>
            </w:r>
          </w:p>
        </w:tc>
        <w:tc>
          <w:tcPr>
            <w:tcW w:type="pct" w:w="20%"/>
            <w:tcMar>
              <w:top w:type="dxa" w:w="100"/>
              <w:left w:type="dxa" w:w="120"/>
              <w:bottom w:type="dxa" w:w="100"/>
              <w:right w:type="dxa" w:w="120"/>
            </w:tcMar>
            <w:vAlign w:val="top"/>
          </w:tcPr>
          <w:p>
            <w:pPr>
              <w:jc w:val="center"/>
            </w:pPr>
            <w:r>
              <w:rPr>
                <w:rFonts w:ascii="Calibri" w:cs="Calibri" w:eastAsia="Calibri" w:hAnsi="Calibri"/>
                <w:b/>
                <w:bCs/>
                <w:i w:val="false"/>
                <w:iCs w:val="false"/>
                <w:color w:val="8C1D40"/>
                <w:sz w:val="24"/>
                <w:szCs w:val="24"/>
              </w:rPr>
              <w:t xml:space="preserve">9</w:t>
            </w:r>
          </w:p>
        </w:tc>
        <w:tc>
          <w:tcPr>
            <w:tcW w:type="pct" w:w="20%"/>
            <w:tcMar>
              <w:top w:type="dxa" w:w="100"/>
              <w:left w:type="dxa" w:w="120"/>
              <w:bottom w:type="dxa" w:w="100"/>
              <w:right w:type="dxa" w:w="120"/>
            </w:tcMar>
            <w:vAlign w:val="top"/>
          </w:tcPr>
          <w:p>
            <w:pPr>
              <w:jc w:val="right"/>
            </w:pPr>
            <w:r>
              <w:rPr>
                <w:rFonts w:ascii="Calibri" w:cs="Calibri" w:eastAsia="Calibri" w:hAnsi="Calibri"/>
                <w:b w:val="false"/>
                <w:bCs w:val="false"/>
                <w:i w:val="false"/>
                <w:iCs w:val="false"/>
                <w:color w:val="8C1D40"/>
                <w:sz w:val="20"/>
                <w:szCs w:val="20"/>
              </w:rPr>
              <w:t xml:space="preserve">64%</w:t>
            </w:r>
          </w:p>
        </w:tc>
      </w:tr>
      <w:tr>
        <w:trPr>
          <w:cantSplit/>
        </w:trPr>
        <w:tc>
          <w:tcPr>
            <w:tcW w:type="pct" w:w="60%"/>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B45309"/>
                <w:sz w:val="18"/>
                <w:szCs w:val="18"/>
              </w:rPr>
              <w:t xml:space="preserve">Partially meets (Delegated / Adjunct)</w:t>
            </w:r>
          </w:p>
        </w:tc>
        <w:tc>
          <w:tcPr>
            <w:tcW w:type="pct" w:w="20%"/>
            <w:tcMar>
              <w:top w:type="dxa" w:w="100"/>
              <w:left w:type="dxa" w:w="120"/>
              <w:bottom w:type="dxa" w:w="100"/>
              <w:right w:type="dxa" w:w="120"/>
            </w:tcMar>
            <w:vAlign w:val="top"/>
          </w:tcPr>
          <w:p>
            <w:pPr>
              <w:jc w:val="center"/>
            </w:pPr>
            <w:r>
              <w:rPr>
                <w:rFonts w:ascii="Calibri" w:cs="Calibri" w:eastAsia="Calibri" w:hAnsi="Calibri"/>
                <w:b/>
                <w:bCs/>
                <w:i w:val="false"/>
                <w:iCs w:val="false"/>
                <w:color w:val="B45309"/>
                <w:sz w:val="24"/>
                <w:szCs w:val="24"/>
              </w:rPr>
              <w:t xml:space="preserve">4</w:t>
            </w:r>
          </w:p>
        </w:tc>
        <w:tc>
          <w:tcPr>
            <w:tcW w:type="pct" w:w="20%"/>
            <w:tcMar>
              <w:top w:type="dxa" w:w="100"/>
              <w:left w:type="dxa" w:w="120"/>
              <w:bottom w:type="dxa" w:w="100"/>
              <w:right w:type="dxa" w:w="120"/>
            </w:tcMar>
            <w:vAlign w:val="top"/>
          </w:tcPr>
          <w:p>
            <w:pPr>
              <w:jc w:val="right"/>
            </w:pPr>
            <w:r>
              <w:rPr>
                <w:rFonts w:ascii="Calibri" w:cs="Calibri" w:eastAsia="Calibri" w:hAnsi="Calibri"/>
                <w:b w:val="false"/>
                <w:bCs w:val="false"/>
                <w:i w:val="false"/>
                <w:iCs w:val="false"/>
                <w:color w:val="B45309"/>
                <w:sz w:val="20"/>
                <w:szCs w:val="20"/>
              </w:rPr>
              <w:t xml:space="preserve">29%</w:t>
            </w:r>
          </w:p>
        </w:tc>
      </w:tr>
      <w:tr>
        <w:trPr>
          <w:cantSplit/>
        </w:trPr>
        <w:tc>
          <w:tcPr>
            <w:tcW w:type="pct" w:w="60%"/>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6F3A"/>
                <w:sz w:val="18"/>
                <w:szCs w:val="18"/>
              </w:rPr>
              <w:t xml:space="preserve">Meets deliverable (Native)</w:t>
            </w:r>
          </w:p>
        </w:tc>
        <w:tc>
          <w:tcPr>
            <w:tcW w:type="pct" w:w="20%"/>
            <w:tcMar>
              <w:top w:type="dxa" w:w="100"/>
              <w:left w:type="dxa" w:w="120"/>
              <w:bottom w:type="dxa" w:w="100"/>
              <w:right w:type="dxa" w:w="120"/>
            </w:tcMar>
            <w:vAlign w:val="top"/>
          </w:tcPr>
          <w:p>
            <w:pPr>
              <w:jc w:val="center"/>
            </w:pPr>
            <w:r>
              <w:rPr>
                <w:rFonts w:ascii="Calibri" w:cs="Calibri" w:eastAsia="Calibri" w:hAnsi="Calibri"/>
                <w:b/>
                <w:bCs/>
                <w:i w:val="false"/>
                <w:iCs w:val="false"/>
                <w:color w:val="1F6F3A"/>
                <w:sz w:val="24"/>
                <w:szCs w:val="24"/>
              </w:rPr>
              <w:t xml:space="preserve">1</w:t>
            </w:r>
          </w:p>
        </w:tc>
        <w:tc>
          <w:tcPr>
            <w:tcW w:type="pct" w:w="20%"/>
            <w:tcMar>
              <w:top w:type="dxa" w:w="100"/>
              <w:left w:type="dxa" w:w="120"/>
              <w:bottom w:type="dxa" w:w="100"/>
              <w:right w:type="dxa" w:w="120"/>
            </w:tcMar>
            <w:vAlign w:val="top"/>
          </w:tcPr>
          <w:p>
            <w:pPr>
              <w:jc w:val="right"/>
            </w:pPr>
            <w:r>
              <w:rPr>
                <w:rFonts w:ascii="Calibri" w:cs="Calibri" w:eastAsia="Calibri" w:hAnsi="Calibri"/>
                <w:b w:val="false"/>
                <w:bCs w:val="false"/>
                <w:i w:val="false"/>
                <w:iCs w:val="false"/>
                <w:color w:val="1F6F3A"/>
                <w:sz w:val="20"/>
                <w:szCs w:val="20"/>
              </w:rPr>
              <w:t xml:space="preserve">7%</w:t>
            </w:r>
          </w:p>
        </w:tc>
      </w:tr>
    </w:tbl>
    <w:p>
      <w:pPr>
        <w:spacing w:after="60" w:before="60"/>
      </w:pPr>
      <w:r>
        <w:rPr>
          <w:rFonts w:ascii="Calibri" w:cs="Calibri" w:eastAsia="Calibri" w:hAnsi="Calibri"/>
          <w:b w:val="false"/>
          <w:bCs w:val="false"/>
          <w:i w:val="false"/>
          <w:iCs w:val="false"/>
          <w:color w:val="1F2328"/>
          <w:sz w:val="20"/>
          <w:szCs w:val="20"/>
        </w:rPr>
        <w:t xml:space="preserve"/>
      </w:r>
    </w:p>
    <w:p>
      <w:pPr>
        <w:spacing w:after="80" w:before="80" w:line="300"/>
        <w:jc w:val="both"/>
      </w:pPr>
      <w:r>
        <w:rPr>
          <w:rFonts w:ascii="Calibri" w:cs="Calibri" w:eastAsia="Calibri" w:hAnsi="Calibri"/>
          <w:b w:val="false"/>
          <w:bCs w:val="false"/>
          <w:i w:val="false"/>
          <w:iCs w:val="false"/>
          <w:color w:val="1F2328"/>
          <w:sz w:val="20"/>
          <w:szCs w:val="20"/>
        </w:rPr>
        <w:t xml:space="preserve">A single deliverable — site-to-site IPsec termination into a default-deny landing construct — is fully met by Zscaler's native capability. The remaining 13 are either delegated to adjunct platforms, integrators, or downstream proxies that CVS Health would need to procure and operate, or are not addressed at all. The pattern is consistent across the response: Zscaler Extranet is offered as the transport and segmentation layer; everything else is "place a proxy behind it." That positioning is internally honest, but it is not what the RFP asked for.</w:t>
      </w:r>
    </w:p>
    <w:p>
      <w:r>
        <w:br w:type="page"/>
      </w:r>
    </w:p>
    <w:p>
      <w:pPr>
        <w:pBdr>
          <w:bottom w:val="single" w:color="8C1D40" w:sz="12" w:space="6"/>
        </w:pBdr>
        <w:spacing w:after="160" w:before="360"/>
      </w:pPr>
      <w:r>
        <w:rPr>
          <w:rFonts w:ascii="Calibri" w:cs="Calibri" w:eastAsia="Calibri" w:hAnsi="Calibri"/>
          <w:b/>
          <w:bCs/>
          <w:i w:val="false"/>
          <w:iCs w:val="false"/>
          <w:color w:val="1F2328"/>
          <w:sz w:val="32"/>
          <w:szCs w:val="32"/>
        </w:rPr>
        <w:t xml:space="preserve">4. Deliverable-by-Deliverable Findings</w:t>
      </w:r>
    </w:p>
    <w:p>
      <w:pPr>
        <w:spacing w:after="80" w:before="80" w:line="300"/>
        <w:jc w:val="both"/>
      </w:pPr>
      <w:r>
        <w:rPr>
          <w:rFonts w:ascii="Calibri" w:cs="Calibri" w:eastAsia="Calibri" w:hAnsi="Calibri"/>
          <w:b w:val="false"/>
          <w:bCs w:val="false"/>
          <w:i w:val="false"/>
          <w:iCs w:val="false"/>
          <w:color w:val="1F2328"/>
          <w:sz w:val="20"/>
          <w:szCs w:val="20"/>
        </w:rPr>
        <w:t xml:space="preserve">The table below maps every evaluated deliverable to its source in the 3PLZ-RFC and the corresponding capability matrix row, identifies the disposition, and records the specific finding. Where the finding cites Zscaler's own answer, the language is drawn directly from the Capability Matrix + Answers worksheet.</w:t>
      </w:r>
    </w:p>
    <w:p>
      <w:pPr>
        <w:spacing w:after="60" w:before="60"/>
      </w:pPr>
      <w:r>
        <w:rPr>
          <w:rFonts w:ascii="Calibri" w:cs="Calibri" w:eastAsia="Calibri" w:hAnsi="Calibri"/>
          <w:b w:val="false"/>
          <w:bCs w:val="false"/>
          <w:i w:val="false"/>
          <w:iCs w:val="false"/>
          <w:color w:val="1F2328"/>
          <w:sz w:val="20"/>
          <w:szCs w:val="20"/>
        </w:rPr>
        <w:t xml:space="preserve"/>
      </w:r>
    </w:p>
    <w:tbl>
      <w:tblPr>
        <w:tblW w:type="pct" w:w="100%"/>
        <w:tblBorders>
          <w:top w:val="single" w:color="D0D7DE" w:sz="4"/>
          <w:left w:val="single" w:color="D0D7DE" w:sz="4"/>
          <w:bottom w:val="single" w:color="D0D7DE" w:sz="4"/>
          <w:right w:val="single" w:color="D0D7DE" w:sz="4"/>
          <w:insideH w:val="single" w:color="D0D7DE" w:sz="4"/>
          <w:insideV w:val="single" w:color="D0D7DE" w:sz="4"/>
        </w:tblBorders>
      </w:tblPr>
      <w:tblGrid>
        <w:gridCol w:w="600"/>
        <w:gridCol w:w="3600"/>
        <w:gridCol w:w="1800"/>
        <w:gridCol w:w="1000"/>
        <w:gridCol w:w="3000"/>
      </w:tblGrid>
      <w:tr>
        <w:trPr>
          <w:tblHeader/>
        </w:trPr>
        <w:tc>
          <w:tcPr>
            <w:tcW w:type="pct" w:w="6%"/>
            <w:shd w:fill="F2F2F2" w:color="F2F2F2" w:val="solid"/>
            <w:tcMar>
              <w:top w:type="dxa" w:w="100"/>
              <w:left w:type="dxa" w:w="120"/>
              <w:bottom w:type="dxa" w:w="100"/>
              <w:right w:type="dxa" w:w="120"/>
            </w:tcMar>
            <w:vAlign w:val="top"/>
          </w:tcPr>
          <w:p>
            <w:pPr>
              <w:spacing w:after="20" w:before="20"/>
            </w:pPr>
            <w:r>
              <w:rPr>
                <w:rFonts w:ascii="Calibri" w:cs="Calibri" w:eastAsia="Calibri" w:hAnsi="Calibri"/>
                <w:b/>
                <w:bCs/>
                <w:i w:val="false"/>
                <w:iCs w:val="false"/>
                <w:caps/>
                <w:color w:val="1F2328"/>
                <w:sz w:val="18"/>
                <w:szCs w:val="18"/>
              </w:rPr>
              <w:t xml:space="preserve">ID</w:t>
            </w:r>
          </w:p>
        </w:tc>
        <w:tc>
          <w:tcPr>
            <w:tcW w:type="pct" w:w="36%"/>
            <w:shd w:fill="F2F2F2" w:color="F2F2F2" w:val="solid"/>
            <w:tcMar>
              <w:top w:type="dxa" w:w="100"/>
              <w:left w:type="dxa" w:w="120"/>
              <w:bottom w:type="dxa" w:w="100"/>
              <w:right w:type="dxa" w:w="120"/>
            </w:tcMar>
            <w:vAlign w:val="top"/>
          </w:tcPr>
          <w:p>
            <w:pPr>
              <w:spacing w:after="20" w:before="20"/>
            </w:pPr>
            <w:r>
              <w:rPr>
                <w:rFonts w:ascii="Calibri" w:cs="Calibri" w:eastAsia="Calibri" w:hAnsi="Calibri"/>
                <w:b/>
                <w:bCs/>
                <w:i w:val="false"/>
                <w:iCs w:val="false"/>
                <w:caps/>
                <w:color w:val="1F2328"/>
                <w:sz w:val="18"/>
                <w:szCs w:val="18"/>
              </w:rPr>
              <w:t xml:space="preserve">RFP-Stated Deliverable</w:t>
            </w:r>
          </w:p>
        </w:tc>
        <w:tc>
          <w:tcPr>
            <w:tcW w:type="pct" w:w="18%"/>
            <w:shd w:fill="F2F2F2" w:color="F2F2F2" w:val="solid"/>
            <w:tcMar>
              <w:top w:type="dxa" w:w="100"/>
              <w:left w:type="dxa" w:w="120"/>
              <w:bottom w:type="dxa" w:w="100"/>
              <w:right w:type="dxa" w:w="120"/>
            </w:tcMar>
            <w:vAlign w:val="top"/>
          </w:tcPr>
          <w:p>
            <w:pPr>
              <w:spacing w:after="20" w:before="20"/>
            </w:pPr>
            <w:r>
              <w:rPr>
                <w:rFonts w:ascii="Calibri" w:cs="Calibri" w:eastAsia="Calibri" w:hAnsi="Calibri"/>
                <w:b/>
                <w:bCs/>
                <w:i w:val="false"/>
                <w:iCs w:val="false"/>
                <w:caps/>
                <w:color w:val="1F2328"/>
                <w:sz w:val="18"/>
                <w:szCs w:val="18"/>
              </w:rPr>
              <w:t xml:space="preserve">Source</w:t>
            </w:r>
          </w:p>
        </w:tc>
        <w:tc>
          <w:tcPr>
            <w:tcW w:type="pct" w:w="10%"/>
            <w:shd w:fill="F2F2F2" w:color="F2F2F2" w:val="solid"/>
            <w:tcMar>
              <w:top w:type="dxa" w:w="100"/>
              <w:left w:type="dxa" w:w="120"/>
              <w:bottom w:type="dxa" w:w="100"/>
              <w:right w:type="dxa" w:w="120"/>
            </w:tcMar>
            <w:vAlign w:val="top"/>
          </w:tcPr>
          <w:p>
            <w:pPr>
              <w:spacing w:after="20" w:before="20"/>
            </w:pPr>
            <w:r>
              <w:rPr>
                <w:rFonts w:ascii="Calibri" w:cs="Calibri" w:eastAsia="Calibri" w:hAnsi="Calibri"/>
                <w:b/>
                <w:bCs/>
                <w:i w:val="false"/>
                <w:iCs w:val="false"/>
                <w:caps/>
                <w:color w:val="1F2328"/>
                <w:sz w:val="18"/>
                <w:szCs w:val="18"/>
              </w:rPr>
              <w:t xml:space="preserve">Disp.</w:t>
            </w:r>
          </w:p>
        </w:tc>
        <w:tc>
          <w:tcPr>
            <w:tcW w:type="pct" w:w="30%"/>
            <w:shd w:fill="F2F2F2" w:color="F2F2F2" w:val="solid"/>
            <w:tcMar>
              <w:top w:type="dxa" w:w="100"/>
              <w:left w:type="dxa" w:w="120"/>
              <w:bottom w:type="dxa" w:w="100"/>
              <w:right w:type="dxa" w:w="120"/>
            </w:tcMar>
            <w:vAlign w:val="top"/>
          </w:tcPr>
          <w:p>
            <w:pPr>
              <w:spacing w:after="20" w:before="20"/>
            </w:pPr>
            <w:r>
              <w:rPr>
                <w:rFonts w:ascii="Calibri" w:cs="Calibri" w:eastAsia="Calibri" w:hAnsi="Calibri"/>
                <w:b/>
                <w:bCs/>
                <w:i w:val="false"/>
                <w:iCs w:val="false"/>
                <w:caps/>
                <w:color w:val="1F2328"/>
                <w:sz w:val="18"/>
                <w:szCs w:val="18"/>
              </w:rPr>
              <w:t xml:space="preserve">Finding</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D-01</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Site-to-Site IPsec (IKEv2, AES-GCM, PFS) terminating into a no-access VLZ with portable, uniquely-assigned tunnel anchors</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§3a B2B Connectivity; Capability Matrix — Transport (Must, Native)</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1F6F3A"/>
                <w:sz w:val="18"/>
                <w:szCs w:val="18"/>
              </w:rPr>
              <w:t xml:space="preserve">MET</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 Extranet terminates IKEv2 tunnels with strong negotiated encryption into a partner-dedicated, default-deny construct. This is the one capability area where Zscaler is squarely on-target with the stated deliverable.</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D-02</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Portable hub termination (floating /32 loopback, IP Anycast, or FQDN endpoint) for HA/FT, location-agnostic peer termination — partner-side configuration unchanged across failover</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§3a; Capability Matrix — Transport HA (Must, Native)</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B45309"/>
                <w:sz w:val="18"/>
                <w:szCs w:val="18"/>
              </w:rPr>
              <w:t xml:space="preserve">PARTIAL</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 explicitly substitutes a different model — redundant tunnels to multiple Service Edges with FQDN-based peering — instead of the requested anycast /32 or floating loopback. The vendor states the "practical outcome is the same." It is not: the RFP deliverable is anchor portability so that legacy partner configurations migrate without partner-side change. Multi-endpoint HA requires the partner to configure multiple peers, which is precisely the migration cost the deliverable was written to eliminate.</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D-03</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Application-pattern proxies for SFTP/SSH, VDI, Web, API, and SaaS with mTLS, OAuth/JWT, header/path controls, rate limiting, and protocol verification — delivered by the platform itself</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§2a Use Cases; §3 Architecture; §4 Core Components; Capability Matrix — Service Patterns (Must, Native/Adjunct)</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Zscaler's response explicitly states: "If you need true application proxying (API gateway and WAF functions, schema enforcement, rate limiting, or SSH/SFTP brokering), place an API gateway/reverse proxy and/or SSH/SFTP gateway in front of the apps." The RFP defines the application proxy layer as a core component of the 3PLZ platform itself — not something CVS or a systems integrator assembles behind it. Zscaler's answer reframes 3PLZ as transport-plus-segmentation and pushes the entire Layer-7 service-pattern catalog onto adjunct tooling and Presidio integration work. This is the central, non-recoverable miss.</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D-04</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Per-tenant SSH and SFTP managed access: platform-terminated sessions, credential vaulting and injection, full session inspection and audit, FQDN-defined targets</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§2a (NIST 800-171 3.13, FIPS); Third-Party Service Catalog — SSH/SFTP, Sterling</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 provides network reachability and segmentation only. There is no native termination, vaulting, injection, or session-content inspection for SSH or SFTP. The Capability Matrix answer directs CVS to "place a SSH bastion, API gateway, mTLS reverse proxy/ingress" inside the VLZ. That places the load-bearing audit and credential controls outside the 3PLZ platform — directly contrary to the RFC's mandated architecture.</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D-05</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Per-tenant Certificate-Based Identity (mTLS / PKI): per-tenant CAs, mTLS termination at the platform, ACME automation, rotation/revocation owned by the platform</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§3 Architecture; §4 Core Components — PKI/mTLS Identity; §7 Integration Requirements (mTLS, ACME)</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Zscaler's response confirms PKI integration occurs at the proxies CVS would deploy behind Extranet — "those proxies are where you integrate with your enterprise PKI and vault tooling." Zscaler authenticates IPsec tunnels and ZPA connectors; it does not natively own per-tenant CA hierarchy, mTLS termination, or certificate lifecycle. The deliverable is platform-resident PKI ownership. Zscaler offers PKI adjacency.</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D-06</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Per-tenant DNS execution context with DNS rewriting (FQDN → VLZ SNAT/proxy IP), split-horizon, conditional forwarding — DNS as a load-bearing platform control plane</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§3 Architecture (DNS as control plane); Operational Expectations — DNS Forwarder; Capability Matrix — DNS (Should, Adjunct)</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The Capability Matrix marks DNS rewriting as "Adjunct" in Zscaler's own response. The vendor describes a model where partners send DNS over the tunnel to "a tenant-scoped resolver" running CoreDNS, BIND, or Unbound — i.e., DNS service is delivered by software CVS deploys, not by Zscaler. The RFC treats per-tenant DNS as a primary platform function, not a downstream component. This is a structural gap.</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D-07</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Per-tenant routing with RFC1918 isolation via Private-ASN eBGP per tenant</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§3a; Capability Matrix — Routing (Must, Native)</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B45309"/>
                <w:sz w:val="18"/>
                <w:szCs w:val="18"/>
              </w:rPr>
              <w:t xml:space="preserve">PARTIAL</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 proposes static prefix controls and traffic selectors instead of per-tenant eBGP and private ASNs at the termination point: "rather than requiring per-tenant eBGP and private ASNs at the Zscaler termination, you can achieve predictable governance with centrally managed static prefix controls." This shifts dynamic routing onto the CVS edge and partner edge, which contradicts the deliverable. Operationally workable, but not what was asked.</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D-08</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Bidirectional governance: outbound (Enterprise → 3rd Party) under the same tenant-scoped identity, PKI, DNS rewriting, destination allow-list, and TLS-inspection rigor as inbound</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§3a; POC Deliverables (CR-06 outbound mediation); Capability Matrix — Isolation (Must)</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 frames outbound as ZIA generic egress controls and per-tenant policy steering. ZIA is a strong forward proxy at population scale, but it does not bind outbound flows to per-tenant CAs, per-tenant DNS execution contexts, or per-tenant destination allow-lists in the way the RFC and POC scope require. The result is asymmetric governance — the exact condition the 3PLZ program is chartered to eliminate.</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D-09</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End-to-end lifecycle automation owned by the platform: UI, API, Terraform, Ansible; auto-generated partner-ready IPsec configuration bundles; deterministic provisioning and decommissioning</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§3 (self-service); §4 Functional Requirements — Automation; §8 Deliverables (Terraform modules, OpenAPI spec); Capability Matrix — Automation (Must, Adjunct)</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 classifies automation as "Adjunct" in its own matrix and proposes ServiceNow as the request/approval front end with Presidio building the orchestration. The RFC requires the platform itself to be lifecycle-authoritative with deterministic provisioning and zero residual state. Externalizing the workflow plane to ServiceNow + integrator scope means the platform is not self-contained, and the auto-generated multi-vendor IPsec config bundles (Cisco IOS XE, Arista EOS, PAN, Fortinet, StrongSwan) called out in §3a are not part of the Extranet deliverable.</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D-10</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Vendor-supplied turnkey templates per service pattern (SFTP, VDI, Internal Web, External Web/SaaS) including DNS records, BGP prefixes, ACLs, health checks, logging fields</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§5 Service Pattern Catalog</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Zscaler's response does not provide turnkey templates for the four required service patterns. VDI is not addressed in the response. SFTP is acknowledged as requiring an external SFTP gateway. Internal/external web app templates depend on a separately-procured reverse-proxy stack. This is a direct gap against §5.</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D-11</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Tenant + Service Policy Identity Binding in transactional logging — every record traceable to vendor_id / tenant_id / service_id with SIEM export</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§4 Core Components — Observability; Capability Matrix — Governance (Must, Native)</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B45309"/>
                <w:sz w:val="18"/>
                <w:szCs w:val="18"/>
              </w:rPr>
              <w:t xml:space="preserve">PARTIAL</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 can stream segmented logs via ZPA Log Streaming Service (LSS) and ZIA, and a vendor_id/tenant_id/service_id naming convention is workable. However, identity binding for SSH session content, mTLS handshake metadata, DNS rewriting events, and application-proxy transactions does not exist in Zscaler — those records would originate in the adjunct proxies CVS would have to deploy, breaking the single-pane audit deliverable.</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D-12</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PKI / vault integration directly on the 3PLZ platform: enterprise PKI lifecycle, mTLS certificate issuance and rotation, SSH key vaulting, API key management</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§4 Core Components — PKI Lifecycle Automation; §7 Integration — mTLS, ACME; Capability Matrix — Identity (Must, Adjunct/Native)</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Zscaler's own classification on this row is "Adjunct/Native." The vendor explicitly states PKI and key-vault integration occur "at the proxies" CVS deploys, not at Zscaler. This is the same architectural pattern as D-05: PKI lives next to Zscaler, not within it.</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D-13</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Self-service IAM/RBAC administrative interface for application teams, with role separation (network, 3P→Ent service, Ent→3P service) and SAML accounting</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§3 (DevOps "build, run, own"); Capability Matrix — Access (Should, Native)</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B45309"/>
                <w:sz w:val="18"/>
                <w:szCs w:val="18"/>
              </w:rPr>
              <w:t xml:space="preserve">PARTIAL</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Zscaler's answer assumes the consumer is the existing ZIA/ZPA admin team using the Zscaler Admin Portal. The deliverable is consumption by application development teams that "own" their 3P connectivity — an audience the Zscaler Admin Portal is not designed for. Without ServiceNow + Presidio building a separate front end, the Zscaler-native interface does not satisfy the self-service intent.</w:t>
            </w:r>
          </w:p>
        </w:tc>
      </w:tr>
      <w:tr>
        <w:trPr>
          <w:cantSplit w:val="false"/>
        </w:trPr>
        <w:tc>
          <w:tcPr>
            <w:tcW w:type="pct" w:w="6%"/>
            <w:tcMar>
              <w:top w:type="dxa" w:w="100"/>
              <w:left w:type="dxa" w:w="120"/>
              <w:bottom w:type="dxa" w:w="100"/>
              <w:right w:type="dxa" w:w="120"/>
            </w:tcMar>
            <w:vAlign w:val="top"/>
          </w:tcPr>
          <w:p>
            <w:pPr>
              <w:spacing w:after="20" w:before="20" w:line="260"/>
            </w:pPr>
            <w:r>
              <w:rPr>
                <w:rFonts w:ascii="Calibri" w:cs="Calibri" w:eastAsia="Calibri" w:hAnsi="Calibri"/>
                <w:b/>
                <w:bCs/>
                <w:i w:val="false"/>
                <w:iCs w:val="false"/>
                <w:color w:val="1F2328"/>
                <w:sz w:val="18"/>
                <w:szCs w:val="18"/>
              </w:rPr>
              <w:t xml:space="preserve">D-14</w:t>
            </w:r>
          </w:p>
        </w:tc>
        <w:tc>
          <w:tcPr>
            <w:tcW w:type="pct" w:w="36%"/>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Document deliverables: HLD/LLD per service pattern, lifecycle runbooks, Terraform modules, OpenAPI spec, interoperability guides, test plans and results</w:t>
            </w:r>
          </w:p>
        </w:tc>
        <w:tc>
          <w:tcPr>
            <w:tcW w:type="pct" w:w="18%"/>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57606A"/>
                <w:sz w:val="18"/>
                <w:szCs w:val="18"/>
              </w:rPr>
              <w:t xml:space="preserve">RFC §8 Deliverables (D1–D5); §9 Vendor Response Format</w:t>
            </w:r>
          </w:p>
        </w:tc>
        <w:tc>
          <w:tcPr>
            <w:tcW w:type="pct" w:w="10%"/>
            <w:tcMar>
              <w:top w:type="dxa" w:w="100"/>
              <w:left w:type="dxa" w:w="120"/>
              <w:bottom w:type="dxa" w:w="100"/>
              <w:right w:type="dxa" w:w="120"/>
            </w:tcMar>
            <w:vAlign w:val="top"/>
          </w:tcPr>
          <w:p>
            <w:pPr>
              <w:jc w:val="center"/>
            </w:pPr>
            <w:r>
              <w:rPr>
                <w:rFonts w:ascii="Calibri" w:cs="Calibri" w:eastAsia="Calibri" w:hAnsi="Calibri"/>
                <w:b/>
                <w:bCs/>
                <w:i w:val="false"/>
                <w:iCs w:val="false"/>
                <w:caps/>
                <w:color w:val="8C1D40"/>
                <w:sz w:val="18"/>
                <w:szCs w:val="18"/>
              </w:rPr>
              <w:t xml:space="preserve">MISS</w:t>
            </w:r>
          </w:p>
        </w:tc>
        <w:tc>
          <w:tcPr>
            <w:tcW w:type="pct" w:w="30%"/>
            <w:tcMar>
              <w:top w:type="dxa" w:w="100"/>
              <w:left w:type="dxa" w:w="120"/>
              <w:bottom w:type="dxa" w:w="100"/>
              <w:right w:type="dxa" w:w="120"/>
            </w:tcMar>
            <w:vAlign w:val="top"/>
          </w:tcPr>
          <w:p>
            <w:pPr>
              <w:spacing w:after="20" w:before="20" w:line="260"/>
            </w:pPr>
            <w:r>
              <w:rPr>
                <w:rFonts w:ascii="Calibri" w:cs="Calibri" w:eastAsia="Calibri" w:hAnsi="Calibri"/>
                <w:b w:val="false"/>
                <w:bCs w:val="false"/>
                <w:i w:val="false"/>
                <w:iCs w:val="false"/>
                <w:color w:val="1F2328"/>
                <w:sz w:val="18"/>
                <w:szCs w:val="18"/>
              </w:rPr>
              <w:t xml:space="preserve">The Zscaler submission consists of a sales proposal, a vendor-agnostic capability matrix with prose answers, and a price quote (Q-741114, $687,500 annual / $2,062,500 over 36 months). It does not contain HLD/LLD per service pattern, runbooks, Terraform modules, an OpenAPI specification, interoperability guides, or test plans. The §8 deliverables list is unaddressed.</w:t>
            </w:r>
          </w:p>
        </w:tc>
      </w:tr>
    </w:tbl>
    <w:p>
      <w:r>
        <w:br w:type="page"/>
      </w:r>
    </w:p>
    <w:p>
      <w:pPr>
        <w:pBdr>
          <w:bottom w:val="single" w:color="8C1D40" w:sz="12" w:space="6"/>
        </w:pBdr>
        <w:spacing w:after="160" w:before="360"/>
      </w:pPr>
      <w:r>
        <w:rPr>
          <w:rFonts w:ascii="Calibri" w:cs="Calibri" w:eastAsia="Calibri" w:hAnsi="Calibri"/>
          <w:b/>
          <w:bCs/>
          <w:i w:val="false"/>
          <w:iCs w:val="false"/>
          <w:color w:val="1F2328"/>
          <w:sz w:val="32"/>
          <w:szCs w:val="32"/>
        </w:rPr>
        <w:t xml:space="preserve">5. The Three Structural Misses</w:t>
      </w:r>
    </w:p>
    <w:p>
      <w:pPr>
        <w:spacing w:after="80" w:before="80" w:line="300"/>
        <w:jc w:val="both"/>
      </w:pPr>
      <w:r>
        <w:rPr>
          <w:rFonts w:ascii="Calibri" w:cs="Calibri" w:eastAsia="Calibri" w:hAnsi="Calibri"/>
          <w:b w:val="false"/>
          <w:bCs w:val="false"/>
          <w:i w:val="false"/>
          <w:iCs w:val="false"/>
          <w:color w:val="1F2328"/>
          <w:sz w:val="20"/>
          <w:szCs w:val="20"/>
        </w:rPr>
        <w:t xml:space="preserve">The seven "Miss" rows are not equally weighted. Three of them are structural — meaning the gap is in the platform's design center, not in configuration or scope. These three drove the determination.</w:t>
      </w:r>
    </w:p>
    <w:p>
      <w:pPr>
        <w:spacing w:after="100" w:before="280"/>
      </w:pPr>
      <w:r>
        <w:rPr>
          <w:rFonts w:ascii="Calibri" w:cs="Calibri" w:eastAsia="Calibri" w:hAnsi="Calibri"/>
          <w:b/>
          <w:bCs/>
          <w:i w:val="false"/>
          <w:iCs w:val="false"/>
          <w:color w:val="8C1D40"/>
          <w:sz w:val="24"/>
          <w:szCs w:val="24"/>
        </w:rPr>
        <w:t xml:space="preserve">5.1  Application-Layer Service Mediation (D-03, D-04)</w:t>
      </w:r>
    </w:p>
    <w:p>
      <w:pPr>
        <w:spacing w:after="80" w:before="80" w:line="300"/>
        <w:jc w:val="both"/>
      </w:pPr>
      <w:r>
        <w:rPr>
          <w:rFonts w:ascii="Calibri" w:cs="Calibri" w:eastAsia="Calibri" w:hAnsi="Calibri"/>
          <w:b w:val="false"/>
          <w:bCs w:val="false"/>
          <w:i w:val="false"/>
          <w:iCs w:val="false"/>
          <w:color w:val="1F2328"/>
          <w:sz w:val="20"/>
          <w:szCs w:val="20"/>
        </w:rPr>
        <w:t xml:space="preserve">The 3PLZ-RFC defines per-service application proxies — for SSH/SFTP, VDI, Web, API, and SaaS — as a core platform component (RFC §4) and the foundation of the service-pattern catalog (§5). Zscaler's response treats this layer as out of scope and external: "place an API gateway/reverse proxy and/or SSH/SFTP gateway in front of the apps and use Zscaler for the segmented connectivity to the back-end." That is a reasonable design pattern in many enterprises. It is not the 3PLZ architecture. The RFP's Layer-7 service-pattern catalog is the deliverable, not a downstream consumer of it.</w:t>
      </w:r>
    </w:p>
    <w:p>
      <w:pPr>
        <w:spacing w:after="100" w:before="280"/>
      </w:pPr>
      <w:r>
        <w:rPr>
          <w:rFonts w:ascii="Calibri" w:cs="Calibri" w:eastAsia="Calibri" w:hAnsi="Calibri"/>
          <w:b/>
          <w:bCs/>
          <w:i w:val="false"/>
          <w:iCs w:val="false"/>
          <w:color w:val="8C1D40"/>
          <w:sz w:val="24"/>
          <w:szCs w:val="24"/>
        </w:rPr>
        <w:t xml:space="preserve">5.2  Per-Tenant PKI and mTLS Ownership (D-05, D-12)</w:t>
      </w:r>
    </w:p>
    <w:p>
      <w:pPr>
        <w:spacing w:after="80" w:before="80" w:line="300"/>
        <w:jc w:val="both"/>
      </w:pPr>
      <w:r>
        <w:rPr>
          <w:rFonts w:ascii="Calibri" w:cs="Calibri" w:eastAsia="Calibri" w:hAnsi="Calibri"/>
          <w:b w:val="false"/>
          <w:bCs w:val="false"/>
          <w:i w:val="false"/>
          <w:iCs w:val="false"/>
          <w:color w:val="1F2328"/>
          <w:sz w:val="20"/>
          <w:szCs w:val="20"/>
        </w:rPr>
        <w:t xml:space="preserve">The RFC and the parallel POC scope mandate per-tenant certificate authorities and platform-terminated mTLS as the primary authentication primitive. Zscaler's submission is consistent in pointing PKI integration at the adjunct proxies CVS would deploy, not at Zscaler. The Capability Matrix marks the Identity row as "Adjunct/Native" — Zscaler's own classification confirms PKI does not live within Extranet. Per-tenant CA isolation is the explicit primary evaluation challenge for the platforms that did advance to POC; Zscaler did not address it.</w:t>
      </w:r>
    </w:p>
    <w:p>
      <w:pPr>
        <w:spacing w:after="100" w:before="280"/>
      </w:pPr>
      <w:r>
        <w:rPr>
          <w:rFonts w:ascii="Calibri" w:cs="Calibri" w:eastAsia="Calibri" w:hAnsi="Calibri"/>
          <w:b/>
          <w:bCs/>
          <w:i w:val="false"/>
          <w:iCs w:val="false"/>
          <w:color w:val="8C1D40"/>
          <w:sz w:val="24"/>
          <w:szCs w:val="24"/>
        </w:rPr>
        <w:t xml:space="preserve">5.3  DNS as a Control Plane Function (D-06)</w:t>
      </w:r>
    </w:p>
    <w:p>
      <w:pPr>
        <w:spacing w:after="80" w:before="80" w:line="300"/>
        <w:jc w:val="both"/>
      </w:pPr>
      <w:r>
        <w:rPr>
          <w:rFonts w:ascii="Calibri" w:cs="Calibri" w:eastAsia="Calibri" w:hAnsi="Calibri"/>
          <w:b w:val="false"/>
          <w:bCs w:val="false"/>
          <w:i w:val="false"/>
          <w:iCs w:val="false"/>
          <w:color w:val="1F2328"/>
          <w:sz w:val="20"/>
          <w:szCs w:val="20"/>
        </w:rPr>
        <w:t xml:space="preserve">The RFC defines per-tenant DNS rewriting and split-horizon resolution as a platform-resident control — the mechanism that enables FQDN-based service abstraction and prevents internal address disclosure (RFC §3, §4 Core Components, Operational Expectations). Zscaler's response describes a model where partner DNS traffic is sent over the tunnel to a CoreDNS, BIND, or Unbound resolver that CVS deploys. Functionally workable, but the platform is not the resolver. The RFC requires it to be.</w:t>
      </w:r>
    </w:p>
    <w:p>
      <w:pPr>
        <w:pBdr>
          <w:bottom w:val="single" w:color="8C1D40" w:sz="12" w:space="6"/>
        </w:pBdr>
        <w:spacing w:after="160" w:before="360"/>
      </w:pPr>
      <w:r>
        <w:rPr>
          <w:rFonts w:ascii="Calibri" w:cs="Calibri" w:eastAsia="Calibri" w:hAnsi="Calibri"/>
          <w:b/>
          <w:bCs/>
          <w:i w:val="false"/>
          <w:iCs w:val="false"/>
          <w:color w:val="1F2328"/>
          <w:sz w:val="32"/>
          <w:szCs w:val="32"/>
        </w:rPr>
        <w:t xml:space="preserve">6. Areas Where Zscaler's Submission Holds Up</w:t>
      </w:r>
    </w:p>
    <w:p>
      <w:pPr>
        <w:spacing w:after="80" w:before="80" w:line="300"/>
        <w:jc w:val="both"/>
      </w:pPr>
      <w:r>
        <w:rPr>
          <w:rFonts w:ascii="Calibri" w:cs="Calibri" w:eastAsia="Calibri" w:hAnsi="Calibri"/>
          <w:b w:val="false"/>
          <w:bCs w:val="false"/>
          <w:i w:val="false"/>
          <w:iCs w:val="false"/>
          <w:color w:val="1F2328"/>
          <w:sz w:val="20"/>
          <w:szCs w:val="20"/>
        </w:rPr>
        <w:t xml:space="preserve">A fair evaluation records what worked. Three observations:</w:t>
      </w:r>
    </w:p>
    <w:p>
      <w:pPr>
        <w:pStyle w:val="ListParagraph"/>
        <w:numPr>
          <w:ilvl w:val="0"/>
          <w:numId w:val="1"/>
        </w:numPr>
        <w:spacing w:after="40" w:before="40" w:line="280"/>
      </w:pPr>
      <w:r>
        <w:rPr>
          <w:rFonts w:ascii="Calibri" w:cs="Calibri" w:eastAsia="Calibri" w:hAnsi="Calibri"/>
          <w:b/>
          <w:bCs/>
          <w:i w:val="false"/>
          <w:iCs w:val="false"/>
          <w:color w:val="1F2328"/>
          <w:sz w:val="20"/>
          <w:szCs w:val="20"/>
        </w:rPr>
        <w:t xml:space="preserve">IPsec transport and the default-deny landing construct are squarely on target. </w:t>
      </w:r>
      <w:r>
        <w:rPr>
          <w:rFonts w:ascii="Calibri" w:cs="Calibri" w:eastAsia="Calibri" w:hAnsi="Calibri"/>
          <w:b w:val="false"/>
          <w:bCs w:val="false"/>
          <w:i w:val="false"/>
          <w:iCs w:val="false"/>
          <w:color w:val="1F2328"/>
          <w:sz w:val="20"/>
          <w:szCs w:val="20"/>
        </w:rPr>
        <w:t xml:space="preserve">Zscaler Extranet does what Zscaler is built to do, and it does it well. This is the one MET row.</w:t>
      </w:r>
    </w:p>
    <w:p>
      <w:pPr>
        <w:pStyle w:val="ListParagraph"/>
        <w:numPr>
          <w:ilvl w:val="0"/>
          <w:numId w:val="1"/>
        </w:numPr>
        <w:spacing w:after="40" w:before="40" w:line="280"/>
      </w:pPr>
      <w:r>
        <w:rPr>
          <w:rFonts w:ascii="Calibri" w:cs="Calibri" w:eastAsia="Calibri" w:hAnsi="Calibri"/>
          <w:b/>
          <w:bCs/>
          <w:i w:val="false"/>
          <w:iCs w:val="false"/>
          <w:color w:val="1F2328"/>
          <w:sz w:val="20"/>
          <w:szCs w:val="20"/>
        </w:rPr>
        <w:t xml:space="preserve">Operational continuity with the existing ZIA and ZPA footprint is real. </w:t>
      </w:r>
      <w:r>
        <w:rPr>
          <w:rFonts w:ascii="Calibri" w:cs="Calibri" w:eastAsia="Calibri" w:hAnsi="Calibri"/>
          <w:b w:val="false"/>
          <w:bCs w:val="false"/>
          <w:i w:val="false"/>
          <w:iCs w:val="false"/>
          <w:color w:val="1F2328"/>
          <w:sz w:val="20"/>
          <w:szCs w:val="20"/>
        </w:rPr>
        <w:t xml:space="preserve">For the operational team that already runs Zscaler at CVS, the learning curve on Extranet would be modest. That value is acknowledged but does not move the architectural needle on a different problem.</w:t>
      </w:r>
    </w:p>
    <w:p>
      <w:pPr>
        <w:pStyle w:val="ListParagraph"/>
        <w:numPr>
          <w:ilvl w:val="0"/>
          <w:numId w:val="1"/>
        </w:numPr>
        <w:spacing w:after="40" w:before="40" w:line="280"/>
      </w:pPr>
      <w:r>
        <w:rPr>
          <w:rFonts w:ascii="Calibri" w:cs="Calibri" w:eastAsia="Calibri" w:hAnsi="Calibri"/>
          <w:b/>
          <w:bCs/>
          <w:i w:val="false"/>
          <w:iCs w:val="false"/>
          <w:color w:val="1F2328"/>
          <w:sz w:val="20"/>
          <w:szCs w:val="20"/>
        </w:rPr>
        <w:t xml:space="preserve">The submission is internally consistent. </w:t>
      </w:r>
      <w:r>
        <w:rPr>
          <w:rFonts w:ascii="Calibri" w:cs="Calibri" w:eastAsia="Calibri" w:hAnsi="Calibri"/>
          <w:b w:val="false"/>
          <w:bCs w:val="false"/>
          <w:i w:val="false"/>
          <w:iCs w:val="false"/>
          <w:color w:val="1F2328"/>
          <w:sz w:val="20"/>
          <w:szCs w:val="20"/>
        </w:rPr>
        <w:t xml:space="preserve">Zscaler does not over-claim native capability where it does not have it. The Capability Matrix correctly classifies DNS rewriting, automation, and PKI lifecycle as Adjunct in its own response. That honesty is what makes the disposition straightforward to record.</w:t>
      </w:r>
    </w:p>
    <w:p>
      <w:pPr>
        <w:pBdr>
          <w:bottom w:val="single" w:color="8C1D40" w:sz="12" w:space="6"/>
        </w:pBdr>
        <w:spacing w:after="160" w:before="360"/>
      </w:pPr>
      <w:r>
        <w:rPr>
          <w:rFonts w:ascii="Calibri" w:cs="Calibri" w:eastAsia="Calibri" w:hAnsi="Calibri"/>
          <w:b/>
          <w:bCs/>
          <w:i w:val="false"/>
          <w:iCs w:val="false"/>
          <w:color w:val="1F2328"/>
          <w:sz w:val="32"/>
          <w:szCs w:val="32"/>
        </w:rPr>
        <w:t xml:space="preserve">7. Determination</w:t>
      </w:r>
    </w:p>
    <w:p>
      <w:pPr>
        <w:spacing w:after="80" w:before="80" w:line="300"/>
        <w:jc w:val="both"/>
      </w:pPr>
      <w:r>
        <w:rPr>
          <w:rFonts w:ascii="Calibri" w:cs="Calibri" w:eastAsia="Calibri" w:hAnsi="Calibri"/>
          <w:b w:val="false"/>
          <w:bCs w:val="false"/>
          <w:i w:val="false"/>
          <w:iCs w:val="false"/>
          <w:color w:val="1F2328"/>
          <w:sz w:val="20"/>
          <w:szCs w:val="20"/>
        </w:rPr>
        <w:t xml:space="preserve">Zscaler does not advance to the 3PLZ Proof of Concept phase. Of 14 RFP-stated deliverables, the submission meets one natively, partially meets four through delegation to ServiceNow, Presidio, or downstream proxies, and does not meet the remaining nine. The three structural misses — application-layer mediation, per-tenant PKI ownership, and platform-resident DNS — are central to what the 3PLZ-RFC defines as the platform itself. They cannot be closed by integrator scope without redefining the program.</w:t>
      </w:r>
    </w:p>
    <w:p>
      <w:pPr>
        <w:spacing w:after="80" w:before="80" w:line="300"/>
        <w:jc w:val="both"/>
      </w:pPr>
      <w:r>
        <w:rPr>
          <w:rFonts w:ascii="Calibri" w:cs="Calibri" w:eastAsia="Calibri" w:hAnsi="Calibri"/>
          <w:b w:val="false"/>
          <w:bCs w:val="false"/>
          <w:i w:val="false"/>
          <w:iCs w:val="false"/>
          <w:color w:val="1F2328"/>
          <w:sz w:val="20"/>
          <w:szCs w:val="20"/>
        </w:rPr>
        <w:t xml:space="preserve">This determination is grounded in the published RFP requirements and in Zscaler's own response language. It is not a comment on Zscaler's product quality, the strength of its partnership with Presidio, or its broader fit at CVS Health. Those evaluations sit elsewhere and are not in scope for this memo.</w:t>
      </w:r>
    </w:p>
    <w:p>
      <w:pPr>
        <w:pBdr>
          <w:bottom w:val="single" w:color="8C1D40" w:sz="12" w:space="6"/>
        </w:pBdr>
        <w:spacing w:after="160" w:before="360"/>
      </w:pPr>
      <w:r>
        <w:rPr>
          <w:rFonts w:ascii="Calibri" w:cs="Calibri" w:eastAsia="Calibri" w:hAnsi="Calibri"/>
          <w:b/>
          <w:bCs/>
          <w:i w:val="false"/>
          <w:iCs w:val="false"/>
          <w:color w:val="1F2328"/>
          <w:sz w:val="32"/>
          <w:szCs w:val="32"/>
        </w:rPr>
        <w:t xml:space="preserve">8. Source Material</w:t>
      </w:r>
    </w:p>
    <w:p>
      <w:pPr>
        <w:pStyle w:val="ListParagraph"/>
        <w:numPr>
          <w:ilvl w:val="0"/>
          <w:numId w:val="1"/>
        </w:numPr>
        <w:spacing w:after="40" w:before="40" w:line="280"/>
      </w:pPr>
      <w:r>
        <w:rPr>
          <w:rFonts w:ascii="Calibri" w:cs="Calibri" w:eastAsia="Calibri" w:hAnsi="Calibri"/>
          <w:b w:val="false"/>
          <w:bCs w:val="false"/>
          <w:i w:val="false"/>
          <w:iCs w:val="false"/>
          <w:color w:val="1F2328"/>
          <w:sz w:val="20"/>
          <w:szCs w:val="20"/>
        </w:rPr>
        <w:t xml:space="preserve">3PLZ-RFC_Final-draft_v5 — Request for Proposal v2.0 (October 31, 2025)</w:t>
      </w:r>
    </w:p>
    <w:p>
      <w:pPr>
        <w:pStyle w:val="ListParagraph"/>
        <w:numPr>
          <w:ilvl w:val="0"/>
          <w:numId w:val="1"/>
        </w:numPr>
        <w:spacing w:after="40" w:before="40" w:line="280"/>
      </w:pPr>
      <w:r>
        <w:rPr>
          <w:rFonts w:ascii="Calibri" w:cs="Calibri" w:eastAsia="Calibri" w:hAnsi="Calibri"/>
          <w:b w:val="false"/>
          <w:bCs w:val="false"/>
          <w:i w:val="false"/>
          <w:iCs w:val="false"/>
          <w:color w:val="1F2328"/>
          <w:sz w:val="20"/>
          <w:szCs w:val="20"/>
        </w:rPr>
        <w:t xml:space="preserve">Zscaler 3PLZ Vendor-Agnostic Feature Matrix — Executive Summary and Capability Matrix + Answers</w:t>
      </w:r>
    </w:p>
    <w:p>
      <w:pPr>
        <w:pStyle w:val="ListParagraph"/>
        <w:numPr>
          <w:ilvl w:val="0"/>
          <w:numId w:val="1"/>
        </w:numPr>
        <w:spacing w:after="40" w:before="40" w:line="280"/>
      </w:pPr>
      <w:r>
        <w:rPr>
          <w:rFonts w:ascii="Calibri" w:cs="Calibri" w:eastAsia="Calibri" w:hAnsi="Calibri"/>
          <w:b w:val="false"/>
          <w:bCs w:val="false"/>
          <w:i w:val="false"/>
          <w:iCs w:val="false"/>
          <w:color w:val="1F2328"/>
          <w:sz w:val="20"/>
          <w:szCs w:val="20"/>
        </w:rPr>
        <w:t xml:space="preserve">Zscaler 3PLZ Proposal — Sales Cover and Quote Q-741114, dated 02/06/26</w:t>
      </w:r>
    </w:p>
    <w:p>
      <w:pPr>
        <w:pStyle w:val="ListParagraph"/>
        <w:numPr>
          <w:ilvl w:val="0"/>
          <w:numId w:val="1"/>
        </w:numPr>
        <w:spacing w:after="40" w:before="40" w:line="280"/>
      </w:pPr>
      <w:r>
        <w:rPr>
          <w:rFonts w:ascii="Calibri" w:cs="Calibri" w:eastAsia="Calibri" w:hAnsi="Calibri"/>
          <w:b w:val="false"/>
          <w:bCs w:val="false"/>
          <w:i w:val="false"/>
          <w:iCs w:val="false"/>
          <w:color w:val="1F2328"/>
          <w:sz w:val="20"/>
          <w:szCs w:val="20"/>
        </w:rPr>
        <w:t xml:space="preserve">3PLZ Executive Abstract — Platform Evaluation, Architectural Findings, and Zscaler Disposition (program-level companion memo)</w:t>
      </w:r>
    </w:p>
    <w:p>
      <w:pPr>
        <w:pStyle w:val="ListParagraph"/>
        <w:numPr>
          <w:ilvl w:val="0"/>
          <w:numId w:val="1"/>
        </w:numPr>
        <w:spacing w:after="40" w:before="40" w:line="280"/>
      </w:pPr>
      <w:r>
        <w:rPr>
          <w:rFonts w:ascii="Calibri" w:cs="Calibri" w:eastAsia="Calibri" w:hAnsi="Calibri"/>
          <w:b w:val="false"/>
          <w:bCs w:val="false"/>
          <w:i w:val="false"/>
          <w:iCs w:val="false"/>
          <w:color w:val="1F2328"/>
          <w:sz w:val="20"/>
          <w:szCs w:val="20"/>
        </w:rPr>
        <w:t xml:space="preserve">Cloudflare and F5 Distributed Cloud POC Deliverables, Rev 3 — for parallel acceptance criteria reference</w:t>
      </w:r>
    </w:p>
    <w:p>
      <w:pPr>
        <w:spacing w:after="60" w:before="60"/>
      </w:pPr>
      <w:r>
        <w:rPr>
          <w:rFonts w:ascii="Calibri" w:cs="Calibri" w:eastAsia="Calibri" w:hAnsi="Calibri"/>
          <w:b w:val="false"/>
          <w:bCs w:val="false"/>
          <w:i w:val="false"/>
          <w:iCs w:val="false"/>
          <w:color w:val="1F2328"/>
          <w:sz w:val="20"/>
          <w:szCs w:val="20"/>
        </w:rPr>
        <w:t xml:space="preserve"/>
      </w:r>
    </w:p>
    <w:p>
      <w:pPr>
        <w:pBdr>
          <w:top w:val="single" w:color="D0D7DE" w:sz="6" w:space="6"/>
        </w:pBdr>
        <w:spacing w:after="0" w:before="240"/>
        <w:jc w:val="left"/>
      </w:pPr>
      <w:r>
        <w:rPr>
          <w:rFonts w:ascii="Calibri" w:cs="Calibri" w:eastAsia="Calibri" w:hAnsi="Calibri"/>
          <w:b w:val="false"/>
          <w:bCs w:val="false"/>
          <w:i/>
          <w:iCs/>
          <w:color w:val="57606A"/>
          <w:sz w:val="18"/>
          <w:szCs w:val="18"/>
        </w:rPr>
        <w:t xml:space="preserve">— End of Memo —</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b w:val="false"/>
        <w:bCs w:val="false"/>
        <w:i w:val="false"/>
        <w:iCs w:val="false"/>
        <w:color w:val="57606A"/>
        <w:sz w:val="16"/>
        <w:szCs w:val="16"/>
      </w:rPr>
      <w:t xml:space="preserve">Page </w:t>
    </w:r>
    <w:r>
      <w:rPr>
        <w:rFonts w:ascii="Calibri" w:cs="Calibri" w:eastAsia="Calibri" w:hAnsi="Calibri"/>
        <w:color w:val="57606A"/>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7606A"/>
        <w:sz w:val="16"/>
        <w:szCs w:val="16"/>
      </w:rPr>
      <w:t xml:space="preserve"> of </w:t>
    </w:r>
    <w:r>
      <w:rPr>
        <w:rFonts w:ascii="Calibri" w:cs="Calibri" w:eastAsia="Calibri" w:hAnsi="Calibri"/>
        <w:color w:val="57606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i w:val="false"/>
        <w:iCs w:val="false"/>
        <w:color w:val="57606A"/>
        <w:sz w:val="16"/>
        <w:szCs w:val="16"/>
      </w:rPr>
      <w:t xml:space="preserve">CVS Health  |  3PLZ Program  |  Confidential — Restricted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Zscaler 3PLZ RFP Response — Disposition Against Stated Deliverables</dc:title>
  <dc:creator>CVS Health 3PLZ Program</dc:creator>
  <dc:description>Deliverable-by-deliverable mapping of the Zscaler RFP response against the 3PLZ-RFC requirements.</dc:description>
  <cp:lastModifiedBy>Un-named</cp:lastModifiedBy>
  <cp:revision>1</cp:revision>
  <dcterms:created xsi:type="dcterms:W3CDTF">2026-04-29T21:11:32.409Z</dcterms:created>
  <dcterms:modified xsi:type="dcterms:W3CDTF">2026-04-29T21:11:32.410Z</dcterms:modified>
</cp:coreProperties>
</file>

<file path=docProps/custom.xml><?xml version="1.0" encoding="utf-8"?>
<Properties xmlns="http://schemas.openxmlformats.org/officeDocument/2006/custom-properties" xmlns:vt="http://schemas.openxmlformats.org/officeDocument/2006/docPropsVTypes"/>
</file>