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200"/>
              <w:left w:type="dxa" w:w="360"/>
              <w:bottom w:type="dxa" w:w="200"/>
              <w:right w:type="dxa" w:w="360"/>
            </w:tcMar>
          </w:tcPr>
          <w:p>
            <w:pPr>
              <w:spacing w:after="60" w:before="0"/>
            </w:pPr>
            <w:r>
              <w:rPr>
                <w:rFonts w:ascii="Arial" w:cs="Arial" w:eastAsia="Arial" w:hAnsi="Arial"/>
                <w:b/>
                <w:bCs/>
                <w:color w:val="FFFFFF"/>
                <w:sz w:val="22"/>
                <w:szCs w:val="22"/>
              </w:rPr>
              <w:t xml:space="preserve">CVS Health</w:t>
            </w:r>
          </w:p>
          <w:p>
            <w:pPr>
              <w:spacing w:after="60" w:before="0"/>
            </w:pPr>
            <w:r>
              <w:rPr>
                <w:rFonts w:ascii="Arial" w:cs="Arial" w:eastAsia="Arial" w:hAnsi="Arial"/>
                <w:color w:val="FFFFFF"/>
                <w:sz w:val="20"/>
                <w:szCs w:val="20"/>
              </w:rPr>
              <w:t xml:space="preserve">Network Security Engineering</w:t>
            </w:r>
          </w:p>
        </w:tc>
      </w:tr>
    </w:tbl>
    <w:p>
      <w:pPr>
        <w:spacing w:after="240" w:before="0"/>
      </w:pPr>
      <w:r>
        <w:t xml:space="preserve"/>
      </w:r>
    </w:p>
    <w:p>
      <w:pPr>
        <w:spacing w:after="80" w:before="0"/>
      </w:pPr>
      <w:r>
        <w:rPr>
          <w:rFonts w:ascii="Arial" w:cs="Arial" w:eastAsia="Arial" w:hAnsi="Arial"/>
          <w:b/>
          <w:bCs/>
          <w:caps/>
          <w:color w:val="CC0000"/>
          <w:sz w:val="20"/>
          <w:szCs w:val="20"/>
        </w:rPr>
        <w:t xml:space="preserve">THIRD-PARTY LANDING ZONE</w:t>
      </w:r>
    </w:p>
    <w:p>
      <w:pPr>
        <w:spacing w:after="120" w:before="0"/>
      </w:pPr>
      <w:r>
        <w:rPr>
          <w:rFonts w:ascii="Arial" w:cs="Arial" w:eastAsia="Arial" w:hAnsi="Arial"/>
          <w:b/>
          <w:bCs/>
          <w:color w:val="1A1A2E"/>
          <w:sz w:val="40"/>
          <w:szCs w:val="40"/>
        </w:rPr>
        <w:t xml:space="preserve">3PLZ POC Test Environment &amp; Harness Specification</w:t>
      </w:r>
    </w:p>
    <w:p>
      <w:pPr>
        <w:spacing w:after="60" w:before="0"/>
      </w:pPr>
      <w:r>
        <w:rPr>
          <w:rFonts w:ascii="Arial" w:cs="Arial" w:eastAsia="Arial" w:hAnsi="Arial"/>
          <w:b/>
          <w:bCs/>
          <w:color w:val="1A4E8A"/>
          <w:sz w:val="28"/>
          <w:szCs w:val="28"/>
        </w:rPr>
        <w:t xml:space="preserve">Executive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none" w:color="FFFFFF" w:sz="0"/>
              <w:bottom w:val="single" w:color="CCCCCC" w:sz="4"/>
              <w:right w:val="none" w:color="FFFFFF" w:sz="0"/>
            </w:tcBorders>
            <w:shd w:fill="FFFFFF" w:val="clear"/>
            <w:tcMar>
              <w:top w:type="dxa" w:w="120"/>
              <w:left w:type="dxa" w:w="0"/>
              <w:bottom w:type="dxa" w:w="120"/>
              <w:right w:type="dxa" w:w="0"/>
            </w:tcMar>
          </w:tcPr>
          <w:p>
            <w:pPr>
              <w:spacing w:after="80" w:before="0"/>
            </w:pPr>
            <w:r>
              <w:rPr>
                <w:rFonts w:ascii="Arial" w:cs="Arial" w:eastAsia="Arial" w:hAnsi="Arial"/>
                <w:b/>
                <w:bCs/>
                <w:color w:val="1A1A2E"/>
                <w:sz w:val="19"/>
                <w:szCs w:val="19"/>
              </w:rPr>
              <w:t xml:space="preserve">Prepared by:  </w:t>
            </w:r>
            <w:r>
              <w:rPr>
                <w:rFonts w:ascii="Arial" w:cs="Arial" w:eastAsia="Arial" w:hAnsi="Arial"/>
                <w:color w:val="1A1A2E"/>
                <w:sz w:val="19"/>
                <w:szCs w:val="19"/>
              </w:rPr>
              <w:t xml:space="preserve">Michael J. Martin, Lead Director, Network Security Engineering</w:t>
            </w:r>
          </w:p>
          <w:p>
            <w:pPr>
              <w:spacing w:after="80" w:before="0"/>
            </w:pPr>
            <w:r>
              <w:rPr>
                <w:rFonts w:ascii="Arial" w:cs="Arial" w:eastAsia="Arial" w:hAnsi="Arial"/>
                <w:b/>
                <w:bCs/>
                <w:color w:val="1A1A2E"/>
                <w:sz w:val="19"/>
                <w:szCs w:val="19"/>
              </w:rPr>
              <w:t xml:space="preserve">Specification:  </w:t>
            </w:r>
            <w:r>
              <w:rPr>
                <w:rFonts w:ascii="Arial" w:cs="Arial" w:eastAsia="Arial" w:hAnsi="Arial"/>
                <w:color w:val="1A1A2E"/>
                <w:sz w:val="19"/>
                <w:szCs w:val="19"/>
              </w:rPr>
              <w:t xml:space="preserve">v1.1  |  April 30, 2026</w:t>
            </w:r>
          </w:p>
          <w:p>
            <w:pPr>
              <w:spacing w:after="80" w:before="0"/>
            </w:pPr>
            <w:r>
              <w:rPr>
                <w:rFonts w:ascii="Arial" w:cs="Arial" w:eastAsia="Arial" w:hAnsi="Arial"/>
                <w:b/>
                <w:bCs/>
                <w:color w:val="1A1A2E"/>
                <w:sz w:val="19"/>
                <w:szCs w:val="19"/>
              </w:rPr>
              <w:t xml:space="preserve">Classification:  </w:t>
            </w:r>
            <w:r>
              <w:rPr>
                <w:rFonts w:ascii="Arial" w:cs="Arial" w:eastAsia="Arial" w:hAnsi="Arial"/>
                <w:color w:val="1A1A2E"/>
                <w:sz w:val="19"/>
                <w:szCs w:val="19"/>
              </w:rPr>
              <w:t xml:space="preserve">CVS Health Internal — Engineering and Leadership Distribution</w:t>
            </w:r>
          </w:p>
          <w:p>
            <w:pPr>
              <w:spacing w:after="0" w:before="0"/>
            </w:pPr>
            <w:r>
              <w:rPr>
                <w:rFonts w:ascii="Arial" w:cs="Arial" w:eastAsia="Arial" w:hAnsi="Arial"/>
                <w:b/>
                <w:bCs/>
                <w:color w:val="1A1A2E"/>
                <w:sz w:val="19"/>
                <w:szCs w:val="19"/>
              </w:rPr>
              <w:t xml:space="preserve">Vendors in Scope:  </w:t>
            </w:r>
            <w:r>
              <w:rPr>
                <w:rFonts w:ascii="Arial" w:cs="Arial" w:eastAsia="Arial" w:hAnsi="Arial"/>
                <w:color w:val="1A1A2E"/>
                <w:sz w:val="19"/>
                <w:szCs w:val="19"/>
              </w:rPr>
              <w:t xml:space="preserve">F5 Distributed Cloud  |  Cloudflare Zero Trust</w:t>
            </w:r>
          </w:p>
        </w:tc>
      </w:tr>
    </w:tbl>
    <w:p>
      <w:pPr>
        <w:spacing w:after="30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AT A GLANCE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40" w:before="0"/>
              <w:jc w:val="center"/>
            </w:pPr>
            <w:r>
              <w:rPr>
                <w:rFonts w:ascii="Arial" w:cs="Arial" w:eastAsia="Arial" w:hAnsi="Arial"/>
                <w:b/>
                <w:bCs/>
                <w:color w:val="CC0000"/>
                <w:sz w:val="52"/>
                <w:szCs w:val="52"/>
              </w:rPr>
              <w:t xml:space="preserve">2</w:t>
            </w:r>
          </w:p>
          <w:p>
            <w:pPr>
              <w:spacing w:after="20" w:before="0"/>
              <w:jc w:val="center"/>
            </w:pPr>
            <w:r>
              <w:rPr>
                <w:rFonts w:ascii="Arial" w:cs="Arial" w:eastAsia="Arial" w:hAnsi="Arial"/>
                <w:b/>
                <w:bCs/>
                <w:color w:val="1A1A2E"/>
                <w:sz w:val="18"/>
                <w:szCs w:val="18"/>
              </w:rPr>
              <w:t xml:space="preserve">Candidate Platforms</w:t>
            </w:r>
          </w:p>
          <w:p>
            <w:pPr>
              <w:spacing w:after="0" w:before="0"/>
              <w:jc w:val="center"/>
            </w:pPr>
            <w:r>
              <w:rPr>
                <w:rFonts w:ascii="Arial" w:cs="Arial" w:eastAsia="Arial" w:hAnsi="Arial"/>
                <w:color w:val="666666"/>
                <w:sz w:val="16"/>
                <w:szCs w:val="16"/>
              </w:rPr>
              <w:t xml:space="preserve">F5 Distributed Cloud · Cloudflare</w:t>
            </w:r>
          </w:p>
        </w:tc>
        <w:tc>
          <w:tcPr>
            <w:tcW w:type="dxa" w:w="234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40" w:before="0"/>
              <w:jc w:val="center"/>
            </w:pPr>
            <w:r>
              <w:rPr>
                <w:rFonts w:ascii="Arial" w:cs="Arial" w:eastAsia="Arial" w:hAnsi="Arial"/>
                <w:b/>
                <w:bCs/>
                <w:color w:val="CC0000"/>
                <w:sz w:val="52"/>
                <w:szCs w:val="52"/>
              </w:rPr>
              <w:t xml:space="preserve">10</w:t>
            </w:r>
          </w:p>
          <w:p>
            <w:pPr>
              <w:spacing w:after="20" w:before="0"/>
              <w:jc w:val="center"/>
            </w:pPr>
            <w:r>
              <w:rPr>
                <w:rFonts w:ascii="Arial" w:cs="Arial" w:eastAsia="Arial" w:hAnsi="Arial"/>
                <w:b/>
                <w:bCs/>
                <w:color w:val="1A1A2E"/>
                <w:sz w:val="18"/>
                <w:szCs w:val="18"/>
              </w:rPr>
              <w:t xml:space="preserve">POC Duration</w:t>
            </w:r>
          </w:p>
          <w:p>
            <w:pPr>
              <w:spacing w:after="0" w:before="0"/>
              <w:jc w:val="center"/>
            </w:pPr>
            <w:r>
              <w:rPr>
                <w:rFonts w:ascii="Arial" w:cs="Arial" w:eastAsia="Arial" w:hAnsi="Arial"/>
                <w:color w:val="666666"/>
                <w:sz w:val="16"/>
                <w:szCs w:val="16"/>
              </w:rPr>
              <w:t xml:space="preserve">weeks (program window)</w:t>
            </w:r>
          </w:p>
        </w:tc>
        <w:tc>
          <w:tcPr>
            <w:tcW w:type="dxa" w:w="234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40" w:before="0"/>
              <w:jc w:val="center"/>
            </w:pPr>
            <w:r>
              <w:rPr>
                <w:rFonts w:ascii="Arial" w:cs="Arial" w:eastAsia="Arial" w:hAnsi="Arial"/>
                <w:b/>
                <w:bCs/>
                <w:color w:val="CC0000"/>
                <w:sz w:val="52"/>
                <w:szCs w:val="52"/>
              </w:rPr>
              <w:t xml:space="preserve">~90</w:t>
            </w:r>
          </w:p>
          <w:p>
            <w:pPr>
              <w:spacing w:after="20" w:before="0"/>
              <w:jc w:val="center"/>
            </w:pPr>
            <w:r>
              <w:rPr>
                <w:rFonts w:ascii="Arial" w:cs="Arial" w:eastAsia="Arial" w:hAnsi="Arial"/>
                <w:b/>
                <w:bCs/>
                <w:color w:val="1A1A2E"/>
                <w:sz w:val="18"/>
                <w:szCs w:val="18"/>
              </w:rPr>
              <w:t xml:space="preserve">Test Executions</w:t>
            </w:r>
          </w:p>
          <w:p>
            <w:pPr>
              <w:spacing w:after="0" w:before="0"/>
              <w:jc w:val="center"/>
            </w:pPr>
            <w:r>
              <w:rPr>
                <w:rFonts w:ascii="Arial" w:cs="Arial" w:eastAsia="Arial" w:hAnsi="Arial"/>
                <w:color w:val="666666"/>
                <w:sz w:val="16"/>
                <w:szCs w:val="16"/>
              </w:rPr>
              <w:t xml:space="preserve">across 4 test layers</w:t>
            </w:r>
          </w:p>
        </w:tc>
        <w:tc>
          <w:tcPr>
            <w:tcW w:type="dxa" w:w="234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40" w:before="0"/>
              <w:jc w:val="center"/>
            </w:pPr>
            <w:r>
              <w:rPr>
                <w:rFonts w:ascii="Arial" w:cs="Arial" w:eastAsia="Arial" w:hAnsi="Arial"/>
                <w:b/>
                <w:bCs/>
                <w:color w:val="CC0000"/>
                <w:sz w:val="52"/>
                <w:szCs w:val="52"/>
              </w:rPr>
              <w:t xml:space="preserve">$700–1,500</w:t>
            </w:r>
          </w:p>
          <w:p>
            <w:pPr>
              <w:spacing w:after="20" w:before="0"/>
              <w:jc w:val="center"/>
            </w:pPr>
            <w:r>
              <w:rPr>
                <w:rFonts w:ascii="Arial" w:cs="Arial" w:eastAsia="Arial" w:hAnsi="Arial"/>
                <w:b/>
                <w:bCs/>
                <w:color w:val="1A1A2E"/>
                <w:sz w:val="18"/>
                <w:szCs w:val="18"/>
              </w:rPr>
              <w:t xml:space="preserve">Infrastructure Cost</w:t>
            </w:r>
          </w:p>
          <w:p>
            <w:pPr>
              <w:spacing w:after="0" w:before="0"/>
              <w:jc w:val="center"/>
            </w:pPr>
            <w:r>
              <w:rPr>
                <w:rFonts w:ascii="Arial" w:cs="Arial" w:eastAsia="Arial" w:hAnsi="Arial"/>
                <w:color w:val="666666"/>
                <w:sz w:val="16"/>
                <w:szCs w:val="16"/>
              </w:rPr>
              <w:t xml:space="preserve">per month, harness only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40" w:before="0"/>
              <w:jc w:val="center"/>
            </w:pPr>
            <w:r>
              <w:rPr>
                <w:rFonts w:ascii="Arial" w:cs="Arial" w:eastAsia="Arial" w:hAnsi="Arial"/>
                <w:b/>
                <w:bCs/>
                <w:color w:val="CC0000"/>
                <w:sz w:val="52"/>
                <w:szCs w:val="52"/>
              </w:rPr>
              <w:t xml:space="preserve">5</w:t>
            </w:r>
          </w:p>
          <w:p>
            <w:pPr>
              <w:spacing w:after="20" w:before="0"/>
              <w:jc w:val="center"/>
            </w:pPr>
            <w:r>
              <w:rPr>
                <w:rFonts w:ascii="Arial" w:cs="Arial" w:eastAsia="Arial" w:hAnsi="Arial"/>
                <w:b/>
                <w:bCs/>
                <w:color w:val="1A1A2E"/>
                <w:sz w:val="18"/>
                <w:szCs w:val="18"/>
              </w:rPr>
              <w:t xml:space="preserve">Test Tenants</w:t>
            </w:r>
          </w:p>
          <w:p>
            <w:pPr>
              <w:spacing w:after="0" w:before="0"/>
              <w:jc w:val="center"/>
            </w:pPr>
            <w:r>
              <w:rPr>
                <w:rFonts w:ascii="Arial" w:cs="Arial" w:eastAsia="Arial" w:hAnsi="Arial"/>
                <w:color w:val="666666"/>
                <w:sz w:val="16"/>
                <w:szCs w:val="16"/>
              </w:rPr>
              <w:t xml:space="preserve">concurrent, structurally isolated</w:t>
            </w:r>
          </w:p>
        </w:tc>
        <w:tc>
          <w:tcPr>
            <w:tcW w:type="dxa" w:w="234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40" w:before="0"/>
              <w:jc w:val="center"/>
            </w:pPr>
            <w:r>
              <w:rPr>
                <w:rFonts w:ascii="Arial" w:cs="Arial" w:eastAsia="Arial" w:hAnsi="Arial"/>
                <w:b/>
                <w:bCs/>
                <w:color w:val="CC0000"/>
                <w:sz w:val="52"/>
                <w:szCs w:val="52"/>
              </w:rPr>
              <w:t xml:space="preserve">120</w:t>
            </w:r>
          </w:p>
          <w:p>
            <w:pPr>
              <w:spacing w:after="20" w:before="0"/>
              <w:jc w:val="center"/>
            </w:pPr>
            <w:r>
              <w:rPr>
                <w:rFonts w:ascii="Arial" w:cs="Arial" w:eastAsia="Arial" w:hAnsi="Arial"/>
                <w:b/>
                <w:bCs/>
                <w:color w:val="1A1A2E"/>
                <w:sz w:val="18"/>
                <w:szCs w:val="18"/>
              </w:rPr>
              <w:t xml:space="preserve">Cross-Tenant Checks</w:t>
            </w:r>
          </w:p>
          <w:p>
            <w:pPr>
              <w:spacing w:after="0" w:before="0"/>
              <w:jc w:val="center"/>
            </w:pPr>
            <w:r>
              <w:rPr>
                <w:rFonts w:ascii="Arial" w:cs="Arial" w:eastAsia="Arial" w:hAnsi="Arial"/>
                <w:color w:val="666666"/>
                <w:sz w:val="16"/>
                <w:szCs w:val="16"/>
              </w:rPr>
              <w:t xml:space="preserve">6 vectors × 20 ordered pairs</w:t>
            </w:r>
          </w:p>
        </w:tc>
        <w:tc>
          <w:tcPr>
            <w:tcW w:type="dxa" w:w="234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40" w:before="0"/>
              <w:jc w:val="center"/>
            </w:pPr>
            <w:r>
              <w:rPr>
                <w:rFonts w:ascii="Arial" w:cs="Arial" w:eastAsia="Arial" w:hAnsi="Arial"/>
                <w:b/>
                <w:bCs/>
                <w:color w:val="CC0000"/>
                <w:sz w:val="52"/>
                <w:szCs w:val="52"/>
              </w:rPr>
              <w:t xml:space="preserve">24 mo.</w:t>
            </w:r>
          </w:p>
          <w:p>
            <w:pPr>
              <w:spacing w:after="20" w:before="0"/>
              <w:jc w:val="center"/>
            </w:pPr>
            <w:r>
              <w:rPr>
                <w:rFonts w:ascii="Arial" w:cs="Arial" w:eastAsia="Arial" w:hAnsi="Arial"/>
                <w:b/>
                <w:bCs/>
                <w:color w:val="1A1A2E"/>
                <w:sz w:val="18"/>
                <w:szCs w:val="18"/>
              </w:rPr>
              <w:t xml:space="preserve">Evidence Retention</w:t>
            </w:r>
          </w:p>
          <w:p>
            <w:pPr>
              <w:spacing w:after="0" w:before="0"/>
              <w:jc w:val="center"/>
            </w:pPr>
            <w:r>
              <w:rPr>
                <w:rFonts w:ascii="Arial" w:cs="Arial" w:eastAsia="Arial" w:hAnsi="Arial"/>
                <w:color w:val="666666"/>
                <w:sz w:val="16"/>
                <w:szCs w:val="16"/>
              </w:rPr>
              <w:t xml:space="preserve">Object Lock COMPLIANCE mode</w:t>
            </w:r>
          </w:p>
        </w:tc>
        <w:tc>
          <w:tcPr>
            <w:tcW w:type="dxa" w:w="234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40" w:before="0"/>
              <w:jc w:val="center"/>
            </w:pPr>
            <w:r>
              <w:rPr>
                <w:rFonts w:ascii="Arial" w:cs="Arial" w:eastAsia="Arial" w:hAnsi="Arial"/>
                <w:b/>
                <w:bCs/>
                <w:color w:val="CC0000"/>
                <w:sz w:val="52"/>
                <w:szCs w:val="52"/>
              </w:rPr>
              <w:t xml:space="preserve">v1.1</w:t>
            </w:r>
          </w:p>
          <w:p>
            <w:pPr>
              <w:spacing w:after="20" w:before="0"/>
              <w:jc w:val="center"/>
            </w:pPr>
            <w:r>
              <w:rPr>
                <w:rFonts w:ascii="Arial" w:cs="Arial" w:eastAsia="Arial" w:hAnsi="Arial"/>
                <w:b/>
                <w:bCs/>
                <w:color w:val="1A1A2E"/>
                <w:sz w:val="18"/>
                <w:szCs w:val="18"/>
              </w:rPr>
              <w:t xml:space="preserve">Version</w:t>
            </w:r>
          </w:p>
          <w:p>
            <w:pPr>
              <w:spacing w:after="0" w:before="0"/>
              <w:jc w:val="center"/>
            </w:pPr>
            <w:r>
              <w:rPr>
                <w:rFonts w:ascii="Arial" w:cs="Arial" w:eastAsia="Arial" w:hAnsi="Arial"/>
                <w:color w:val="666666"/>
                <w:sz w:val="16"/>
                <w:szCs w:val="16"/>
              </w:rPr>
              <w:t xml:space="preserve">April 30, 2026</w:t>
            </w:r>
          </w:p>
        </w:tc>
      </w:tr>
    </w:tbl>
    <w:p>
      <w:pPr>
        <w:spacing w:after="16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WHAT THIS DOCUMENT IS</w:t>
      </w:r>
    </w:p>
    <w:p>
      <w:pPr>
        <w:spacing w:after="60" w:before="0"/>
      </w:pPr>
      <w:r>
        <w:t xml:space="preserve"/>
      </w:r>
    </w:p>
    <w:p>
      <w:pPr>
        <w:spacing w:after="100" w:before="0"/>
      </w:pPr>
      <w:r>
        <w:rPr>
          <w:rFonts w:ascii="Arial" w:cs="Arial" w:eastAsia="Arial" w:hAnsi="Arial"/>
          <w:color w:val="1A1A2E"/>
          <w:sz w:val="20"/>
          <w:szCs w:val="20"/>
        </w:rPr>
        <w:t xml:space="preserve">This specification defines the cloud-hosted test harness, methodology, evidence pipeline, and acceptance criteria under which CVS Health Network Security Engineering will evaluate two candidate platforms for the Third-Party Landing Zone (3PLZ) program: F5 Distributed Cloud and Cloudflare Zero Trust. It is the third document in a coordinated set:</w:t>
      </w:r>
    </w:p>
    <w:p>
      <w:pPr>
        <w:spacing w:after="40" w:before="0"/>
      </w:pPr>
      <w:r>
        <w:t xml:space="preserve"/>
      </w:r>
    </w:p>
    <w:p>
      <w:pPr>
        <w:spacing w:after="60" w:before="20"/>
        <w:ind w:left="360" w:hanging="360"/>
      </w:pPr>
      <w:r>
        <w:rPr>
          <w:rFonts w:ascii="Arial" w:cs="Arial" w:eastAsia="Arial" w:hAnsi="Arial"/>
          <w:b/>
          <w:bCs/>
          <w:color w:val="1A4E8A"/>
          <w:sz w:val="20"/>
          <w:szCs w:val="20"/>
        </w:rPr>
        <w:t xml:space="preserve">Cloudflare POC Deliverables v3</w:t>
      </w:r>
      <w:r>
        <w:rPr>
          <w:rFonts w:ascii="Arial" w:cs="Arial" w:eastAsia="Arial" w:hAnsi="Arial"/>
          <w:color w:val="1A1A2E"/>
          <w:sz w:val="20"/>
          <w:szCs w:val="20"/>
        </w:rPr>
        <w:t xml:space="preserve">  Vendor capability requirements and scoring criteria for Cloudflare.</w:t>
      </w:r>
    </w:p>
    <w:p>
      <w:pPr>
        <w:spacing w:after="60" w:before="20"/>
        <w:ind w:left="360" w:hanging="360"/>
      </w:pPr>
      <w:r>
        <w:rPr>
          <w:rFonts w:ascii="Arial" w:cs="Arial" w:eastAsia="Arial" w:hAnsi="Arial"/>
          <w:b/>
          <w:bCs/>
          <w:color w:val="1A4E8A"/>
          <w:sz w:val="20"/>
          <w:szCs w:val="20"/>
        </w:rPr>
        <w:t xml:space="preserve">F5 Distributed Cloud POC Deliverables v3.2</w:t>
      </w:r>
      <w:r>
        <w:rPr>
          <w:rFonts w:ascii="Arial" w:cs="Arial" w:eastAsia="Arial" w:hAnsi="Arial"/>
          <w:color w:val="1A1A2E"/>
          <w:sz w:val="20"/>
          <w:szCs w:val="20"/>
        </w:rPr>
        <w:t xml:space="preserve">  Equivalent requirements and scoring for F5.</w:t>
      </w:r>
    </w:p>
    <w:p>
      <w:pPr>
        <w:spacing w:after="60" w:before="20"/>
        <w:ind w:left="360" w:hanging="360"/>
      </w:pPr>
      <w:r>
        <w:rPr>
          <w:rFonts w:ascii="Arial" w:cs="Arial" w:eastAsia="Arial" w:hAnsi="Arial"/>
          <w:b/>
          <w:bCs/>
          <w:color w:val="1A4E8A"/>
          <w:sz w:val="20"/>
          <w:szCs w:val="20"/>
        </w:rPr>
        <w:t xml:space="preserve">This document (v1.1)</w:t>
      </w:r>
      <w:r>
        <w:rPr>
          <w:rFonts w:ascii="Arial" w:cs="Arial" w:eastAsia="Arial" w:hAnsi="Arial"/>
          <w:color w:val="1A1A2E"/>
          <w:sz w:val="20"/>
          <w:szCs w:val="20"/>
        </w:rPr>
        <w:t xml:space="preserve">  The controlled environment, test methodology, and evidence standard that operationalizes both sets of criteria.</w:t>
      </w:r>
    </w:p>
    <w:p>
      <w:pPr>
        <w:spacing w:after="100" w:before="0"/>
      </w:pPr>
      <w:r>
        <w:t xml:space="preserve"/>
      </w:r>
    </w:p>
    <w:p>
      <w:pPr>
        <w:spacing w:after="100" w:before="0"/>
      </w:pPr>
      <w:r>
        <w:rPr>
          <w:rFonts w:ascii="Arial" w:cs="Arial" w:eastAsia="Arial" w:hAnsi="Arial"/>
          <w:color w:val="1A1A2E"/>
          <w:sz w:val="20"/>
          <w:szCs w:val="20"/>
        </w:rPr>
        <w:t xml:space="preserve">This document does not select a vendor. It defines how selection evidence will be collected and validated. The recommendation is derived from that evidence by the CVS evaluation team — not from vendor demonstrations, vendor-reported results, or sales engineering narratives.</w:t>
      </w:r>
    </w:p>
    <w:p>
      <w:pPr>
        <w:spacing w:after="16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WHY A STRUCTURED HARNESS IS REQUIRED</w:t>
      </w:r>
    </w:p>
    <w:p>
      <w:pPr>
        <w:spacing w:after="60" w:before="0"/>
      </w:pPr>
      <w:r>
        <w:t xml:space="preserve"/>
      </w:r>
    </w:p>
    <w:p>
      <w:pPr>
        <w:spacing w:after="100" w:before="0"/>
      </w:pPr>
      <w:r>
        <w:rPr>
          <w:rFonts w:ascii="Arial" w:cs="Arial" w:eastAsia="Arial" w:hAnsi="Arial"/>
          <w:color w:val="1A1A2E"/>
          <w:sz w:val="20"/>
          <w:szCs w:val="20"/>
        </w:rPr>
        <w:t xml:space="preserve">The 3PLZ platform capabilities cannot be validated by observing a vendor demonstration. The capabilities under evaluation — per-tenant CA isolation, governed bidirectional mediation, deterministic tenant lifecycle, multi-tenant isolation under adversarial conditions — require structured, instrumented, repeatable testing under CVS-controlled conditions. Four common alternatives all fail on one or more of the three properties a platform decision of this scope requires: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tcPr>
          <w:p>
            <w:r>
              <w:rPr>
                <w:rFonts w:ascii="Arial" w:cs="Arial" w:eastAsia="Arial" w:hAnsi="Arial"/>
                <w:b/>
                <w:bCs/>
                <w:color w:val="FFFFFF"/>
                <w:sz w:val="18"/>
                <w:szCs w:val="18"/>
              </w:rPr>
              <w:t xml:space="preserve">Alternative</w:t>
            </w:r>
          </w:p>
        </w:tc>
        <w:tc>
          <w:tcPr>
            <w:tcW w:type="dxa" w:w="2187"/>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Repeatable</w:t>
            </w:r>
          </w:p>
        </w:tc>
        <w:tc>
          <w:tcPr>
            <w:tcW w:type="dxa" w:w="2187"/>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Comparable</w:t>
            </w:r>
          </w:p>
        </w:tc>
        <w:tc>
          <w:tcPr>
            <w:tcW w:type="dxa" w:w="2187"/>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Defensible</w:t>
            </w:r>
          </w:p>
        </w:tc>
      </w:tr>
      <w:tr>
        <w:tc>
          <w:tcPr>
            <w:tcW w:type="dxa" w:w="2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val="false"/>
                <w:bCs w:val="false"/>
                <w:color w:val="1A1A2E"/>
                <w:sz w:val="18"/>
                <w:szCs w:val="18"/>
              </w:rPr>
              <w:t xml:space="preserve">Vendor-run demo</w:t>
            </w:r>
          </w:p>
        </w:tc>
        <w:tc>
          <w:tcPr>
            <w:tcW w:type="dxa" w:w="2187"/>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c>
          <w:tcPr>
            <w:tcW w:type="dxa" w:w="2187"/>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c>
          <w:tcPr>
            <w:tcW w:type="dxa" w:w="2187"/>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Vendor-run POC in vendor environment</w:t>
            </w:r>
          </w:p>
        </w:tc>
        <w:tc>
          <w:tcPr>
            <w:tcW w:type="dxa" w:w="21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c>
          <w:tcPr>
            <w:tcW w:type="dxa" w:w="21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c>
          <w:tcPr>
            <w:tcW w:type="dxa" w:w="21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r>
      <w:tr>
        <w:tc>
          <w:tcPr>
            <w:tcW w:type="dxa" w:w="2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Integrator POC, single backend</w:t>
            </w:r>
          </w:p>
        </w:tc>
        <w:tc>
          <w:tcPr>
            <w:tcW w:type="dxa" w:w="2187"/>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c>
          <w:tcPr>
            <w:tcW w:type="dxa" w:w="2187"/>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c>
          <w:tcPr>
            <w:tcW w:type="dxa" w:w="2187"/>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Ad-hoc plug-in to CVS lab</w:t>
            </w:r>
          </w:p>
        </w:tc>
        <w:tc>
          <w:tcPr>
            <w:tcW w:type="dxa" w:w="21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c>
          <w:tcPr>
            <w:tcW w:type="dxa" w:w="21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c>
          <w:tcPr>
            <w:tcW w:type="dxa" w:w="21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w:t>
            </w:r>
          </w:p>
        </w:tc>
      </w:tr>
      <w:tr>
        <w:tc>
          <w:tcPr>
            <w:tcW w:type="dxa" w:w="2800"/>
            <w:tcBorders>
              <w:top w:val="single" w:color="CCCCCC" w:sz="4"/>
              <w:left w:val="single" w:color="CCCCCC" w:sz="4"/>
              <w:bottom w:val="single" w:color="CCCCCC" w:sz="4"/>
              <w:right w:val="single" w:color="CCCCCC" w:sz="4"/>
            </w:tcBorders>
            <w:shd w:fill="EBF5EB" w:val="clear"/>
            <w:tcMar>
              <w:top w:type="dxa" w:w="80"/>
              <w:left w:type="dxa" w:w="120"/>
              <w:bottom w:type="dxa" w:w="80"/>
              <w:right w:type="dxa" w:w="120"/>
            </w:tcMar>
          </w:tcPr>
          <w:p>
            <w:r>
              <w:rPr>
                <w:rFonts w:ascii="Arial" w:cs="Arial" w:eastAsia="Arial" w:hAnsi="Arial"/>
                <w:b/>
                <w:bCs/>
                <w:color w:val="1A6B3A"/>
                <w:sz w:val="18"/>
                <w:szCs w:val="18"/>
              </w:rPr>
              <w:t xml:space="preserve">This harness</w:t>
            </w:r>
          </w:p>
        </w:tc>
        <w:tc>
          <w:tcPr>
            <w:tcW w:type="dxa" w:w="2187"/>
            <w:tcBorders>
              <w:top w:val="single" w:color="CCCCCC" w:sz="4"/>
              <w:left w:val="single" w:color="CCCCCC" w:sz="4"/>
              <w:bottom w:val="single" w:color="CCCCCC" w:sz="4"/>
              <w:right w:val="single" w:color="CCCCCC" w:sz="4"/>
            </w:tcBorders>
            <w:shd w:fill="EBF5EB" w:val="clear"/>
            <w:tcMar>
              <w:top w:type="dxa" w:w="80"/>
              <w:left w:type="dxa" w:w="120"/>
              <w:bottom w:type="dxa" w:w="80"/>
              <w:right w:type="dxa" w:w="120"/>
            </w:tcMar>
            <w:vAlign w:val="center"/>
          </w:tcPr>
          <w:p>
            <w:pPr>
              <w:jc w:val="center"/>
            </w:pPr>
            <w:r>
              <w:rPr>
                <w:rFonts w:ascii="Arial" w:cs="Arial" w:eastAsia="Arial" w:hAnsi="Arial"/>
                <w:b/>
                <w:bCs/>
                <w:color w:val="1A6B3A"/>
                <w:sz w:val="22"/>
                <w:szCs w:val="22"/>
              </w:rPr>
              <w:t xml:space="preserve">✔</w:t>
            </w:r>
          </w:p>
        </w:tc>
        <w:tc>
          <w:tcPr>
            <w:tcW w:type="dxa" w:w="2187"/>
            <w:tcBorders>
              <w:top w:val="single" w:color="CCCCCC" w:sz="4"/>
              <w:left w:val="single" w:color="CCCCCC" w:sz="4"/>
              <w:bottom w:val="single" w:color="CCCCCC" w:sz="4"/>
              <w:right w:val="single" w:color="CCCCCC" w:sz="4"/>
            </w:tcBorders>
            <w:shd w:fill="EBF5EB" w:val="clear"/>
            <w:tcMar>
              <w:top w:type="dxa" w:w="80"/>
              <w:left w:type="dxa" w:w="120"/>
              <w:bottom w:type="dxa" w:w="80"/>
              <w:right w:type="dxa" w:w="120"/>
            </w:tcMar>
            <w:vAlign w:val="center"/>
          </w:tcPr>
          <w:p>
            <w:pPr>
              <w:jc w:val="center"/>
            </w:pPr>
            <w:r>
              <w:rPr>
                <w:rFonts w:ascii="Arial" w:cs="Arial" w:eastAsia="Arial" w:hAnsi="Arial"/>
                <w:b/>
                <w:bCs/>
                <w:color w:val="1A6B3A"/>
                <w:sz w:val="22"/>
                <w:szCs w:val="22"/>
              </w:rPr>
              <w:t xml:space="preserve">✔</w:t>
            </w:r>
          </w:p>
        </w:tc>
        <w:tc>
          <w:tcPr>
            <w:tcW w:type="dxa" w:w="2187"/>
            <w:tcBorders>
              <w:top w:val="single" w:color="CCCCCC" w:sz="4"/>
              <w:left w:val="single" w:color="CCCCCC" w:sz="4"/>
              <w:bottom w:val="single" w:color="CCCCCC" w:sz="4"/>
              <w:right w:val="single" w:color="CCCCCC" w:sz="4"/>
            </w:tcBorders>
            <w:shd w:fill="EBF5EB" w:val="clear"/>
            <w:tcMar>
              <w:top w:type="dxa" w:w="80"/>
              <w:left w:type="dxa" w:w="120"/>
              <w:bottom w:type="dxa" w:w="80"/>
              <w:right w:type="dxa" w:w="120"/>
            </w:tcMar>
            <w:vAlign w:val="center"/>
          </w:tcPr>
          <w:p>
            <w:pPr>
              <w:jc w:val="center"/>
            </w:pPr>
            <w:r>
              <w:rPr>
                <w:rFonts w:ascii="Arial" w:cs="Arial" w:eastAsia="Arial" w:hAnsi="Arial"/>
                <w:b/>
                <w:bCs/>
                <w:color w:val="1A6B3A"/>
                <w:sz w:val="22"/>
                <w:szCs w:val="22"/>
              </w:rPr>
              <w:t xml:space="preserve">✔</w:t>
            </w:r>
          </w:p>
        </w:tc>
      </w:tr>
    </w:tbl>
    <w:p>
      <w:pPr>
        <w:spacing w:after="100" w:before="0"/>
      </w:pPr>
      <w:r>
        <w:t xml:space="preserve"/>
      </w:r>
    </w:p>
    <w:p>
      <w:pPr>
        <w:spacing w:after="100" w:before="0"/>
      </w:pPr>
      <w:r>
        <w:rPr>
          <w:rFonts w:ascii="Arial" w:cs="Arial" w:eastAsia="Arial" w:hAnsi="Arial"/>
          <w:color w:val="1A1A2E"/>
          <w:sz w:val="20"/>
          <w:szCs w:val="20"/>
        </w:rPr>
        <w:t xml:space="preserve">The harness approach is the inexpensive option. At $700–$1,500 per month in cloud infrastructure, it represents two to three orders of magnitude less cost than the first-year platform license, and four orders of magnitude less than the cost of replacing a wrongly-selected platform two years into production.</w:t>
      </w:r>
    </w:p>
    <w:p>
      <w:pPr>
        <w:spacing w:after="16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WHAT IS BEING BUILT AND OPERATED</w:t>
      </w:r>
    </w:p>
    <w:p>
      <w:pPr>
        <w:spacing w:after="60" w:before="0"/>
      </w:pPr>
      <w:r>
        <w:t xml:space="preserve"/>
      </w:r>
    </w:p>
    <w:p>
      <w:pPr>
        <w:spacing w:after="60" w:before="180"/>
      </w:pPr>
      <w:r>
        <w:rPr>
          <w:rFonts w:ascii="Arial" w:cs="Arial" w:eastAsia="Arial" w:hAnsi="Arial"/>
          <w:b/>
          <w:bCs/>
          <w:color w:val="1A1A2E"/>
          <w:sz w:val="22"/>
          <w:szCs w:val="22"/>
        </w:rPr>
        <w:t xml:space="preserve">Cloud infrastructure (AWS primary / GCP equivalent)</w:t>
      </w:r>
    </w:p>
    <w:p>
      <w:pPr>
        <w:spacing w:after="100" w:before="0"/>
      </w:pPr>
      <w:r>
        <w:rPr>
          <w:rFonts w:ascii="Arial" w:cs="Arial" w:eastAsia="Arial" w:hAnsi="Arial"/>
          <w:color w:val="1A1A2E"/>
          <w:sz w:val="20"/>
          <w:szCs w:val="20"/>
        </w:rPr>
        <w:t xml:space="preserve">A dedicated, isolated cloud account structured into four logical zones:</w:t>
      </w:r>
    </w:p>
    <w:p>
      <w:pPr>
        <w:spacing w:after="40" w:before="0"/>
      </w:pPr>
      <w:r>
        <w:t xml:space="preserve"/>
      </w:r>
    </w:p>
    <w:p>
      <w:pPr>
        <w:spacing w:after="60" w:before="20"/>
        <w:ind w:left="360" w:hanging="360"/>
      </w:pPr>
      <w:r>
        <w:rPr>
          <w:rFonts w:ascii="Arial" w:cs="Arial" w:eastAsia="Arial" w:hAnsi="Arial"/>
          <w:b/>
          <w:bCs/>
          <w:color w:val="CC0000"/>
          <w:sz w:val="20"/>
          <w:szCs w:val="20"/>
        </w:rPr>
        <w:t xml:space="preserve">Zone 1  </w:t>
      </w:r>
      <w:r>
        <w:rPr>
          <w:rFonts w:ascii="Arial" w:cs="Arial" w:eastAsia="Arial" w:hAnsi="Arial"/>
          <w:color w:val="1A1A2E"/>
          <w:sz w:val="20"/>
          <w:szCs w:val="20"/>
        </w:rPr>
        <w:t xml:space="preserve">Harness control plane — Terraform state, evidence object storage, test orchestrator, audit log aggregation.</w:t>
      </w:r>
    </w:p>
    <w:p>
      <w:pPr>
        <w:spacing w:after="60" w:before="20"/>
        <w:ind w:left="360" w:hanging="360"/>
      </w:pPr>
      <w:r>
        <w:rPr>
          <w:rFonts w:ascii="Arial" w:cs="Arial" w:eastAsia="Arial" w:hAnsi="Arial"/>
          <w:b/>
          <w:bCs/>
          <w:color w:val="CC0000"/>
          <w:sz w:val="20"/>
          <w:szCs w:val="20"/>
        </w:rPr>
        <w:t xml:space="preserve">Zone 2  </w:t>
      </w:r>
      <w:r>
        <w:rPr>
          <w:rFonts w:ascii="Arial" w:cs="Arial" w:eastAsia="Arial" w:hAnsi="Arial"/>
          <w:color w:val="1A1A2E"/>
          <w:sz w:val="20"/>
          <w:szCs w:val="20"/>
        </w:rPr>
        <w:t xml:space="preserve">Partner-side environment — five IPSec peer platforms, partner test client simulators, PKI material, TOTP vault, third-party endpoint simulators.</w:t>
      </w:r>
    </w:p>
    <w:p>
      <w:pPr>
        <w:spacing w:after="60" w:before="20"/>
        <w:ind w:left="360" w:hanging="360"/>
      </w:pPr>
      <w:r>
        <w:rPr>
          <w:rFonts w:ascii="Arial" w:cs="Arial" w:eastAsia="Arial" w:hAnsi="Arial"/>
          <w:b/>
          <w:bCs/>
          <w:color w:val="CC0000"/>
          <w:sz w:val="20"/>
          <w:szCs w:val="20"/>
        </w:rPr>
        <w:t xml:space="preserve">Zone 3  </w:t>
      </w:r>
      <w:r>
        <w:rPr>
          <w:rFonts w:ascii="Arial" w:cs="Arial" w:eastAsia="Arial" w:hAnsi="Arial"/>
          <w:color w:val="1A1A2E"/>
          <w:sz w:val="20"/>
          <w:szCs w:val="20"/>
        </w:rPr>
        <w:t xml:space="preserve">Vendor edge zones — one isolated VPC per vendor (F5, Cloudflare), accessible only to that vendor and the integrator.</w:t>
      </w:r>
    </w:p>
    <w:p>
      <w:pPr>
        <w:spacing w:after="60" w:before="20"/>
        <w:ind w:left="360" w:hanging="360"/>
      </w:pPr>
      <w:r>
        <w:rPr>
          <w:rFonts w:ascii="Arial" w:cs="Arial" w:eastAsia="Arial" w:hAnsi="Arial"/>
          <w:b/>
          <w:bCs/>
          <w:color w:val="CC0000"/>
          <w:sz w:val="20"/>
          <w:szCs w:val="20"/>
        </w:rPr>
        <w:t xml:space="preserve">Zone 4  </w:t>
      </w:r>
      <w:r>
        <w:rPr>
          <w:rFonts w:ascii="Arial" w:cs="Arial" w:eastAsia="Arial" w:hAnsi="Arial"/>
          <w:color w:val="1A1A2E"/>
          <w:sz w:val="20"/>
          <w:szCs w:val="20"/>
        </w:rPr>
        <w:t xml:space="preserve">CVS-side environment — seven backend applications, CoreDNS internal resolver, credential vault, CVS egress test clients.</w:t>
      </w:r>
    </w:p>
    <w:p>
      <w:pPr>
        <w:spacing w:after="100" w:before="0"/>
      </w:pPr>
      <w:r>
        <w:t xml:space="preserve"/>
      </w:r>
    </w:p>
    <w:p>
      <w:pPr>
        <w:spacing w:after="60" w:before="180"/>
      </w:pPr>
      <w:r>
        <w:rPr>
          <w:rFonts w:ascii="Arial" w:cs="Arial" w:eastAsia="Arial" w:hAnsi="Arial"/>
          <w:b/>
          <w:bCs/>
          <w:color w:val="1A1A2E"/>
          <w:sz w:val="22"/>
          <w:szCs w:val="22"/>
        </w:rPr>
        <w:t xml:space="preserve">Partner-side infrastructure CVS Health operates</w:t>
      </w:r>
    </w:p>
    <w:p>
      <w:pPr>
        <w:spacing w:after="60" w:before="20"/>
        <w:ind w:left="360" w:hanging="360"/>
      </w:pPr>
      <w:r>
        <w:rPr>
          <w:rFonts w:ascii="Arial" w:cs="Arial" w:eastAsia="Arial" w:hAnsi="Arial"/>
          <w:b/>
          <w:bCs/>
          <w:color w:val="CC0000"/>
          <w:sz w:val="20"/>
          <w:szCs w:val="20"/>
        </w:rPr>
        <w:t xml:space="preserve">IPSec peer matrix:  </w:t>
      </w:r>
      <w:r>
        <w:rPr>
          <w:rFonts w:ascii="Arial" w:cs="Arial" w:eastAsia="Arial" w:hAnsi="Arial"/>
          <w:color w:val="1A1A2E"/>
          <w:sz w:val="20"/>
          <w:szCs w:val="20"/>
        </w:rPr>
        <w:t xml:space="preserve">Five gateway platforms (Cisco CSR/Catalyst 8000v, Arista CloudEOS, Palo Alto VM-Series, Fortinet FortiGate, Linux strongSwan) proving interop breadth across real-world partner environments. DH group 19 (P-256) minimum; group 14 retained as documented fallback for Cisco compatibility only.</w:t>
      </w:r>
    </w:p>
    <w:p>
      <w:pPr>
        <w:spacing w:after="60" w:before="20"/>
        <w:ind w:left="360" w:hanging="360"/>
      </w:pPr>
      <w:r>
        <w:rPr>
          <w:rFonts w:ascii="Arial" w:cs="Arial" w:eastAsia="Arial" w:hAnsi="Arial"/>
          <w:b/>
          <w:bCs/>
          <w:color w:val="CC0000"/>
          <w:sz w:val="20"/>
          <w:szCs w:val="20"/>
        </w:rPr>
        <w:t xml:space="preserve">mTLS certificate harness:  </w:t>
      </w:r>
      <w:r>
        <w:rPr>
          <w:rFonts w:ascii="Arial" w:cs="Arial" w:eastAsia="Arial" w:hAnsi="Arial"/>
          <w:color w:val="1A1A2E"/>
          <w:sz w:val="20"/>
          <w:szCs w:val="20"/>
        </w:rPr>
        <w:t xml:space="preserve">Full OpenSSL PKI with per-tenant intermediate CAs. Every client certificate encodes the partner user's registered email address (rfc822Name SAN) or system hostname (dNSName SAN). SAN field is logged by the vendor platform as a first-class session attribute on every connection event. Six adversarial certificate profiles per tenant: valid, wrong-tenant, expired, revoked, wrong-SAN, malformed.</w:t>
      </w:r>
    </w:p>
    <w:p>
      <w:pPr>
        <w:spacing w:after="60" w:before="20"/>
        <w:ind w:left="360" w:hanging="360"/>
      </w:pPr>
      <w:r>
        <w:rPr>
          <w:rFonts w:ascii="Arial" w:cs="Arial" w:eastAsia="Arial" w:hAnsi="Arial"/>
          <w:b/>
          <w:bCs/>
          <w:color w:val="CC0000"/>
          <w:sz w:val="20"/>
          <w:szCs w:val="20"/>
        </w:rPr>
        <w:t xml:space="preserve">OCSP + CRL infrastructure:  </w:t>
      </w:r>
      <w:r>
        <w:rPr>
          <w:rFonts w:ascii="Arial" w:cs="Arial" w:eastAsia="Arial" w:hAnsi="Arial"/>
          <w:color w:val="1A1A2E"/>
          <w:sz w:val="20"/>
          <w:szCs w:val="20"/>
        </w:rPr>
        <w:t xml:space="preserve">Per-tenant OCSP responders alongside CRL distribution. Revocation tests cover both mechanisms. CRL-only enforcement without OCSP is flagged as a partial pass.</w:t>
      </w:r>
    </w:p>
    <w:p>
      <w:pPr>
        <w:spacing w:after="60" w:before="20"/>
        <w:ind w:left="360" w:hanging="360"/>
      </w:pPr>
      <w:r>
        <w:rPr>
          <w:rFonts w:ascii="Arial" w:cs="Arial" w:eastAsia="Arial" w:hAnsi="Arial"/>
          <w:b/>
          <w:bCs/>
          <w:color w:val="CC0000"/>
          <w:sz w:val="20"/>
          <w:szCs w:val="20"/>
        </w:rPr>
        <w:t xml:space="preserve">SSH/SFTP proxy client:  </w:t>
      </w:r>
      <w:r>
        <w:rPr>
          <w:rFonts w:ascii="Arial" w:cs="Arial" w:eastAsia="Arial" w:hAnsi="Arial"/>
          <w:color w:val="1A1A2E"/>
          <w:sz w:val="20"/>
          <w:szCs w:val="20"/>
        </w:rPr>
        <w:t xml:space="preserve">Fully scriptable — TOTP seed retrieved from the vault by the user's onboarded email address, OTP generated by oathtool, presented to the vendor proxy programmatically via SSH_ASKPASS / Expect. No interactive terminal permitted during test execution. Test correlation ID carried via SendEnv POC_TEST_ID (SSH) and /poc-test-{id}/ path prefix (SFTP).</w:t>
      </w:r>
    </w:p>
    <w:p>
      <w:pPr>
        <w:spacing w:after="16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TEST PROGRAM STRUCTURE</w:t>
      </w:r>
    </w:p>
    <w:p>
      <w:pPr>
        <w:spacing w:after="60" w:before="0"/>
      </w:pPr>
      <w:r>
        <w:t xml:space="preserve"/>
      </w:r>
    </w:p>
    <w:p>
      <w:pPr>
        <w:spacing w:after="100" w:before="0"/>
      </w:pPr>
      <w:r>
        <w:rPr>
          <w:rFonts w:ascii="Arial" w:cs="Arial" w:eastAsia="Arial" w:hAnsi="Arial"/>
          <w:color w:val="1A1A2E"/>
          <w:sz w:val="20"/>
          <w:szCs w:val="20"/>
        </w:rPr>
        <w:t xml:space="preserve">Approximately 90 tests execute in four sequential layers. Each layer is a pass gate for the next.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600"/>
        <w:gridCol w:w="4860"/>
      </w:tblGrid>
      <w:tr>
        <w:tc>
          <w:tcPr>
            <w:tcW w:type="dxa" w:w="7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160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tcPr>
          <w:p>
            <w:r>
              <w:rPr>
                <w:rFonts w:ascii="Arial" w:cs="Arial" w:eastAsia="Arial" w:hAnsi="Arial"/>
                <w:b/>
                <w:bCs/>
                <w:color w:val="FFFFFF"/>
                <w:sz w:val="18"/>
                <w:szCs w:val="18"/>
              </w:rPr>
              <w:t xml:space="preserve">~Tests</w:t>
            </w:r>
          </w:p>
        </w:tc>
        <w:tc>
          <w:tcPr>
            <w:tcW w:type="dxa" w:w="4860"/>
            <w:tcBorders>
              <w:top w:val="single" w:color="1A4E8A" w:sz="4"/>
              <w:left w:val="single" w:color="1A4E8A" w:sz="4"/>
              <w:bottom w:val="single" w:color="1A4E8A" w:sz="4"/>
              <w:right w:val="single" w:color="1A4E8A" w:sz="4"/>
            </w:tcBorders>
            <w:shd w:fill="1A4E8A" w:val="clear"/>
            <w:tcMar>
              <w:top w:type="dxa" w:w="80"/>
              <w:left w:type="dxa" w:w="120"/>
              <w:bottom w:type="dxa" w:w="80"/>
              <w:right w:type="dxa" w:w="120"/>
            </w:tcMar>
          </w:tcPr>
          <w:p>
            <w:r>
              <w:rPr>
                <w:rFonts w:ascii="Arial" w:cs="Arial" w:eastAsia="Arial" w:hAnsi="Arial"/>
                <w:b/>
                <w:bCs/>
                <w:color w:val="FFFFFF"/>
                <w:sz w:val="18"/>
                <w:szCs w:val="18"/>
              </w:rPr>
              <w:t xml:space="preserve">What it validates</w:t>
            </w:r>
          </w:p>
        </w:tc>
      </w:tr>
      <w:tr>
        <w:tc>
          <w:tcPr>
            <w:tcW w:type="dxa" w:w="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1</w:t>
            </w:r>
          </w:p>
        </w:tc>
        <w:tc>
          <w:tcPr>
            <w:tcW w:type="dxa" w:w="2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8"/>
                <w:szCs w:val="18"/>
              </w:rPr>
              <w:t xml:space="preserve">Single tenant (t01)</w:t>
            </w:r>
          </w:p>
        </w:tc>
        <w:tc>
          <w:tcPr>
            <w:tcW w:type="dxa" w:w="16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color w:val="1A1A2E"/>
                <w:sz w:val="18"/>
                <w:szCs w:val="18"/>
              </w:rPr>
              <w:t xml:space="preserve">16</w:t>
            </w:r>
          </w:p>
        </w:tc>
        <w:tc>
          <w:tcPr>
            <w:tcW w:type="dxa" w:w="48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color w:val="1A1A2E"/>
                <w:sz w:val="18"/>
                <w:szCs w:val="18"/>
              </w:rPr>
              <w:t xml:space="preserve">Each CR works in isolation. Smoke test for all six capability requirements plus WebSocket/HTTP2 and performance baselines.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5 tenants concurrent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18"/>
                <w:szCs w:val="18"/>
              </w:rPr>
              <w:t xml:space="preserve">~30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Multi-tenant isolation (CR-05). 120 cross-pair checks across 6 vectors: mTLS inbound/outbound, DNS, SSH inbound/outbound, governed egress.</w:t>
            </w:r>
          </w:p>
        </w:tc>
      </w:tr>
      <w:tr>
        <w:tc>
          <w:tcPr>
            <w:tcW w:type="dxa" w:w="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3</w:t>
            </w:r>
          </w:p>
        </w:tc>
        <w:tc>
          <w:tcPr>
            <w:tcW w:type="dxa" w:w="2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8"/>
                <w:szCs w:val="18"/>
              </w:rPr>
              <w:t xml:space="preserve">5 tenants, adversarial</w:t>
            </w:r>
          </w:p>
        </w:tc>
        <w:tc>
          <w:tcPr>
            <w:tcW w:type="dxa" w:w="16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vAlign w:val="center"/>
          </w:tcPr>
          <w:p>
            <w:pPr>
              <w:jc w:val="center"/>
            </w:pPr>
            <w:r>
              <w:rPr>
                <w:rFonts w:ascii="Arial" w:cs="Arial" w:eastAsia="Arial" w:hAnsi="Arial"/>
                <w:color w:val="1A1A2E"/>
                <w:sz w:val="18"/>
                <w:szCs w:val="18"/>
              </w:rPr>
              <w:t xml:space="preserve">~24</w:t>
            </w:r>
          </w:p>
        </w:tc>
        <w:tc>
          <w:tcPr>
            <w:tcW w:type="dxa" w:w="48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color w:val="1A1A2E"/>
                <w:sz w:val="18"/>
                <w:szCs w:val="18"/>
              </w:rPr>
              <w:t xml:space="preserve">Fail-closed behavior under attack. CR-01 adversarial battery: cross-CA spoofing, shared-root pivot, policy bypass, CRL/OCSP effectiveness, wildcard SAN abuse, expired cert acceptance.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Lifecycle / residual state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18"/>
                <w:szCs w:val="18"/>
              </w:rPr>
              <w:t xml:space="preserve">~20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EW-01 + EW-03: provision and offboard three times per tenant. Zero residual objects, vault entries, and DNS records after offboarding.</w:t>
            </w:r>
          </w:p>
        </w:tc>
      </w:tr>
    </w:tbl>
    <w:p>
      <w:pPr>
        <w:spacing w:after="120" w:before="0"/>
      </w:pPr>
      <w:r>
        <w:t xml:space="preserve"/>
      </w:r>
    </w:p>
    <w:p>
      <w:pPr>
        <w:spacing w:after="100" w:before="0"/>
      </w:pPr>
      <w:r>
        <w:rPr>
          <w:rFonts w:ascii="Arial" w:cs="Arial" w:eastAsia="Arial" w:hAnsi="Arial"/>
          <w:color w:val="1A1A2E"/>
          <w:sz w:val="20"/>
          <w:szCs w:val="20"/>
        </w:rPr>
        <w:t xml:space="preserve">Before any vendor evaluation run, the harness executes its own meta-test suite against known-good and known-bad baselines. Harness self-acceptance is a mandatory pass gate. Vendor runs that take place on a harness that has not passed self-acceptance are invalid.</w:t>
      </w:r>
    </w:p>
    <w:p>
      <w:pPr>
        <w:spacing w:after="120" w:before="0"/>
      </w:pPr>
      <w:r>
        <w:t xml:space="preserve"/>
      </w:r>
    </w:p>
    <w:p>
      <w:pPr>
        <w:spacing w:after="100" w:before="0"/>
      </w:pPr>
      <w:r>
        <w:rPr>
          <w:rFonts w:ascii="Arial" w:cs="Arial" w:eastAsia="Arial" w:hAnsi="Arial"/>
          <w:color w:val="1A1A2E"/>
          <w:sz w:val="20"/>
          <w:szCs w:val="20"/>
        </w:rPr>
        <w:t xml:space="preserve">Full Layer 1–4 evaluation runs are executed sequentially per vendor — one vendor completes all four layers before the other begins. Vendor onboarding (provisioning steps) may proceed in parallel. This sequencing is required because both vendors share the CVS-side backend infrastructure, the harness PKI, and the evidence pipeline. Concurrent adversarial traffic would produce ambiguous captures that cannot be cleanly attributed by test ID.</w:t>
      </w:r>
    </w:p>
    <w:p>
      <w:pPr>
        <w:spacing w:after="16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VENDOR-SPECIFIC EVALUATION NOTES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1A4E8A" w:sz="4"/>
              <w:left w:val="single" w:color="1A4E8A" w:sz="4"/>
              <w:bottom w:val="single" w:color="1A4E8A" w:sz="4"/>
              <w:right w:val="single" w:color="1A4E8A" w:sz="4"/>
            </w:tcBorders>
            <w:shd w:fill="1A4E8A" w:val="clear"/>
            <w:tcMar>
              <w:top w:type="dxa" w:w="100"/>
              <w:left w:type="dxa" w:w="140"/>
              <w:bottom w:type="dxa" w:w="100"/>
              <w:right w:type="dxa" w:w="140"/>
            </w:tcMar>
          </w:tcPr>
          <w:p>
            <w:r>
              <w:rPr>
                <w:rFonts w:ascii="Arial" w:cs="Arial" w:eastAsia="Arial" w:hAnsi="Arial"/>
                <w:b/>
                <w:bCs/>
                <w:color w:val="FFFFFF"/>
                <w:sz w:val="19"/>
                <w:szCs w:val="19"/>
              </w:rPr>
              <w:t xml:space="preserve">Capability Requirement</w:t>
            </w:r>
          </w:p>
        </w:tc>
        <w:tc>
          <w:tcPr>
            <w:tcW w:type="dxa" w:w="3000"/>
            <w:tcBorders>
              <w:top w:val="single" w:color="1A4E8A" w:sz="4"/>
              <w:left w:val="single" w:color="1A4E8A" w:sz="4"/>
              <w:bottom w:val="single" w:color="1A4E8A" w:sz="4"/>
              <w:right w:val="single" w:color="1A4E8A" w:sz="4"/>
            </w:tcBorders>
            <w:shd w:fill="1A4E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F5 Distributed Cloud</w:t>
            </w:r>
          </w:p>
        </w:tc>
        <w:tc>
          <w:tcPr>
            <w:tcW w:type="dxa" w:w="3000"/>
            <w:tcBorders>
              <w:top w:val="single" w:color="1A4E8A" w:sz="4"/>
              <w:left w:val="single" w:color="1A4E8A" w:sz="4"/>
              <w:bottom w:val="single" w:color="1A4E8A" w:sz="4"/>
              <w:right w:val="single" w:color="1A4E8A" w:sz="4"/>
            </w:tcBorders>
            <w:shd w:fill="1A4E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Cloudflare</w:t>
            </w:r>
          </w:p>
        </w:tc>
      </w:tr>
      <w:tr>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8"/>
                <w:szCs w:val="18"/>
              </w:rPr>
              <w:t xml:space="preserve">CR-01  Per-Tenant CA Isolation (25%)</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pPr>
              <w:jc w:val="center"/>
            </w:pPr>
            <w:r>
              <w:rPr>
                <w:rFonts w:ascii="Arial" w:cs="Arial" w:eastAsia="Arial" w:hAnsi="Arial"/>
                <w:color w:val="1A1A2E"/>
                <w:sz w:val="18"/>
                <w:szCs w:val="18"/>
              </w:rPr>
              <w:t xml:space="preserve">Per-tenant SSL profile per namespace. Structural isolation verifiable by API export. Adversarial battery tests trust-chain separation directly.</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pPr>
              <w:jc w:val="center"/>
            </w:pPr>
            <w:r>
              <w:rPr>
                <w:rFonts w:ascii="Arial" w:cs="Arial" w:eastAsia="Arial" w:hAnsi="Arial"/>
                <w:color w:val="1A1A2E"/>
                <w:sz w:val="18"/>
                <w:szCs w:val="18"/>
              </w:rPr>
              <w:t xml:space="preserve">Implementation approach must be committed before kickoff (separate accounts, per-hostname trust anchor, Cloudflare for SaaS, or Worker-layer CA selection). Highest-risk CR for Cloudflare evaluation.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CR-02  SSH Managed Access (10%)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F5 XC SSH proxy with per-tenant namespace scoping. TOTP via keyboard-interactive. User email from mTLS SAN logged on session record.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Cloudflare Zero Trust SSH proxy. Same TOTP / email-SAN logging requirements apply.</w:t>
            </w:r>
          </w:p>
        </w:tc>
      </w:tr>
      <w:tr>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8"/>
                <w:szCs w:val="18"/>
              </w:rPr>
              <w:t xml:space="preserve">CR-03  DNS Rewrite (10%)</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pPr>
              <w:jc w:val="center"/>
            </w:pPr>
            <w:r>
              <w:rPr>
                <w:rFonts w:ascii="Arial" w:cs="Arial" w:eastAsia="Arial" w:hAnsi="Arial"/>
                <w:color w:val="1A1A2E"/>
                <w:sz w:val="18"/>
                <w:szCs w:val="18"/>
              </w:rPr>
              <w:t xml:space="preserve">Per-tenant origin pool + DNS resolution returning SNAT VIP, not real backend IP. Cross-tenant DNS leakage tested in Layer 2.</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pPr>
              <w:jc w:val="center"/>
            </w:pPr>
            <w:r>
              <w:rPr>
                <w:rFonts w:ascii="Arial" w:cs="Arial" w:eastAsia="Arial" w:hAnsi="Arial"/>
                <w:color w:val="1A1A2E"/>
                <w:sz w:val="18"/>
                <w:szCs w:val="18"/>
              </w:rPr>
              <w:t xml:space="preserve">Cloudflare DNS rewrite via Magic WAN + Zero Trust Gateway. Same isolation test applies.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CR-04  Credential Concealment (10%)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Vault AppRole per-tenant, read-scoped. Vendor retrieves credentials from vault path — never transmitted to partner.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Same vault integration model. Cloudflare Tunnel connector exposes backend without requiring inbound exposure.</w:t>
            </w:r>
          </w:p>
        </w:tc>
      </w:tr>
      <w:tr>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8"/>
                <w:szCs w:val="18"/>
              </w:rPr>
              <w:t xml:space="preserve">CR-05  Multi-Tenant Isolation (20%)</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pPr>
              <w:jc w:val="center"/>
            </w:pPr>
            <w:r>
              <w:rPr>
                <w:rFonts w:ascii="Arial" w:cs="Arial" w:eastAsia="Arial" w:hAnsi="Arial"/>
                <w:color w:val="1A1A2E"/>
                <w:sz w:val="18"/>
                <w:szCs w:val="18"/>
              </w:rPr>
              <w:t xml:space="preserve">Per-namespace RBAC. API-level isolation verifiable. Layer 2 matrix is the primary evaluation surface.</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pPr>
              <w:jc w:val="center"/>
            </w:pPr>
            <w:r>
              <w:rPr>
                <w:rFonts w:ascii="Arial" w:cs="Arial" w:eastAsia="Arial" w:hAnsi="Arial"/>
                <w:color w:val="1A1A2E"/>
                <w:sz w:val="18"/>
                <w:szCs w:val="18"/>
              </w:rPr>
              <w:t xml:space="preserve">Dependent on chosen CR-01 implementation. Namespace isolation model follows from isolation approach committed at kickoff.</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CR-06  Outbound Governed Egress (25%)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Forward Proxy Policy per tenant namespace. TLS inspection on egress traffic. Allow-list enforcement tested with declared and undeclared destinations.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Zero Trust Gateway per tenant. Same TLS inspection verification requirement. NSS keylog alternative must be proposed and accepted before evaluation runs begin.</w:t>
            </w:r>
          </w:p>
        </w:tc>
      </w:tr>
    </w:tbl>
    <w:p>
      <w:pPr>
        <w:spacing w:after="16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KEY RISKS AND OPEN ITEMS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C0000" w:val="clear"/>
            <w:tcMar>
              <w:top w:type="dxa" w:w="100"/>
              <w:left w:type="dxa" w:w="100"/>
              <w:bottom w:type="dxa" w:w="100"/>
              <w:right w:type="dxa" w:w="100"/>
            </w:tcMar>
            <w:vAlign w:val="center"/>
          </w:tcPr>
          <w:p>
            <w:pPr>
              <w:jc w:val="center"/>
            </w:pPr>
            <w:r>
              <w:rPr>
                <w:rFonts w:ascii="Arial" w:cs="Arial" w:eastAsia="Arial" w:hAnsi="Arial"/>
                <w:sz w:val="20"/>
                <w:szCs w:val="20"/>
              </w:rPr>
              <w:t xml:space="preserve"> </w:t>
            </w:r>
          </w:p>
        </w:tc>
        <w:tc>
          <w:tcPr>
            <w:tcW w:type="dxa" w:w="9160"/>
            <w:tcBorders>
              <w:top w:val="single" w:color="CCCCCC" w:sz="4"/>
              <w:left w:val="none" w:color="FFFFFF" w:sz="0"/>
              <w:bottom w:val="single" w:color="CCCCCC" w:sz="4"/>
              <w:right w:val="single" w:color="CCCCCC" w:sz="4"/>
            </w:tcBorders>
            <w:shd w:fill="FFFDF5" w:val="clear"/>
            <w:tcMar>
              <w:top w:type="dxa" w:w="100"/>
              <w:left w:type="dxa" w:w="160"/>
              <w:bottom w:type="dxa" w:w="100"/>
              <w:right w:type="dxa" w:w="160"/>
            </w:tcMar>
          </w:tcPr>
          <w:p>
            <w:pPr>
              <w:spacing w:after="40" w:before="0"/>
            </w:pPr>
            <w:r>
              <w:rPr>
                <w:rFonts w:ascii="Arial" w:cs="Arial" w:eastAsia="Arial" w:hAnsi="Arial"/>
                <w:b/>
                <w:bCs/>
                <w:color w:val="CC0000"/>
                <w:sz w:val="20"/>
                <w:szCs w:val="20"/>
              </w:rPr>
              <w:t xml:space="preserve">Cloudflare CR-01 approach not yet committed.</w:t>
            </w:r>
          </w:p>
          <w:p>
            <w:pPr>
              <w:spacing w:after="0" w:before="0"/>
            </w:pPr>
            <w:r>
              <w:rPr>
                <w:rFonts w:ascii="Arial" w:cs="Arial" w:eastAsia="Arial" w:hAnsi="Arial"/>
                <w:color w:val="1A1A2E"/>
                <w:sz w:val="19"/>
                <w:szCs w:val="19"/>
              </w:rPr>
              <w:t xml:space="preserve">Cloudflare must select and commit in writing to one of four per-tenant CA isolation approaches (or propose an alternative) before POC kickoff. The chosen approach determines the structural test set and the vendor's ability to pass the Layer 3 adversarial battery. This is the single highest-risk open item in the program.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600A" w:val="clear"/>
            <w:tcMar>
              <w:top w:type="dxa" w:w="100"/>
              <w:left w:type="dxa" w:w="100"/>
              <w:bottom w:type="dxa" w:w="100"/>
              <w:right w:type="dxa" w:w="100"/>
            </w:tcMar>
            <w:vAlign w:val="center"/>
          </w:tcPr>
          <w:p>
            <w:pPr>
              <w:jc w:val="center"/>
            </w:pPr>
            <w:r>
              <w:rPr>
                <w:rFonts w:ascii="Arial" w:cs="Arial" w:eastAsia="Arial" w:hAnsi="Arial"/>
                <w:sz w:val="20"/>
                <w:szCs w:val="20"/>
              </w:rPr>
              <w:t xml:space="preserve"> </w:t>
            </w:r>
          </w:p>
        </w:tc>
        <w:tc>
          <w:tcPr>
            <w:tcW w:type="dxa" w:w="9160"/>
            <w:tcBorders>
              <w:top w:val="single" w:color="CCCCCC" w:sz="4"/>
              <w:left w:val="none" w:color="FFFFFF" w:sz="0"/>
              <w:bottom w:val="single" w:color="CCCCCC" w:sz="4"/>
              <w:right w:val="single" w:color="CCCCCC" w:sz="4"/>
            </w:tcBorders>
            <w:shd w:fill="FFFDF5" w:val="clear"/>
            <w:tcMar>
              <w:top w:type="dxa" w:w="100"/>
              <w:left w:type="dxa" w:w="160"/>
              <w:bottom w:type="dxa" w:w="100"/>
              <w:right w:type="dxa" w:w="160"/>
            </w:tcMar>
          </w:tcPr>
          <w:p>
            <w:pPr>
              <w:spacing w:after="40" w:before="0"/>
            </w:pPr>
            <w:r>
              <w:rPr>
                <w:rFonts w:ascii="Arial" w:cs="Arial" w:eastAsia="Arial" w:hAnsi="Arial"/>
                <w:b/>
                <w:bCs/>
                <w:color w:val="B8600A"/>
                <w:sz w:val="20"/>
                <w:szCs w:val="20"/>
              </w:rPr>
              <w:t xml:space="preserve">TLS session key export (both vendors).</w:t>
            </w:r>
          </w:p>
          <w:p>
            <w:pPr>
              <w:spacing w:after="0" w:before="0"/>
            </w:pPr>
            <w:r>
              <w:rPr>
                <w:rFonts w:ascii="Arial" w:cs="Arial" w:eastAsia="Arial" w:hAnsi="Arial"/>
                <w:color w:val="1A1A2E"/>
                <w:sz w:val="19"/>
                <w:szCs w:val="19"/>
              </w:rPr>
              <w:t xml:space="preserve">The harness requires TLS session keys in NSS keylog format to verify that TLS inspection actually occurred — not merely claimed. F5 must confirm supported release and transport. Cloudflare must propose an equivalent verification mechanism. Self-reporting alone is not acceptable.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600A" w:val="clear"/>
            <w:tcMar>
              <w:top w:type="dxa" w:w="100"/>
              <w:left w:type="dxa" w:w="100"/>
              <w:bottom w:type="dxa" w:w="100"/>
              <w:right w:type="dxa" w:w="100"/>
            </w:tcMar>
            <w:vAlign w:val="center"/>
          </w:tcPr>
          <w:p>
            <w:pPr>
              <w:jc w:val="center"/>
            </w:pPr>
            <w:r>
              <w:rPr>
                <w:rFonts w:ascii="Arial" w:cs="Arial" w:eastAsia="Arial" w:hAnsi="Arial"/>
                <w:sz w:val="20"/>
                <w:szCs w:val="20"/>
              </w:rPr>
              <w:t xml:space="preserve"> </w:t>
            </w:r>
          </w:p>
        </w:tc>
        <w:tc>
          <w:tcPr>
            <w:tcW w:type="dxa" w:w="9160"/>
            <w:tcBorders>
              <w:top w:val="single" w:color="CCCCCC" w:sz="4"/>
              <w:left w:val="none" w:color="FFFFFF" w:sz="0"/>
              <w:bottom w:val="single" w:color="CCCCCC" w:sz="4"/>
              <w:right w:val="single" w:color="CCCCCC" w:sz="4"/>
            </w:tcBorders>
            <w:shd w:fill="FFFDF5" w:val="clear"/>
            <w:tcMar>
              <w:top w:type="dxa" w:w="100"/>
              <w:left w:type="dxa" w:w="160"/>
              <w:bottom w:type="dxa" w:w="100"/>
              <w:right w:type="dxa" w:w="160"/>
            </w:tcMar>
          </w:tcPr>
          <w:p>
            <w:pPr>
              <w:spacing w:after="40" w:before="0"/>
            </w:pPr>
            <w:r>
              <w:rPr>
                <w:rFonts w:ascii="Arial" w:cs="Arial" w:eastAsia="Arial" w:hAnsi="Arial"/>
                <w:b/>
                <w:bCs/>
                <w:color w:val="B8600A"/>
                <w:sz w:val="20"/>
                <w:szCs w:val="20"/>
              </w:rPr>
              <w:t xml:space="preserve">SSH/SFTP audit log attribution.</w:t>
            </w:r>
          </w:p>
          <w:p>
            <w:pPr>
              <w:spacing w:after="0" w:before="0"/>
            </w:pPr>
            <w:r>
              <w:rPr>
                <w:rFonts w:ascii="Arial" w:cs="Arial" w:eastAsia="Arial" w:hAnsi="Arial"/>
                <w:color w:val="1A1A2E"/>
                <w:sz w:val="19"/>
                <w:szCs w:val="19"/>
              </w:rPr>
              <w:t xml:space="preserve">Both vendors must confirm that their SSH proxy session records capture (a) the POC_TEST_ID environment variable for SSH sessions, (b) the /poc-test-{id}/ SFTP path prefix for SFTP sessions, and (c) the authenticated user's email address from the client certificate rfc822Name SAN field as a first-class session attribute. These are SE confirmation items in Appendix B.4.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88888" w:val="clear"/>
            <w:tcMar>
              <w:top w:type="dxa" w:w="100"/>
              <w:left w:type="dxa" w:w="100"/>
              <w:bottom w:type="dxa" w:w="100"/>
              <w:right w:type="dxa" w:w="100"/>
            </w:tcMar>
            <w:vAlign w:val="center"/>
          </w:tcPr>
          <w:p>
            <w:pPr>
              <w:jc w:val="center"/>
            </w:pPr>
            <w:r>
              <w:rPr>
                <w:rFonts w:ascii="Arial" w:cs="Arial" w:eastAsia="Arial" w:hAnsi="Arial"/>
                <w:sz w:val="20"/>
                <w:szCs w:val="20"/>
              </w:rPr>
              <w:t xml:space="preserve"> </w:t>
            </w:r>
          </w:p>
        </w:tc>
        <w:tc>
          <w:tcPr>
            <w:tcW w:type="dxa" w:w="9160"/>
            <w:tcBorders>
              <w:top w:val="single" w:color="CCCCCC" w:sz="4"/>
              <w:left w:val="none" w:color="FFFFFF" w:sz="0"/>
              <w:bottom w:val="single" w:color="CCCCCC" w:sz="4"/>
              <w:right w:val="single" w:color="CCCCCC" w:sz="4"/>
            </w:tcBorders>
            <w:shd w:fill="FFFDF5" w:val="clear"/>
            <w:tcMar>
              <w:top w:type="dxa" w:w="100"/>
              <w:left w:type="dxa" w:w="160"/>
              <w:bottom w:type="dxa" w:w="100"/>
              <w:right w:type="dxa" w:w="160"/>
            </w:tcMar>
          </w:tcPr>
          <w:p>
            <w:pPr>
              <w:spacing w:after="40" w:before="0"/>
            </w:pPr>
            <w:r>
              <w:rPr>
                <w:rFonts w:ascii="Arial" w:cs="Arial" w:eastAsia="Arial" w:hAnsi="Arial"/>
                <w:b/>
                <w:bCs/>
                <w:color w:val="888888"/>
                <w:sz w:val="20"/>
                <w:szCs w:val="20"/>
              </w:rPr>
              <w:t xml:space="preserve">F5 API role scoping.</w:t>
            </w:r>
          </w:p>
          <w:p>
            <w:pPr>
              <w:spacing w:after="0" w:before="0"/>
            </w:pPr>
            <w:r>
              <w:rPr>
                <w:rFonts w:ascii="Arial" w:cs="Arial" w:eastAsia="Arial" w:hAnsi="Arial"/>
                <w:color w:val="1A1A2E"/>
                <w:sz w:val="19"/>
                <w:szCs w:val="19"/>
              </w:rPr>
              <w:t xml:space="preserve">Vendor SE must confirm that ves-io-power-developer scoped to a namespace grants API-driven CRUD on listener and SSL profile objects without requiring org-wide administrator rights. Confirmation required before integrator begins EW-01 provisioning.</w:t>
            </w:r>
          </w:p>
        </w:tc>
      </w:tr>
    </w:tbl>
    <w:p>
      <w:pPr>
        <w:spacing w:after="16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EXECUTION TIMELINE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9"/>
                <w:szCs w:val="19"/>
              </w:rPr>
              <w:t xml:space="preserve">Harness provisioning</w:t>
            </w:r>
          </w:p>
        </w:tc>
        <w:tc>
          <w:tcPr>
            <w:tcW w:type="dxa" w:w="65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color w:val="1A1A2E"/>
                <w:sz w:val="19"/>
                <w:szCs w:val="19"/>
              </w:rPr>
              <w:t xml:space="preserve">5–10 working days. Two-engineer team. Includes PKI bootstrap, vault initialization, backend stack deployment, evidence pipeline validation, and harness self-acceptance suite.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Vendor onboarding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3–5 working days per vendor. May proceed in parallel for setup steps 1–6. Vendor SE resources required on-site (or available async) throughout.</w:t>
            </w:r>
          </w:p>
        </w:tc>
      </w:tr>
      <w:tr>
        <w:tc>
          <w:tcPr>
            <w:tcW w:type="dxa" w:w="2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9"/>
                <w:szCs w:val="19"/>
              </w:rPr>
              <w:t xml:space="preserve">Evaluation suite (per vendor)</w:t>
            </w:r>
          </w:p>
        </w:tc>
        <w:tc>
          <w:tcPr>
            <w:tcW w:type="dxa" w:w="65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color w:val="1A1A2E"/>
                <w:sz w:val="19"/>
                <w:szCs w:val="19"/>
              </w:rPr>
              <w:t xml:space="preserve">~45 minutes wall-clock per full Layer 1–4 run. CVS engineers observe live JSON result stream. Re-runs after vendor fixes: 1–2 hours targeted / full.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Fix and re-run SLA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Vendor commits to no more than 5 business days between fix delivery and harness re-run readiness.</w:t>
            </w:r>
          </w:p>
        </w:tc>
      </w:tr>
      <w:tr>
        <w:tc>
          <w:tcPr>
            <w:tcW w:type="dxa" w:w="2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9"/>
                <w:szCs w:val="19"/>
              </w:rPr>
              <w:t xml:space="preserve">Evidence retention</w:t>
            </w:r>
          </w:p>
        </w:tc>
        <w:tc>
          <w:tcPr>
            <w:tcW w:type="dxa" w:w="65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color w:val="1A1A2E"/>
                <w:sz w:val="19"/>
                <w:szCs w:val="19"/>
              </w:rPr>
              <w:t xml:space="preserve">Minimum 24 months from POC close. S3 Object Lock COMPLIANCE mode. Full harness control plane preserved in cold state for 12 months.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Program decision gates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July 30 (POC complete) / September 30 (self-service portal) / mid-October 2026 (final platform decision).</w:t>
            </w:r>
          </w:p>
        </w:tc>
      </w:tr>
    </w:tbl>
    <w:p>
      <w:pPr>
        <w:spacing w:after="16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WHAT LEADERSHIP IS ASKED TO SUPPORT</w:t>
      </w:r>
    </w:p>
    <w:p>
      <w:pPr>
        <w:spacing w:after="60" w:before="0"/>
      </w:pPr>
      <w:r>
        <w:t xml:space="preserve"/>
      </w:r>
    </w:p>
    <w:p>
      <w:pPr>
        <w:spacing w:after="100" w:before="0"/>
      </w:pPr>
      <w:r>
        <w:rPr>
          <w:rFonts w:ascii="Arial" w:cs="Arial" w:eastAsia="Arial" w:hAnsi="Arial"/>
          <w:color w:val="1A1A2E"/>
          <w:sz w:val="20"/>
          <w:szCs w:val="20"/>
        </w:rPr>
        <w:t xml:space="preserve">This program requires the following organizational commitments to execute properly:</w:t>
      </w:r>
    </w:p>
    <w:p>
      <w:pPr>
        <w:spacing w:after="60" w:before="0"/>
      </w:pPr>
      <w:r>
        <w:t xml:space="preserve"/>
      </w:r>
    </w:p>
    <w:p>
      <w:pPr>
        <w:spacing w:after="60" w:before="20"/>
        <w:ind w:left="360" w:hanging="360"/>
      </w:pPr>
      <w:r>
        <w:rPr>
          <w:rFonts w:ascii="Arial" w:cs="Arial" w:eastAsia="Arial" w:hAnsi="Arial"/>
          <w:b/>
          <w:bCs/>
          <w:color w:val="CC0000"/>
          <w:sz w:val="20"/>
          <w:szCs w:val="20"/>
        </w:rPr>
        <w:t xml:space="preserve">•  </w:t>
      </w:r>
      <w:r>
        <w:rPr>
          <w:rFonts w:ascii="Arial" w:cs="Arial" w:eastAsia="Arial" w:hAnsi="Arial"/>
          <w:color w:val="1A1A2E"/>
          <w:sz w:val="20"/>
          <w:szCs w:val="20"/>
        </w:rPr>
        <w:t xml:space="preserve">Dedicated cloud account provisioning with full SCP/Organization Policy guardrails, separate from CVS production organizational units, with standalone billing and IAM.</w:t>
      </w:r>
    </w:p>
    <w:p>
      <w:pPr>
        <w:spacing w:after="60" w:before="20"/>
        <w:ind w:left="360" w:hanging="360"/>
      </w:pPr>
      <w:r>
        <w:rPr>
          <w:rFonts w:ascii="Arial" w:cs="Arial" w:eastAsia="Arial" w:hAnsi="Arial"/>
          <w:b/>
          <w:bCs/>
          <w:color w:val="CC0000"/>
          <w:sz w:val="20"/>
          <w:szCs w:val="20"/>
        </w:rPr>
        <w:t xml:space="preserve">•  </w:t>
      </w:r>
      <w:r>
        <w:rPr>
          <w:rFonts w:ascii="Arial" w:cs="Arial" w:eastAsia="Arial" w:hAnsi="Arial"/>
          <w:color w:val="1A1A2E"/>
          <w:sz w:val="20"/>
          <w:szCs w:val="20"/>
        </w:rPr>
        <w:t xml:space="preserve">Two CVS engineering FTE-equivalents over the ten-week POC window for harness build, execution, and evidence review. This cannot be absorbed as background work alongside normal operational duties.</w:t>
      </w:r>
    </w:p>
    <w:p>
      <w:pPr>
        <w:spacing w:after="60" w:before="20"/>
        <w:ind w:left="360" w:hanging="360"/>
      </w:pPr>
      <w:r>
        <w:rPr>
          <w:rFonts w:ascii="Arial" w:cs="Arial" w:eastAsia="Arial" w:hAnsi="Arial"/>
          <w:b/>
          <w:bCs/>
          <w:color w:val="CC0000"/>
          <w:sz w:val="20"/>
          <w:szCs w:val="20"/>
        </w:rPr>
        <w:t xml:space="preserve">•  </w:t>
      </w:r>
      <w:r>
        <w:rPr>
          <w:rFonts w:ascii="Arial" w:cs="Arial" w:eastAsia="Arial" w:hAnsi="Arial"/>
          <w:color w:val="1A1A2E"/>
          <w:sz w:val="20"/>
          <w:szCs w:val="20"/>
        </w:rPr>
        <w:t xml:space="preserve">Designated systems integrator engagement scoped to sections 6, 8, and 10 of the specification — vendor onboarding, harness meta-test execution, and evidence pipeline validation.</w:t>
      </w:r>
    </w:p>
    <w:p>
      <w:pPr>
        <w:spacing w:after="60" w:before="20"/>
        <w:ind w:left="360" w:hanging="360"/>
      </w:pPr>
      <w:r>
        <w:rPr>
          <w:rFonts w:ascii="Arial" w:cs="Arial" w:eastAsia="Arial" w:hAnsi="Arial"/>
          <w:b/>
          <w:bCs/>
          <w:color w:val="CC0000"/>
          <w:sz w:val="20"/>
          <w:szCs w:val="20"/>
        </w:rPr>
        <w:t xml:space="preserve">•  </w:t>
      </w:r>
      <w:r>
        <w:rPr>
          <w:rFonts w:ascii="Arial" w:cs="Arial" w:eastAsia="Arial" w:hAnsi="Arial"/>
          <w:color w:val="1A1A2E"/>
          <w:sz w:val="20"/>
          <w:szCs w:val="20"/>
        </w:rPr>
        <w:t xml:space="preserve">Vendor SE commitments secured before POC kickoff: named primary and backup SEs from both F5 and Cloudflare, with the open SE confirmation items in Appendix B.4 resolved in writing.</w:t>
      </w:r>
    </w:p>
    <w:p>
      <w:pPr>
        <w:spacing w:after="60" w:before="20"/>
        <w:ind w:left="360" w:hanging="360"/>
      </w:pPr>
      <w:r>
        <w:rPr>
          <w:rFonts w:ascii="Arial" w:cs="Arial" w:eastAsia="Arial" w:hAnsi="Arial"/>
          <w:b/>
          <w:bCs/>
          <w:color w:val="CC0000"/>
          <w:sz w:val="20"/>
          <w:szCs w:val="20"/>
        </w:rPr>
        <w:t xml:space="preserve">•  </w:t>
      </w:r>
      <w:r>
        <w:rPr>
          <w:rFonts w:ascii="Arial" w:cs="Arial" w:eastAsia="Arial" w:hAnsi="Arial"/>
          <w:color w:val="1A1A2E"/>
          <w:sz w:val="20"/>
          <w:szCs w:val="20"/>
        </w:rPr>
        <w:t xml:space="preserve">Evaluation team availability to review evidence bundles promptly after each vendor run, so that fix cycles do not stack and compress the program schedule.</w:t>
      </w:r>
    </w:p>
    <w:p>
      <w:pPr>
        <w:spacing w:after="100" w:before="0"/>
      </w:pPr>
      <w:r>
        <w:t xml:space="preserve"/>
      </w:r>
    </w:p>
    <w:p>
      <w:pPr>
        <w:spacing w:after="100" w:before="0"/>
      </w:pPr>
      <w:r>
        <w:rPr>
          <w:rFonts w:ascii="Arial" w:cs="Arial" w:eastAsia="Arial" w:hAnsi="Arial"/>
          <w:color w:val="1A1A2E"/>
          <w:sz w:val="20"/>
          <w:szCs w:val="20"/>
        </w:rPr>
        <w:t xml:space="preserve">The structured harness is the mechanism that makes this decision defensible. A platform decision of this scope — governing all third-party partner connectivity into CVS Health — will be reviewed by executive leadership, information security governance, and potentially by auditors. The harness exists to ensure that when that review occurs, CVS Health can produce the evidence that backs the decision.</w:t>
      </w:r>
    </w:p>
    <w:p>
      <w:pPr>
        <w:spacing w:after="160" w:before="0"/>
      </w:pPr>
      <w:r>
        <w:t xml:space="preserve"/>
      </w:r>
    </w:p>
    <w:p>
      <w:pPr>
        <w:pBdr>
          <w:bottom w:val="single" w:color="CC0000" w:sz="6" w:space="4"/>
        </w:pBdr>
        <w:spacing w:after="100" w:before="280"/>
      </w:pPr>
      <w:r>
        <w:rPr>
          <w:rFonts w:ascii="Arial" w:cs="Arial" w:eastAsia="Arial" w:hAnsi="Arial"/>
          <w:b/>
          <w:bCs/>
          <w:color w:val="CC0000"/>
          <w:sz w:val="26"/>
          <w:szCs w:val="26"/>
        </w:rPr>
        <w:t xml:space="preserve">COMPANION DOCUMENTS AND REFERENCES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9"/>
                <w:szCs w:val="19"/>
              </w:rPr>
              <w:t xml:space="preserve">Cloudflare POC Deliverables</w:t>
            </w:r>
          </w:p>
        </w:tc>
        <w:tc>
          <w:tcPr>
            <w:tcW w:type="dxa" w:w="65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color w:val="1A1A2E"/>
                <w:sz w:val="19"/>
                <w:szCs w:val="19"/>
              </w:rPr>
              <w:t xml:space="preserve">v3 — April 30, 2026. Vendor capability requirements and acceptance scoring for Cloudflare.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F5 Distributed Cloud POC Deliverables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v3.2 — April 30, 2026. Vendor capability requirements and acceptance scoring for F5 Distributed Cloud.</w:t>
            </w:r>
          </w:p>
        </w:tc>
      </w:tr>
      <w:tr>
        <w:tc>
          <w:tcPr>
            <w:tcW w:type="dxa" w:w="2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b/>
                <w:bCs/>
                <w:color w:val="1A1A2E"/>
                <w:sz w:val="19"/>
                <w:szCs w:val="19"/>
              </w:rPr>
              <w:t xml:space="preserve">3PLZ Architecture Specification</w:t>
            </w:r>
          </w:p>
        </w:tc>
        <w:tc>
          <w:tcPr>
            <w:tcW w:type="dxa" w:w="65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Arial" w:cs="Arial" w:eastAsia="Arial" w:hAnsi="Arial"/>
                <w:color w:val="1A1A2E"/>
                <w:sz w:val="19"/>
                <w:szCs w:val="19"/>
              </w:rPr>
              <w:t xml:space="preserve">v4.1.26.3 — April 30, 2026. Platform architecture, topology, and production design.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This specification (full)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v1.1 — April 30, 2026. Complete methodology, environment design, test catalog, evidence pipeline, and operational runbook. 11 sections, 4 appendices.</w:t>
            </w:r>
          </w:p>
        </w:tc>
      </w:tr>
    </w:tbl>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CC0000" w:sz="4"/>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color w:val="888888"/>
              <w:sz w:val="16"/>
              <w:szCs w:val="16"/>
            </w:rPr>
            <w:t xml:space="preserve">CVS Health Internal — For Authorized Distribution Only</w:t>
          </w:r>
        </w:p>
      </w:tc>
      <w:tc>
        <w:tcPr>
          <w:tcW w:type="dxa" w:w="3000"/>
          <w:tcBorders>
            <w:top w:val="single" w:color="CC0000" w:sz="4"/>
            <w:left w:val="none" w:color="FFFFFF" w:sz="0"/>
            <w:bottom w:val="none" w:color="FFFFFF" w:sz="0"/>
            <w:right w:val="none" w:color="FFFFFF" w:sz="0"/>
          </w:tcBorders>
          <w:tcMar>
            <w:top w:type="dxa" w:w="80"/>
            <w:left w:type="dxa" w:w="0"/>
            <w:bottom w:type="dxa" w:w="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CC0000" w:sz="4"/>
            <w:right w:val="none" w:color="FFFFFF" w:sz="0"/>
          </w:tcBorders>
          <w:tcMar>
            <w:top w:type="dxa" w:w="0"/>
            <w:left w:type="dxa" w:w="0"/>
            <w:bottom w:type="dxa" w:w="80"/>
            <w:right w:type="dxa" w:w="0"/>
          </w:tcMar>
        </w:tcPr>
        <w:p>
          <w:r>
            <w:rPr>
              <w:rFonts w:ascii="Arial" w:cs="Arial" w:eastAsia="Arial" w:hAnsi="Arial"/>
              <w:color w:val="888888"/>
              <w:sz w:val="16"/>
              <w:szCs w:val="16"/>
            </w:rPr>
            <w:t xml:space="preserve">CVS Health  |  Network Security Engineering  |  3PLZ Program</w:t>
          </w:r>
        </w:p>
      </w:tc>
      <w:tc>
        <w:tcPr>
          <w:tcW w:type="dxa" w:w="4080"/>
          <w:tcBorders>
            <w:top w:val="none" w:color="FFFFFF" w:sz="0"/>
            <w:left w:val="none" w:color="FFFFFF" w:sz="0"/>
            <w:bottom w:val="single" w:color="CC0000" w:sz="4"/>
            <w:right w:val="none" w:color="FFFFFF" w:sz="0"/>
          </w:tcBorders>
          <w:tcMar>
            <w:top w:type="dxa" w:w="0"/>
            <w:left w:type="dxa" w:w="0"/>
            <w:bottom w:type="dxa" w:w="80"/>
            <w:right w:type="dxa" w:w="0"/>
          </w:tcMar>
        </w:tcPr>
        <w:p>
          <w:pPr>
            <w:jc w:val="right"/>
          </w:pPr>
          <w:r>
            <w:rPr>
              <w:rFonts w:ascii="Arial" w:cs="Arial" w:eastAsia="Arial" w:hAnsi="Arial"/>
              <w:color w:val="888888"/>
              <w:sz w:val="16"/>
              <w:szCs w:val="16"/>
            </w:rPr>
            <w:t xml:space="preserve">POC Test Harness Specification v1.1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2026-04-30T12:46:43.445Z</dcterms:created>
  <dcterms:modified xsi:type="dcterms:W3CDTF">2026-04-30T12:46:43.446Z</dcterms:modified>
</cp:coreProperties>
</file>

<file path=docProps/custom.xml><?xml version="1.0" encoding="utf-8"?>
<Properties xmlns="http://schemas.openxmlformats.org/officeDocument/2006/custom-properties" xmlns:vt="http://schemas.openxmlformats.org/officeDocument/2006/docPropsVTypes"/>
</file>