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0"/>
        <w:jc w:val="center"/>
      </w:pPr>
      <w:r>
        <w:rPr>
          <w:rFonts w:ascii="Arial" w:cs="Arial" w:eastAsia="Arial" w:hAnsi="Arial"/>
          <w:b/>
          <w:bCs/>
          <w:color w:val="004C97"/>
          <w:sz w:val="52"/>
          <w:szCs w:val="52"/>
        </w:rPr>
        <w:t xml:space="preserve">THIRD-PARTY LANDING ZONE (3PLZ)</w:t>
      </w:r>
    </w:p>
    <w:p>
      <w:pPr>
        <w:spacing w:after="240" w:before="0"/>
        <w:jc w:val="center"/>
      </w:pPr>
      <w:r>
        <w:rPr>
          <w:rFonts w:ascii="Arial" w:cs="Arial" w:eastAsia="Arial" w:hAnsi="Arial"/>
          <w:b/>
          <w:bCs/>
          <w:color w:val="2C3E50"/>
          <w:sz w:val="40"/>
          <w:szCs w:val="40"/>
        </w:rPr>
        <w:t xml:space="preserve">POC Test Use Cases &amp; Resourcing Plan</w:t>
      </w:r>
    </w:p>
    <w:p>
      <w:pPr>
        <w:pBdr>
          <w:bottom w:val="single" w:color="CC0000" w:sz="8" w:space="4"/>
        </w:pBdr>
        <w:spacing w:after="400" w:before="0"/>
        <w:jc w:val="center"/>
      </w:pPr>
    </w:p>
    <w:p>
      <w:pPr>
        <w:spacing w:after="0" w:before="400"/>
      </w:pPr>
    </w:p>
    <w:p>
      <w:pPr>
        <w:spacing w:after="120" w:before="0"/>
        <w:jc w:val="center"/>
      </w:pPr>
      <w:r>
        <w:rPr>
          <w:rFonts w:ascii="Arial" w:cs="Arial" w:eastAsia="Arial" w:hAnsi="Arial"/>
          <w:color w:val="5D6D7E"/>
          <w:sz w:val="22"/>
          <w:szCs w:val="22"/>
        </w:rPr>
        <w:t xml:space="preserve">Prepared by Michael J. Martin</w:t>
      </w:r>
    </w:p>
    <w:p>
      <w:pPr>
        <w:spacing w:after="80" w:before="0"/>
        <w:jc w:val="center"/>
      </w:pPr>
      <w:r>
        <w:rPr>
          <w:rFonts w:ascii="Arial" w:cs="Arial" w:eastAsia="Arial" w:hAnsi="Arial"/>
          <w:color w:val="5D6D7E"/>
          <w:sz w:val="22"/>
          <w:szCs w:val="22"/>
        </w:rPr>
        <w:t xml:space="preserve">Lead Director, Information Security — CVS Health</w:t>
      </w:r>
    </w:p>
    <w:p>
      <w:pPr>
        <w:spacing w:after="80" w:before="0"/>
        <w:jc w:val="center"/>
      </w:pPr>
      <w:r>
        <w:rPr>
          <w:rFonts w:ascii="Arial" w:cs="Arial" w:eastAsia="Arial" w:hAnsi="Arial"/>
          <w:color w:val="5D6D7E"/>
          <w:sz w:val="22"/>
          <w:szCs w:val="22"/>
        </w:rPr>
        <w:t xml:space="preserve">Version 1.0  ·  May 2026</w:t>
      </w:r>
    </w:p>
    <w:p>
      <w:pPr>
        <w:spacing w:after="80" w:before="0"/>
        <w:jc w:val="center"/>
      </w:pPr>
      <w:r>
        <w:rPr>
          <w:rFonts w:ascii="Arial" w:cs="Arial" w:eastAsia="Arial" w:hAnsi="Arial"/>
          <w:i/>
          <w:iCs/>
          <w:color w:val="5D6D7E"/>
          <w:sz w:val="20"/>
          <w:szCs w:val="20"/>
        </w:rPr>
        <w:t xml:space="preserve">CVS Health Internal — Engineering and Leadership Distribution</w:t>
      </w:r>
    </w:p>
    <w:p>
      <w:pPr>
        <w:spacing w:after="0" w:before="6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c>
          <w:tcPr>
            <w:tcW w:type="dxa" w:w="24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Companion Document</w:t>
            </w:r>
          </w:p>
        </w:tc>
        <w:tc>
          <w:tcPr>
            <w:tcW w:type="dxa" w:w="5600"/>
            <w:tcBorders>
              <w:top w:val="single" w:color="B0BEC5" w:sz="1"/>
              <w:left w:val="single" w:color="B0BEC5" w:sz="1"/>
              <w:bottom w:val="single" w:color="B0BEC5" w:sz="1"/>
              <w:right w:val="single" w:color="B0BEC5"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r>
      <w:tr>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Architecture Spec</w:t>
            </w:r>
          </w:p>
        </w:tc>
        <w:tc>
          <w:tcPr>
            <w:tcW w:type="dxa" w:w="56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v1.1 — Inspection Plane Formalized</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F5 POC Deliverables</w:t>
            </w:r>
          </w:p>
        </w:tc>
        <w:tc>
          <w:tcPr>
            <w:tcW w:type="dxa" w:w="5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Rev 4 — CR-07 Added</w:t>
            </w:r>
          </w:p>
        </w:tc>
      </w:tr>
      <w:tr>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Cloudflare POC Deliverables</w:t>
            </w:r>
          </w:p>
        </w:tc>
        <w:tc>
          <w:tcPr>
            <w:tcW w:type="dxa" w:w="56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Rev 4 — CR-07 Added</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Specification</w:t>
            </w:r>
          </w:p>
        </w:tc>
        <w:tc>
          <w:tcPr>
            <w:tcW w:type="dxa" w:w="5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v1.2 — 102-test catalog</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004C97" w:sz="6" w:space="4"/>
        </w:pBdr>
        <w:spacing w:after="180" w:before="360"/>
      </w:pPr>
      <w:r>
        <w:rPr>
          <w:rFonts w:ascii="Arial" w:cs="Arial" w:eastAsia="Arial" w:hAnsi="Arial"/>
          <w:b/>
          <w:bCs/>
          <w:color w:val="004C97"/>
          <w:sz w:val="32"/>
          <w:szCs w:val="32"/>
        </w:rPr>
        <w:t xml:space="preserve">1. Purpose &amp; Scope</w:t>
      </w:r>
    </w:p>
    <w:p>
      <w:pPr>
        <w:spacing w:after="80" w:before="80"/>
      </w:pPr>
      <w:r>
        <w:rPr>
          <w:rFonts w:ascii="Arial" w:cs="Arial" w:eastAsia="Arial" w:hAnsi="Arial"/>
          <w:b w:val="false"/>
          <w:bCs w:val="false"/>
          <w:i w:val="false"/>
          <w:iCs w:val="false"/>
          <w:color w:val="000000"/>
          <w:sz w:val="20"/>
          <w:szCs w:val="20"/>
        </w:rPr>
        <w:t xml:space="preserve">This document defines the test use cases and resourcing requirements for the 3PLZ (Third-Party Landing Zone) proof-of-concept evaluation of F5 Distributed Cloud and Cloudflare as the candidate secure access edge platform for CVS Health.</w:t>
      </w:r>
    </w:p>
    <w:p>
      <w:pPr>
        <w:spacing w:after="80" w:before="80"/>
      </w:pPr>
      <w:r>
        <w:rPr>
          <w:rFonts w:ascii="Arial" w:cs="Arial" w:eastAsia="Arial" w:hAnsi="Arial"/>
          <w:b w:val="false"/>
          <w:bCs w:val="false"/>
          <w:i w:val="false"/>
          <w:iCs w:val="false"/>
          <w:color w:val="000000"/>
          <w:sz w:val="20"/>
          <w:szCs w:val="20"/>
        </w:rPr>
        <w:t xml:space="preserve">The 3PLZ program requires that third-party connectivity be structured as per-tenant, lifecycle-managed, mediated exposure domains with mandatory bidirectional TLS and SSH inspection, governed outbound access, and an inline third-party inspection plane for DLP and Threat Prevention. The POC validates that both vendor platforms can deliver this capability with genuine per-tenant isolation — not policy paint over a shared architecture.</w:t>
      </w:r>
    </w:p>
    <w:p>
      <w:pPr>
        <w:spacing w:after="80" w:before="80"/>
      </w:pPr>
      <w:r>
        <w:rPr>
          <w:rFonts w:ascii="Arial" w:cs="Arial" w:eastAsia="Arial" w:hAnsi="Arial"/>
          <w:b w:val="false"/>
          <w:bCs w:val="false"/>
          <w:i w:val="false"/>
          <w:iCs w:val="false"/>
          <w:color w:val="000000"/>
          <w:sz w:val="20"/>
          <w:szCs w:val="20"/>
        </w:rPr>
        <w:t xml:space="preserve">This document is a companion to the Harness Specification v1.2. Where the Harness Spec defines the technical execution environment and YAML test catalog, this document provides human-readable use case descriptions organized for review by CVS Health architecture and leadership, resourcing requirements for deploying and executing the POC, and scheduling guidance aligned to the July 30 POC completion gate.</w:t>
      </w:r>
    </w:p>
    <w:p>
      <w:pPr>
        <w:pStyle w:val="Heading2"/>
        <w:spacing w:after="120" w:before="280"/>
      </w:pPr>
      <w:r>
        <w:rPr>
          <w:rFonts w:ascii="Arial" w:cs="Arial" w:eastAsia="Arial" w:hAnsi="Arial"/>
          <w:b/>
          <w:bCs/>
          <w:color w:val="2C3E50"/>
          <w:sz w:val="26"/>
          <w:szCs w:val="26"/>
        </w:rPr>
        <w:t xml:space="preserve">1.1  Capability Requirements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2160"/>
        <w:gridCol w:w="2100"/>
      </w:tblGrid>
      <w:tr>
        <w:tc>
          <w:tcPr>
            <w:tcW w:type="dxa" w:w="9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 #</w:t>
            </w:r>
          </w:p>
        </w:tc>
        <w:tc>
          <w:tcPr>
            <w:tcW w:type="dxa" w:w="42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Capability</w:t>
            </w:r>
          </w:p>
        </w:tc>
        <w:tc>
          <w:tcPr>
            <w:tcW w:type="dxa" w:w="216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Weight</w:t>
            </w:r>
          </w:p>
        </w:tc>
        <w:tc>
          <w:tcPr>
            <w:tcW w:type="dxa" w:w="21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Risk</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CR-01</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Per-Tenant mTLS Termination with CA Isolation (bidirectional)</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23%</w:t>
            </w:r>
          </w:p>
        </w:tc>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Highest — structural</w:t>
            </w:r>
          </w:p>
        </w:tc>
      </w:tr>
      <w:tr>
        <w:tc>
          <w:tcPr>
            <w:tcW w:type="dxa" w:w="9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CR-02</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Managed Access with Credential Vaulting (bidirectional)</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18%</w:t>
            </w:r>
          </w:p>
        </w:tc>
        <w:tc>
          <w:tcPr>
            <w:tcW w:type="dxa" w:w="21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High — session termination</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CR-03</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Per-Tenant DNS Rewriting</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Medium — isolation</w:t>
            </w:r>
          </w:p>
        </w:tc>
      </w:tr>
      <w:tr>
        <w:tc>
          <w:tcPr>
            <w:tcW w:type="dxa" w:w="9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CR-04</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Tenant Lifecycle — Provisioning and Offboarding</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18%</w:t>
            </w:r>
          </w:p>
        </w:tc>
        <w:tc>
          <w:tcPr>
            <w:tcW w:type="dxa" w:w="21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High — residual state</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CR-05</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Multi-Tenant Isolation at Scale (5 tenants)</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5%</w:t>
            </w:r>
          </w:p>
        </w:tc>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Critical — composition</w:t>
            </w:r>
          </w:p>
        </w:tc>
      </w:tr>
      <w:tr>
        <w:tc>
          <w:tcPr>
            <w:tcW w:type="dxa" w:w="9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CR-06</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Outbound Governed Access (Enterprise-to-Partner)</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21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High — outbound coverage</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CR-07</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Third-Party Inline Inspection Plane (Palo Alto NGFW ref impl)</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8%</w:t>
            </w:r>
          </w:p>
        </w:tc>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High — Cloudflare structural gap</w:t>
            </w:r>
          </w:p>
        </w:tc>
      </w:tr>
      <w:tr>
        <w:tc>
          <w:tcPr>
            <w:tcW w:type="dxa" w:w="9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EW-01–06</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Engineering Workflows — API readiness for self-service portal</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8%</w:t>
            </w:r>
          </w:p>
        </w:tc>
        <w:tc>
          <w:tcPr>
            <w:tcW w:type="dxa" w:w="21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Medium — Sept 30 dependency</w:t>
            </w:r>
          </w:p>
        </w:tc>
      </w:tr>
    </w:tbl>
    <w:p>
      <w:pPr>
        <w:spacing w:after="0" w:before="200"/>
      </w:pPr>
    </w:p>
    <w:p>
      <w:pPr>
        <w:pStyle w:val="Heading2"/>
        <w:spacing w:after="120" w:before="280"/>
      </w:pPr>
      <w:r>
        <w:rPr>
          <w:rFonts w:ascii="Arial" w:cs="Arial" w:eastAsia="Arial" w:hAnsi="Arial"/>
          <w:b/>
          <w:bCs/>
          <w:color w:val="2C3E50"/>
          <w:sz w:val="26"/>
          <w:szCs w:val="26"/>
        </w:rPr>
        <w:t xml:space="preserve">1.2  Test Execution Framework</w:t>
      </w:r>
    </w:p>
    <w:p>
      <w:pPr>
        <w:spacing w:after="80" w:before="80"/>
      </w:pPr>
      <w:r>
        <w:rPr>
          <w:rFonts w:ascii="Arial" w:cs="Arial" w:eastAsia="Arial" w:hAnsi="Arial"/>
          <w:b w:val="false"/>
          <w:bCs w:val="false"/>
          <w:i w:val="false"/>
          <w:iCs w:val="false"/>
          <w:color w:val="000000"/>
          <w:sz w:val="20"/>
          <w:szCs w:val="20"/>
        </w:rPr>
        <w:t xml:space="preserve">Tests are organized in four sequenced layers enforced as pass gates, plus a separate inspection-plane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1680"/>
        <w:gridCol w:w="2640"/>
      </w:tblGrid>
      <w:tr>
        <w:tc>
          <w:tcPr>
            <w:tcW w:type="dxa" w:w="144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36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68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Approx. Count</w:t>
            </w:r>
          </w:p>
        </w:tc>
        <w:tc>
          <w:tcPr>
            <w:tcW w:type="dxa" w:w="264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Pass Gate</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Layer 1</w:t>
            </w:r>
          </w:p>
        </w:tc>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Single-tenant capability — each CR demonstrated on Tenant t01 only</w:t>
            </w:r>
          </w:p>
        </w:tc>
        <w:tc>
          <w:tcPr>
            <w:tcW w:type="dxa" w:w="1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16 tests</w:t>
            </w:r>
          </w:p>
        </w:tc>
        <w:tc>
          <w:tcPr>
            <w:tcW w:type="dxa" w:w="26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Required before Layer 2 and Inspection Plane</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Plane</w:t>
            </w:r>
          </w:p>
        </w:tc>
        <w:tc>
          <w:tcPr>
            <w:tcW w:type="dxa" w:w="36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CR-07 plumbing contract (tests I-01 through I-12)</w:t>
            </w:r>
          </w:p>
        </w:tc>
        <w:tc>
          <w:tcPr>
            <w:tcW w:type="dxa" w:w="168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12 tests</w:t>
            </w:r>
          </w:p>
        </w:tc>
        <w:tc>
          <w:tcPr>
            <w:tcW w:type="dxa" w:w="26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After Layer 1; before Layer 2</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Layer 2</w:t>
            </w:r>
          </w:p>
        </w:tc>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Multi-tenant isolation — 5 concurrent tenants, 6 vectors × 20 ordered pairs</w:t>
            </w:r>
          </w:p>
        </w:tc>
        <w:tc>
          <w:tcPr>
            <w:tcW w:type="dxa" w:w="1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~120 executions</w:t>
            </w:r>
          </w:p>
        </w:tc>
        <w:tc>
          <w:tcPr>
            <w:tcW w:type="dxa" w:w="26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Required before Layer 3</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Layer 3</w:t>
            </w:r>
          </w:p>
        </w:tc>
        <w:tc>
          <w:tcPr>
            <w:tcW w:type="dxa" w:w="36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Adversarial / negative — CR-01 attack battery, passthrough probes</w:t>
            </w:r>
          </w:p>
        </w:tc>
        <w:tc>
          <w:tcPr>
            <w:tcW w:type="dxa" w:w="168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~20 tests</w:t>
            </w:r>
          </w:p>
        </w:tc>
        <w:tc>
          <w:tcPr>
            <w:tcW w:type="dxa" w:w="26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Required before Layer 4</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Layer 4</w:t>
            </w:r>
          </w:p>
        </w:tc>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Lifecycle and residual state — EW-01 + EW-03 round-trip (×3 per tenant)</w:t>
            </w:r>
          </w:p>
        </w:tc>
        <w:tc>
          <w:tcPr>
            <w:tcW w:type="dxa" w:w="1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~20 tests</w:t>
            </w:r>
          </w:p>
        </w:tc>
        <w:tc>
          <w:tcPr>
            <w:tcW w:type="dxa" w:w="26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Final gate for POC pass</w:t>
            </w:r>
          </w:p>
        </w:tc>
      </w:tr>
    </w:tbl>
    <w:p>
      <w:pPr>
        <w:spacing w:after="0" w:before="200"/>
      </w:pPr>
    </w:p>
    <w:p>
      <w:pPr>
        <w:pStyle w:val="Heading1"/>
        <w:pBdr>
          <w:bottom w:val="single" w:color="004C97" w:sz="6" w:space="4"/>
        </w:pBdr>
        <w:spacing w:after="180" w:before="360"/>
      </w:pPr>
      <w:r>
        <w:rPr>
          <w:rFonts w:ascii="Arial" w:cs="Arial" w:eastAsia="Arial" w:hAnsi="Arial"/>
          <w:b/>
          <w:bCs/>
          <w:color w:val="004C97"/>
          <w:sz w:val="32"/>
          <w:szCs w:val="32"/>
        </w:rPr>
        <w:t xml:space="preserve">2. Test Use Case Catalog</w:t>
      </w:r>
    </w:p>
    <w:p>
      <w:pPr>
        <w:spacing w:after="80" w:before="80"/>
      </w:pPr>
      <w:r>
        <w:rPr>
          <w:rFonts w:ascii="Arial" w:cs="Arial" w:eastAsia="Arial" w:hAnsi="Arial"/>
          <w:b w:val="false"/>
          <w:bCs w:val="false"/>
          <w:i w:val="false"/>
          <w:iCs w:val="false"/>
          <w:color w:val="000000"/>
          <w:sz w:val="20"/>
          <w:szCs w:val="20"/>
        </w:rPr>
        <w:t xml:space="preserve">The following use cases map directly to Capability Requirements (CR-01 through CR-07) and correspond to individual test entries in the Harness tests.yaml catalog. Each use case specifies the scenario, preconditions, execution step, expected outcome, and evidence artifacts required.</w:t>
      </w:r>
    </w:p>
    <w:p>
      <w:pPr>
        <w:pBdr>
          <w:left w:val="single" w:color="004C97" w:sz="16" w:space="8"/>
        </w:pBdr>
        <w:spacing w:after="120" w:before="120"/>
        <w:ind w:left="360"/>
      </w:pPr>
      <w:r>
        <w:rPr>
          <w:rFonts w:ascii="Arial" w:cs="Arial" w:eastAsia="Arial" w:hAnsi="Arial"/>
          <w:b/>
          <w:bCs/>
          <w:color w:val="004C97"/>
          <w:sz w:val="20"/>
          <w:szCs w:val="20"/>
        </w:rPr>
        <w:t xml:space="preserve">NOTE: </w:t>
      </w:r>
      <w:r>
        <w:rPr>
          <w:rFonts w:ascii="Arial" w:cs="Arial" w:eastAsia="Arial" w:hAnsi="Arial"/>
          <w:sz w:val="20"/>
          <w:szCs w:val="20"/>
        </w:rPr>
        <w:t xml:space="preserve">Harness test IDs (I-01, CR01-T15-A2B, etc.) shown in the EW/Reference column are the definitive execution references in the harness YAML catalog. This document provides the human-readable intent and acceptance logic.</w:t>
      </w:r>
    </w:p>
    <w:p>
      <w:pPr>
        <w:pStyle w:val="Heading2"/>
        <w:spacing w:after="120" w:before="280"/>
      </w:pPr>
      <w:r>
        <w:rPr>
          <w:rFonts w:ascii="Arial" w:cs="Arial" w:eastAsia="Arial" w:hAnsi="Arial"/>
          <w:b/>
          <w:bCs/>
          <w:color w:val="2C3E50"/>
          <w:sz w:val="26"/>
          <w:szCs w:val="26"/>
        </w:rPr>
        <w:t xml:space="preserve">2.1  CR-01 — Per-Tenant mTLS CA Isolation</w:t>
      </w:r>
    </w:p>
    <w:p>
      <w:pPr>
        <w:pStyle w:val="Heading3"/>
        <w:spacing w:after="100" w:before="200"/>
      </w:pPr>
      <w:r>
        <w:rPr>
          <w:rFonts w:ascii="Arial" w:cs="Arial" w:eastAsia="Arial" w:hAnsi="Arial"/>
          <w:b/>
          <w:bCs/>
          <w:color w:val="5D6D7E"/>
          <w:sz w:val="22"/>
          <w:szCs w:val="22"/>
        </w:rPr>
        <w:t xml:space="preserve">TC-CR01-001 — Valid inbound mTLS connection succeeds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Positive Path</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 Single-Tenant Capability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Partner client presents a certificate issued by Tenant t01's intermediate CA and connects to the t01 mTLS proxy listener. Request must be proxied to the backend; backend must receive plain HTTP.</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Tenant t01 provisioned (ACTIVE); t01 intermediate CA initialized; valid partner client certificate issued.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https --tenant t01 --cert-profile valid --target https://app1.t01.poc.invalid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200 OK; backend receives plain HTTP; audit event cert_accepted_inbound; no client-cert header at backend.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pcap (client + backend), audit log, TLS keylog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Low</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EW-01 §8 test (1)</w:t>
            </w:r>
          </w:p>
        </w:tc>
      </w:tr>
    </w:tbl>
    <w:p>
      <w:pPr>
        <w:spacing w:after="0" w:before="180"/>
      </w:pPr>
    </w:p>
    <w:p>
      <w:pPr>
        <w:pStyle w:val="Heading3"/>
        <w:spacing w:after="100" w:before="200"/>
      </w:pPr>
      <w:r>
        <w:rPr>
          <w:rFonts w:ascii="Arial" w:cs="Arial" w:eastAsia="Arial" w:hAnsi="Arial"/>
          <w:b/>
          <w:bCs/>
          <w:color w:val="5D6D7E"/>
          <w:sz w:val="22"/>
          <w:szCs w:val="22"/>
        </w:rPr>
        <w:t xml:space="preserve">TC-CR01-002 — Certificate from Tenant A rejected at Tenant B listener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Wrong-Tenant CA Rejection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 Single-Tenant Capability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Partner presents a valid certificate issued by Tenant t01's CA to the Tenant t02 proxy listener. Must fail at trust validation — not at policy or SNI routing.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Tenants t01 and t02 provisioned (ACTIVE); cross-tenant certificate profiles generated.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https --tenant t01 --cert-profile valid --target https://app1.t02.poc.invalid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TLS alert: bad_certificate; audit event cert_rejected_wrong_tenant; zero backend hits for t02.</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pcap (TLS alert visible), audit log entry</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 – CA isolation</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EW-01 §8 test (2), Harness §9.4 cross-CA spoof</w:t>
            </w:r>
          </w:p>
        </w:tc>
      </w:tr>
    </w:tbl>
    <w:p>
      <w:pPr>
        <w:spacing w:after="0" w:before="180"/>
      </w:pPr>
    </w:p>
    <w:p>
      <w:pPr>
        <w:pStyle w:val="Heading3"/>
        <w:spacing w:after="100" w:before="200"/>
      </w:pPr>
      <w:r>
        <w:rPr>
          <w:rFonts w:ascii="Arial" w:cs="Arial" w:eastAsia="Arial" w:hAnsi="Arial"/>
          <w:b/>
          <w:bCs/>
          <w:color w:val="5D6D7E"/>
          <w:sz w:val="22"/>
          <w:szCs w:val="22"/>
        </w:rPr>
        <w:t xml:space="preserve">TC-CR01-003 — Expired partner certificate is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Expired Certificate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 Single-Tenant Capability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Partner presents a certificate with NotAfter in the past to the tenant listener.</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Expired certificate profile generated for t01.</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https --tenant t01 --cert-profile expired --target https://app1.t01.poc.invalid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TLS alert: certificate_expired; audit log event with reason code.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pcap, audit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Medium</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§9.4 expired cert acceptance</w:t>
            </w:r>
          </w:p>
        </w:tc>
      </w:tr>
    </w:tbl>
    <w:p>
      <w:pPr>
        <w:spacing w:after="0" w:before="180"/>
      </w:pPr>
    </w:p>
    <w:p>
      <w:pPr>
        <w:pStyle w:val="Heading3"/>
        <w:spacing w:after="100" w:before="200"/>
      </w:pPr>
      <w:r>
        <w:rPr>
          <w:rFonts w:ascii="Arial" w:cs="Arial" w:eastAsia="Arial" w:hAnsi="Arial"/>
          <w:b/>
          <w:bCs/>
          <w:color w:val="5D6D7E"/>
          <w:sz w:val="22"/>
          <w:szCs w:val="22"/>
        </w:rPr>
        <w:t xml:space="preserve">TC-CR01-004 — Revoked certificate is rejected within CRL refresh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Certificate Revocation (CRL)</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 Single-Tenant Capability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Revoke an active Tenant t01 partner certificate, wait for the stated CRL refresh interval, then attempt connection.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Active certificate for t01; CRL distribution point operational; CRL refresh interval documented by vendor.</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Revoke cert at CA → wait CRL TTL → https --tenant t01 --cert-profile revoked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Connection rejected after CRL refresh; audit log event; existing long-running sessions handled per platform policy (documented).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CRL export (showing revoked serial), pcap of rejected handshake, audit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 – revocation enforcement</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§9.4 CRL effectiveness</w:t>
            </w:r>
          </w:p>
        </w:tc>
      </w:tr>
    </w:tbl>
    <w:p>
      <w:pPr>
        <w:spacing w:after="0" w:before="180"/>
      </w:pPr>
    </w:p>
    <w:p>
      <w:pPr>
        <w:pStyle w:val="Heading3"/>
        <w:spacing w:after="100" w:before="200"/>
      </w:pPr>
      <w:r>
        <w:rPr>
          <w:rFonts w:ascii="Arial" w:cs="Arial" w:eastAsia="Arial" w:hAnsi="Arial"/>
          <w:b/>
          <w:bCs/>
          <w:color w:val="5D6D7E"/>
          <w:sz w:val="22"/>
          <w:szCs w:val="22"/>
        </w:rPr>
        <w:t xml:space="preserve">TC-CR01-005 — OCSP responder revocation is honored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OCSP Enforcement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 Single-Tenant Capability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Revoke certificate via OCSP responder; confirm new connections fail within the platform's stated OCSP cache window.</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Per-tenant OCSP responder running; OCSP signing certificate configured; certificate revoked.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Revoke at CA + OCSP responder → attempt connection before and after OCSP cache TTL</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Connection allowed before TTL (cached response); rejected after TTL elapses. Partial pass (CRL only, no OCSP) flagged separately.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OCSP response captures, pcaps, audit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§5.4.2 OCSP tests</w:t>
            </w:r>
          </w:p>
        </w:tc>
      </w:tr>
    </w:tbl>
    <w:p>
      <w:pPr>
        <w:spacing w:after="0" w:before="180"/>
      </w:pPr>
    </w:p>
    <w:p>
      <w:pPr>
        <w:pStyle w:val="Heading3"/>
        <w:spacing w:after="100" w:before="200"/>
      </w:pPr>
      <w:r>
        <w:rPr>
          <w:rFonts w:ascii="Arial" w:cs="Arial" w:eastAsia="Arial" w:hAnsi="Arial"/>
          <w:b/>
          <w:bCs/>
          <w:color w:val="5D6D7E"/>
          <w:sz w:val="22"/>
          <w:szCs w:val="22"/>
        </w:rPr>
        <w:t xml:space="preserve">TC-CR01-006 — Certificate with SAN overlapping another tenant is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Wildcard/SAN Abuse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3 – Adversarial</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Issue a Tenant A certificate with a SAN pattern that matches a Tenant B-served hostname. Present to Tenant B listener.</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Wrong-SAN certificate profile generated.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https --tenant t01 --cert-profile wrong-san-overlap-t02 --target https://app1.t02.poc.invalid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Rejected at trust validation, not SNI routing. TLS alert: bad_certificate.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pcap (alert stage), audit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 – adversarial isolation</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§9.4 wildcard/SAN abuse</w:t>
            </w:r>
          </w:p>
        </w:tc>
      </w:tr>
    </w:tbl>
    <w:p>
      <w:pPr>
        <w:spacing w:after="0" w:before="180"/>
      </w:pPr>
    </w:p>
    <w:p>
      <w:pPr>
        <w:pStyle w:val="Heading3"/>
        <w:spacing w:after="100" w:before="200"/>
      </w:pPr>
      <w:r>
        <w:rPr>
          <w:rFonts w:ascii="Arial" w:cs="Arial" w:eastAsia="Arial" w:hAnsi="Arial"/>
          <w:b/>
          <w:bCs/>
          <w:color w:val="5D6D7E"/>
          <w:sz w:val="22"/>
          <w:szCs w:val="22"/>
        </w:rPr>
        <w:t xml:space="preserve">TC-CR01-007 — Chain manipulation via shared root is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Shared Root Pivot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3 – Adversarial</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If vendor chains all tenant intermediates under one platform root, attempt validation bypass by presenting an intermediate-signed cert without the leaf, or with a manipulated chain.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Malformed certificate profile generated.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https --cert-profile malformed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Rejected; fail-closed in all malformed-cert cases.</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pcap, audit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§9.4 shared root pivot</w:t>
            </w:r>
          </w:p>
        </w:tc>
      </w:tr>
    </w:tbl>
    <w:p>
      <w:pPr>
        <w:spacing w:after="0" w:before="180"/>
      </w:pPr>
    </w:p>
    <w:p>
      <w:pPr>
        <w:pStyle w:val="Heading3"/>
        <w:spacing w:after="100" w:before="200"/>
      </w:pPr>
      <w:r>
        <w:rPr>
          <w:rFonts w:ascii="Arial" w:cs="Arial" w:eastAsia="Arial" w:hAnsi="Arial"/>
          <w:b/>
          <w:bCs/>
          <w:color w:val="5D6D7E"/>
          <w:sz w:val="22"/>
          <w:szCs w:val="22"/>
        </w:rPr>
        <w:t xml:space="preserve">TC-CR01-008 — CVS-initiated outbound mTLS: valid CVS cert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Outbound CVS Client Cert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 Single-Tenant Capability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From the CVS-side, initiate an outbound HTTPS connection through the 3PLZ platform to a declared third-party endpoint. Platform must enforce CVS client cert presentation.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Tenant t01 outbound governed access provisioned; CVS client cert issued; declared endpoint simulator running.</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egress --tenant t01 --cvs-cert-profile valid --target https://vendor-api.declared.poc.invalid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Connection succeeds; third-party endpoint receives CVS client cert; full TLS inspection active.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pcap (TLS handshake), audit log showing mTLS enforcement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 – outbound enforcement</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EW-01 §8 test (3)</w:t>
            </w:r>
          </w:p>
        </w:tc>
      </w:tr>
    </w:tbl>
    <w:p>
      <w:pPr>
        <w:spacing w:after="0" w:before="180"/>
      </w:pPr>
    </w:p>
    <w:p>
      <w:pPr>
        <w:pStyle w:val="Heading3"/>
        <w:spacing w:after="100" w:before="200"/>
      </w:pPr>
      <w:r>
        <w:rPr>
          <w:rFonts w:ascii="Arial" w:cs="Arial" w:eastAsia="Arial" w:hAnsi="Arial"/>
          <w:b/>
          <w:bCs/>
          <w:color w:val="5D6D7E"/>
          <w:sz w:val="22"/>
          <w:szCs w:val="22"/>
        </w:rPr>
        <w:t xml:space="preserve">TC-CR01-009 — CVS-initiated outbound without valid cert is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Outbound CVS Client Cert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 Single-Tenant Capability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Attempt CVS-side outbound connection with no certificate or an invalid certificate. Platform must block.</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Same as TC-CR01-008.</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egress --tenant t01 --cvs-cert-profile no-cert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Connection rejected; audit log event; no backend traffic reaches simulator.</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pcap, audit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EW-01 §8 test (4)</w:t>
            </w:r>
          </w:p>
        </w:tc>
      </w:tr>
    </w:tbl>
    <w:p>
      <w:pPr>
        <w:spacing w:after="0" w:before="180"/>
      </w:pPr>
    </w:p>
    <w:p>
      <w:pPr>
        <w:pStyle w:val="Heading2"/>
        <w:spacing w:after="120" w:before="280"/>
      </w:pPr>
      <w:r>
        <w:rPr>
          <w:rFonts w:ascii="Arial" w:cs="Arial" w:eastAsia="Arial" w:hAnsi="Arial"/>
          <w:b/>
          <w:bCs/>
          <w:color w:val="2C3E50"/>
          <w:sz w:val="26"/>
          <w:szCs w:val="26"/>
        </w:rPr>
        <w:t xml:space="preserve">2.2  CR-02 — SSH Managed Access with Credential Vaulting</w:t>
      </w:r>
    </w:p>
    <w:p>
      <w:pPr>
        <w:pStyle w:val="Heading3"/>
        <w:spacing w:after="100" w:before="200"/>
      </w:pPr>
      <w:r>
        <w:rPr>
          <w:rFonts w:ascii="Arial" w:cs="Arial" w:eastAsia="Arial" w:hAnsi="Arial"/>
          <w:b/>
          <w:bCs/>
          <w:color w:val="5D6D7E"/>
          <w:sz w:val="22"/>
          <w:szCs w:val="22"/>
        </w:rPr>
        <w:t xml:space="preserve">TC-CR02-001 — Partner SSH inbound with valid TOTP succeeds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Inbound — TOTP Authentication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 Single-Tenant Capability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Partner user presents email identity + valid TOTP to the inbound SSH proxy. Platform terminates the SSH session, validates TOTP, then opens a proxied session to the CVS backend host using vaulted internal credentials.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Tenant t01 SSH proxy provisioned; partner user enrolled; TOTP secret in vault; internal credential in vault.</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poc-client ssh --tenant t01 --user partner-a --totp-secret-ref vault://t01/partner-a --target ssh.t01.poc.invalid --command "uname -a"</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session established; backend SSH daemon sees internal service account only; full session audit log produced.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transcript, audit log (direction=inbound, email, ACL outcome, proxied host)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EW-01 §8 test (5)</w:t>
            </w:r>
          </w:p>
        </w:tc>
      </w:tr>
    </w:tbl>
    <w:p>
      <w:pPr>
        <w:spacing w:after="0" w:before="180"/>
      </w:pPr>
    </w:p>
    <w:p>
      <w:pPr>
        <w:pStyle w:val="Heading3"/>
        <w:spacing w:after="100" w:before="200"/>
      </w:pPr>
      <w:r>
        <w:rPr>
          <w:rFonts w:ascii="Arial" w:cs="Arial" w:eastAsia="Arial" w:hAnsi="Arial"/>
          <w:b/>
          <w:bCs/>
          <w:color w:val="5D6D7E"/>
          <w:sz w:val="22"/>
          <w:szCs w:val="22"/>
        </w:rPr>
        <w:t xml:space="preserve">TC-CR02-002 — Partner SSH with invalid TOTP is rejected before backend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Inbound — TOTP Rejection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 Single-Tenant Capability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Partner presents incorrect TOTP. Platform must reject at authentication — no backend CVS connection must be established.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TOTP wrong-secret profile in vault.</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poc-client ssh --totp-secret-ref vault://t01/wrong-totp</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authentication failure; no backend connection; audit log event with auth_failed.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client error, audit log, pcap (no backend traffic)</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 – authentication enforcement</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EW-01 §8 test (6)</w:t>
            </w:r>
          </w:p>
        </w:tc>
      </w:tr>
    </w:tbl>
    <w:p>
      <w:pPr>
        <w:spacing w:after="0" w:before="180"/>
      </w:pPr>
    </w:p>
    <w:p>
      <w:pPr>
        <w:pStyle w:val="Heading3"/>
        <w:spacing w:after="100" w:before="200"/>
      </w:pPr>
      <w:r>
        <w:rPr>
          <w:rFonts w:ascii="Arial" w:cs="Arial" w:eastAsia="Arial" w:hAnsi="Arial"/>
          <w:b/>
          <w:bCs/>
          <w:color w:val="5D6D7E"/>
          <w:sz w:val="22"/>
          <w:szCs w:val="22"/>
        </w:rPr>
        <w:t xml:space="preserve">TC-CR02-003 — User authorized for Service A denied at Service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Inbound — ACL Enforcement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 Single-Tenant Capability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Partner user is in the ACL for SSH Host #1 but not SSH Host #2. TOTP succeeds but ACL check must block access to Host #2.</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User access matrix loaded; per-service ACL files configured for both hosts.</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Attempt SSH to Host #1 (expect success); attempt SSH to Host #2 (expect denial).</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Host #1: session opened. Host #2: rejected with ACL denial; both outcomes written to audit log.</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Audit log entries for both attempts; pcap showing no backend traffic on denied attempt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EW-01, CR-02 §2.2</w:t>
            </w:r>
          </w:p>
        </w:tc>
      </w:tr>
    </w:tbl>
    <w:p>
      <w:pPr>
        <w:spacing w:after="0" w:before="180"/>
      </w:pPr>
    </w:p>
    <w:p>
      <w:pPr>
        <w:pStyle w:val="Heading3"/>
        <w:spacing w:after="100" w:before="200"/>
      </w:pPr>
      <w:r>
        <w:rPr>
          <w:rFonts w:ascii="Arial" w:cs="Arial" w:eastAsia="Arial" w:hAnsi="Arial"/>
          <w:b/>
          <w:bCs/>
          <w:color w:val="5D6D7E"/>
          <w:sz w:val="22"/>
          <w:szCs w:val="22"/>
        </w:rPr>
        <w:t xml:space="preserve">TC-CR02-004 — Internal CVS credentials are not exposed to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Inbound — Credential Concealment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 Single-Tenant Capability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Verify that the partner SSH session has no mechanism to retrieve or observe the internal CVS credentials used for the proxied backend connection.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Active inbound SSH session on Tenant t01.</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From partner SSH session: attempt env, printenv, credential sniffing commands. Verify backend SSH daemon logs.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Backend SSH daemon sees internal service account; partner session yields no internal credentials; vault audit log shows read by platform only.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Session transcript, backend SSH auth log, vault audit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 – credential isolation</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CR-02.3</w:t>
            </w:r>
          </w:p>
        </w:tc>
      </w:tr>
    </w:tbl>
    <w:p>
      <w:pPr>
        <w:spacing w:after="0" w:before="180"/>
      </w:pPr>
    </w:p>
    <w:p>
      <w:pPr>
        <w:pStyle w:val="Heading3"/>
        <w:spacing w:after="100" w:before="200"/>
      </w:pPr>
      <w:r>
        <w:rPr>
          <w:rFonts w:ascii="Arial" w:cs="Arial" w:eastAsia="Arial" w:hAnsi="Arial"/>
          <w:b/>
          <w:bCs/>
          <w:color w:val="5D6D7E"/>
          <w:sz w:val="22"/>
          <w:szCs w:val="22"/>
        </w:rPr>
        <w:t xml:space="preserve">TC-CR02-005 — CVS-initiated outbound SSH session through governed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Outbound — CVS-Initiated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 Single-Tenant Capability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CVS-side service authenticates to the outbound SSH proxy and connects to a declared third-party SSH host. Platform injects vault credentials transparently.</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Outbound SSH proxy listener active; third-party SSH simulator running; vault credentials for third-party host loaded.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poc-client ssh --tenant t01 --user cvs-service --target outbound-ssh.poc.invalid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session established; third-party host sees only injected service account; full session audit log.</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transcript, third-party host auth log, vault read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EW-01 §8 test (7)</w:t>
            </w:r>
          </w:p>
        </w:tc>
      </w:tr>
    </w:tbl>
    <w:p>
      <w:pPr>
        <w:spacing w:after="0" w:before="180"/>
      </w:pPr>
    </w:p>
    <w:p>
      <w:pPr>
        <w:pStyle w:val="Heading3"/>
        <w:spacing w:after="100" w:before="200"/>
      </w:pPr>
      <w:r>
        <w:rPr>
          <w:rFonts w:ascii="Arial" w:cs="Arial" w:eastAsia="Arial" w:hAnsi="Arial"/>
          <w:b/>
          <w:bCs/>
          <w:color w:val="5D6D7E"/>
          <w:sz w:val="22"/>
          <w:szCs w:val="22"/>
        </w:rPr>
        <w:t xml:space="preserve">TC-CR02-006 — Confirm SSH is terminated and inspected — not TCP passthrough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 TCP Passthrough Prohibition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3 – Adversarial</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Verify that the SSH traffic is fully terminated at the platform. If passthrough were active, the backend host would complete a direct SSH negotiation with the partner IP. Proof via packet timing and session attributes.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Both inbound and outbound SSH proxies configured.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Capture at backend. Verify SSH handshake shows platform source IP, not partner IP. Verify session is fully terminated.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Backend SSH daemon sees platform-internal source IP only; session key material is platform-generated; no end-to-end SSH tunnel visible in pcap.</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pcap (backend-side), SSH banner analysis, audit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 – passthrough prohibition</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EW-01 §8 test (8)</w:t>
            </w:r>
          </w:p>
        </w:tc>
      </w:tr>
    </w:tbl>
    <w:p>
      <w:pPr>
        <w:spacing w:after="0" w:before="180"/>
      </w:pPr>
    </w:p>
    <w:p>
      <w:pPr>
        <w:pStyle w:val="Heading2"/>
        <w:spacing w:after="120" w:before="280"/>
      </w:pPr>
      <w:r>
        <w:rPr>
          <w:rFonts w:ascii="Arial" w:cs="Arial" w:eastAsia="Arial" w:hAnsi="Arial"/>
          <w:b/>
          <w:bCs/>
          <w:color w:val="2C3E50"/>
          <w:sz w:val="26"/>
          <w:szCs w:val="26"/>
        </w:rPr>
        <w:t xml:space="preserve">2.3  CR-03 — Per-Tenant DNS Rewriting</w:t>
      </w:r>
    </w:p>
    <w:p>
      <w:pPr>
        <w:pStyle w:val="Heading3"/>
        <w:spacing w:after="100" w:before="200"/>
      </w:pPr>
      <w:r>
        <w:rPr>
          <w:rFonts w:ascii="Arial" w:cs="Arial" w:eastAsia="Arial" w:hAnsi="Arial"/>
          <w:b/>
          <w:bCs/>
          <w:color w:val="5D6D7E"/>
          <w:sz w:val="22"/>
          <w:szCs w:val="22"/>
        </w:rPr>
        <w:t xml:space="preserve">TC-CR03-001 — Internal DNS name resolves to SNAT inbound VIP, not real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DNS — A-Record Rewrite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 Single-Tenant Capability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Partner-side DNS query for an internal application FQDN must return the Tenant's SNAT inbound identity, never the real internal IP.</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Tenant t01 DNS listener active; A-record rewrite configured; internal DNS resolver authoritative for test zone.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poc-client dns --tenant t01 --query app1.internal.cvs.invalid --resolver tenant-vip</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Returned A record = SNAT inbound VIP; real internal IP never appears in response.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dig output (captured), DNS query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EW-01 §8 test (9)(10)</w:t>
            </w:r>
          </w:p>
        </w:tc>
      </w:tr>
    </w:tbl>
    <w:p>
      <w:pPr>
        <w:spacing w:after="0" w:before="180"/>
      </w:pPr>
    </w:p>
    <w:p>
      <w:pPr>
        <w:pStyle w:val="Heading3"/>
        <w:spacing w:after="100" w:before="200"/>
      </w:pPr>
      <w:r>
        <w:rPr>
          <w:rFonts w:ascii="Arial" w:cs="Arial" w:eastAsia="Arial" w:hAnsi="Arial"/>
          <w:b/>
          <w:bCs/>
          <w:color w:val="5D6D7E"/>
          <w:sz w:val="22"/>
          <w:szCs w:val="22"/>
        </w:rPr>
        <w:t xml:space="preserve">TC-CR03-002 — Tenant A DNS context cannot resolve Tenant B internal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DNS — Cross-Tenant Non-Disclosure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 – Multi-Tenant Isolation</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 DNS query issued within Tenant A's context for a name that is only declared in Tenant B's catalog must return no result and must not disclose Tenant B's SNAT VIP.</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Five tenants active; distinct DNS zones per tenant.</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Query Tenant B internal name from Tenant A resolver context.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NXDOMAIN or empty response; no Tenant B internal IP in response; no cross-tenant audit contamination.</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dig output, DNS audit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 – DNS isolation</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CR-03.1, Cross-tenant matrix DNS vector</w:t>
            </w:r>
          </w:p>
        </w:tc>
      </w:tr>
    </w:tbl>
    <w:p>
      <w:pPr>
        <w:spacing w:after="0" w:before="180"/>
      </w:pPr>
    </w:p>
    <w:p>
      <w:pPr>
        <w:pStyle w:val="Heading3"/>
        <w:spacing w:after="100" w:before="200"/>
      </w:pPr>
      <w:r>
        <w:rPr>
          <w:rFonts w:ascii="Arial" w:cs="Arial" w:eastAsia="Arial" w:hAnsi="Arial"/>
          <w:b/>
          <w:bCs/>
          <w:color w:val="5D6D7E"/>
          <w:sz w:val="22"/>
          <w:szCs w:val="22"/>
        </w:rPr>
        <w:t xml:space="preserve">TC-CR03-003 — Each tenant has a structurally dedicated DNS listener (VIP)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DNS — Dedicated Listener Per Tenant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 Single-Tenant Capability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Enumerate DNS listener configuration via vendor API and confirm each of the five tenants uses a separate dedicated VIP. No shared listener is acceptable.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Five tenants provisioned.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API export of DNS listener objects; confirm 5 distinct listener VIPs.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Five independent VIPs; no shared listener; API export confirms structural separation.</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API state snapshot (tenant-config.json)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Medium</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CR-03.4</w:t>
            </w:r>
          </w:p>
        </w:tc>
      </w:tr>
    </w:tbl>
    <w:p>
      <w:pPr>
        <w:spacing w:after="0" w:before="180"/>
      </w:pPr>
    </w:p>
    <w:p>
      <w:pPr>
        <w:pStyle w:val="Heading2"/>
        <w:spacing w:after="120" w:before="280"/>
      </w:pPr>
      <w:r>
        <w:rPr>
          <w:rFonts w:ascii="Arial" w:cs="Arial" w:eastAsia="Arial" w:hAnsi="Arial"/>
          <w:b/>
          <w:bCs/>
          <w:color w:val="2C3E50"/>
          <w:sz w:val="26"/>
          <w:szCs w:val="26"/>
        </w:rPr>
        <w:t xml:space="preserve">2.4  CR-04 — Tenant Lifecycle</w:t>
      </w:r>
    </w:p>
    <w:p>
      <w:pPr>
        <w:pStyle w:val="Heading3"/>
        <w:spacing w:after="100" w:before="200"/>
      </w:pPr>
      <w:r>
        <w:rPr>
          <w:rFonts w:ascii="Arial" w:cs="Arial" w:eastAsia="Arial" w:hAnsi="Arial"/>
          <w:b/>
          <w:bCs/>
          <w:color w:val="5D6D7E"/>
          <w:sz w:val="22"/>
          <w:szCs w:val="22"/>
        </w:rPr>
        <w:t xml:space="preserve">TC-CR04-001 — Full tenant provisioning from schema with zero manual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Lifecycle — Automated Provisioning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4 – Lifecycle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Submit a complete Tenant Onboarding Schema and verify that all platform objects — mTLS proxy listener, CA, DNS context, vault entry, ACL, forward proxy policy — are created without manual intervention.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Tenant onboarding schema completed per workbook; platform API accessible.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Submit schema → observe automated provisioning → run EW-01 step 8 acceptance suite.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All 16 acceptance test cases pass; tenant state = ACTIVE; all objects exist and are per-tenant scoped.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API state snapshot (pre/post), acceptance test manifest.json, ServiceNow request update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 – lifecycle foundation</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EW-01, CR-04.2</w:t>
            </w:r>
          </w:p>
        </w:tc>
      </w:tr>
    </w:tbl>
    <w:p>
      <w:pPr>
        <w:spacing w:after="0" w:before="180"/>
      </w:pPr>
    </w:p>
    <w:p>
      <w:pPr>
        <w:pStyle w:val="Heading3"/>
        <w:spacing w:after="100" w:before="200"/>
      </w:pPr>
      <w:r>
        <w:rPr>
          <w:rFonts w:ascii="Arial" w:cs="Arial" w:eastAsia="Arial" w:hAnsi="Arial"/>
          <w:b/>
          <w:bCs/>
          <w:color w:val="5D6D7E"/>
          <w:sz w:val="22"/>
          <w:szCs w:val="22"/>
        </w:rPr>
        <w:t xml:space="preserve">TC-CR04-002 — Tenant offboarding leaves zero residual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Lifecycle — Deterministic Offboarding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4 – Lifecycle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Offboard a test tenant (t01) per EW-03. After offboarding completes, enumerate all platform objects tagged with that tenant ID. The result must be empty.</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Tenant t01 in ACTIVE state with all capabilities provisioned.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Execute EW-03 offboarding workflow → residual state scan → connection attempt to decommissioned tenant.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All objects removed (mTLS proxy, CA, DNS, vault, outbound policy, ACL); connection attempt fails with handshake_failure; API scan returns empty for t01 tenant ID; inspection-side container decommissioned if applicable.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API state snapshot (post-offboard), pcap (handshake failure), vault audit log, inspection-device API export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 – residual state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EW-03; also verifies EW-06 Step 7</w:t>
            </w:r>
          </w:p>
        </w:tc>
      </w:tr>
    </w:tbl>
    <w:p>
      <w:pPr>
        <w:spacing w:after="0" w:before="180"/>
      </w:pPr>
    </w:p>
    <w:p>
      <w:pPr>
        <w:pStyle w:val="Heading3"/>
        <w:spacing w:after="100" w:before="200"/>
      </w:pPr>
      <w:r>
        <w:rPr>
          <w:rFonts w:ascii="Arial" w:cs="Arial" w:eastAsia="Arial" w:hAnsi="Arial"/>
          <w:b/>
          <w:bCs/>
          <w:color w:val="5D6D7E"/>
          <w:sz w:val="22"/>
          <w:szCs w:val="22"/>
        </w:rPr>
        <w:t xml:space="preserve">TC-CR04-003 — Re-provisioning offboarded tenant ID produces identical clean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Lifecycle — Re-provisioning Determinism</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4 – Lifecycle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Re-provision a previously offboarded tenant ID (t01) and confirm state is identical and clean with no residual artifacts from the prior incarnation.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TC-CR04-002 passed; t01 offboarded.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Re-submit t01 schema → accept suite → verify no old serial numbers or stale routes persist.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Fresh CA chain; new SNAT allocation; all acceptance tests pass; no old certificate serials in CA index.</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API state snapshot, CA index export, acceptance manifest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CR-04.2</w:t>
            </w:r>
          </w:p>
        </w:tc>
      </w:tr>
    </w:tbl>
    <w:p>
      <w:pPr>
        <w:spacing w:after="0" w:before="180"/>
      </w:pPr>
    </w:p>
    <w:p>
      <w:pPr>
        <w:pStyle w:val="Heading2"/>
        <w:spacing w:after="120" w:before="280"/>
      </w:pPr>
      <w:r>
        <w:rPr>
          <w:rFonts w:ascii="Arial" w:cs="Arial" w:eastAsia="Arial" w:hAnsi="Arial"/>
          <w:b/>
          <w:bCs/>
          <w:color w:val="2C3E50"/>
          <w:sz w:val="26"/>
          <w:szCs w:val="26"/>
        </w:rPr>
        <w:t xml:space="preserve">2.5  CR-05 — Multi-Tenant Isolation at Scale</w:t>
      </w:r>
    </w:p>
    <w:p>
      <w:pPr>
        <w:pStyle w:val="Heading3"/>
        <w:spacing w:after="100" w:before="200"/>
      </w:pPr>
      <w:r>
        <w:rPr>
          <w:rFonts w:ascii="Arial" w:cs="Arial" w:eastAsia="Arial" w:hAnsi="Arial"/>
          <w:b/>
          <w:bCs/>
          <w:color w:val="5D6D7E"/>
          <w:sz w:val="22"/>
          <w:szCs w:val="22"/>
        </w:rPr>
        <w:t xml:space="preserve">TC-CR05-001 — Five tenants simultaneously active with no cross-tenant interference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Multi-Tenant — Simultaneous Operation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 – Multi-Tenant Isolation</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All five tenants active concurrently. Run inbound mTLS and outbound governed access connections on all five simultaneously for 30 minutes under load.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All five tenants provisioned and accepted.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Concurrent sessions: 10 simultaneous HTTPS requests per tenant × 5 tenants; run 30 minutes.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Zero session drops attributable to platform resource contention; per-tenant p95 latency ≤ 2× single-tenant baseline.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Performance baseline manifest (metric, F5 result, CF result, delta), pcap</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CR-05.4</w:t>
            </w:r>
          </w:p>
        </w:tc>
      </w:tr>
    </w:tbl>
    <w:p>
      <w:pPr>
        <w:spacing w:after="0" w:before="180"/>
      </w:pPr>
    </w:p>
    <w:p>
      <w:pPr>
        <w:pStyle w:val="Heading3"/>
        <w:spacing w:after="100" w:before="200"/>
      </w:pPr>
      <w:r>
        <w:rPr>
          <w:rFonts w:ascii="Arial" w:cs="Arial" w:eastAsia="Arial" w:hAnsi="Arial"/>
          <w:b/>
          <w:bCs/>
          <w:color w:val="5D6D7E"/>
          <w:sz w:val="22"/>
          <w:szCs w:val="22"/>
        </w:rPr>
        <w:t xml:space="preserve">TC-CR05-002 — Cross-tenant isolation matrix: all 20 ordered pairs across 6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Multi-Tenant — Full Isolation Matrix (6 vectors × 20 pairs)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 – Multi-Tenant Isolation</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Execute the 6-vector × 20-pair cross-tenant isolation matrix (120 individual test executions). Vectors: inbound mTLS, outbound mTLS, DNS, SSH inbound, SSH outbound, governed egress.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Five tenants active; all capabilities provisioned.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Layer 2 matrix execution per §9.3.</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100% pass rate; any single failure fails CR-05 regardless of Layer 1 results. Each cell: pcap + audit log excerpt captured.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{run-id}/{vector-id}/{tenant-pair}/ artifact sets; 6 × 20 result records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 – multi-tenant composition proof</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CR-05; cross-tenant matrix</w:t>
            </w:r>
          </w:p>
        </w:tc>
      </w:tr>
    </w:tbl>
    <w:p>
      <w:pPr>
        <w:spacing w:after="0" w:before="180"/>
      </w:pPr>
    </w:p>
    <w:p>
      <w:pPr>
        <w:pStyle w:val="Heading2"/>
        <w:spacing w:after="120" w:before="280"/>
      </w:pPr>
      <w:r>
        <w:rPr>
          <w:rFonts w:ascii="Arial" w:cs="Arial" w:eastAsia="Arial" w:hAnsi="Arial"/>
          <w:b/>
          <w:bCs/>
          <w:color w:val="2C3E50"/>
          <w:sz w:val="26"/>
          <w:szCs w:val="26"/>
        </w:rPr>
        <w:t xml:space="preserve">2.6  CR-06 — Outbound Governed Access</w:t>
      </w:r>
    </w:p>
    <w:p>
      <w:pPr>
        <w:pStyle w:val="Heading3"/>
        <w:spacing w:after="100" w:before="200"/>
      </w:pPr>
      <w:r>
        <w:rPr>
          <w:rFonts w:ascii="Arial" w:cs="Arial" w:eastAsia="Arial" w:hAnsi="Arial"/>
          <w:b/>
          <w:bCs/>
          <w:color w:val="5D6D7E"/>
          <w:sz w:val="22"/>
          <w:szCs w:val="22"/>
        </w:rPr>
        <w:t xml:space="preserve">TC-CR06-001 — CVS-initiated HTTPS to declared destination succeeds; undeclared is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Outbound — Allow-List Enforcement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 Single-Tenant Capability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Positive path: CVS-side client connects through tenant outbound governed path to a declared simulator. Negative path: connection to an undeclared simulator must be blocked with an audit log entry.</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Outbound governed access policy provisioned for t01; two simulators (declared/undeclared) running.</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Declared: poc-client egress --target declared → Undeclared: poc-client egress --target undeclared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Declared: 200 OK; full TLS inspection active. Undeclared: blocked with audit event egress_blocked_undeclared. No passthrough.</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pcap (TLS termination at platform evident), audit log both outcomes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EW-01 §8 tests (11)(12)</w:t>
            </w:r>
          </w:p>
        </w:tc>
      </w:tr>
    </w:tbl>
    <w:p>
      <w:pPr>
        <w:spacing w:after="0" w:before="180"/>
      </w:pPr>
    </w:p>
    <w:p>
      <w:pPr>
        <w:pStyle w:val="Heading3"/>
        <w:spacing w:after="100" w:before="200"/>
      </w:pPr>
      <w:r>
        <w:rPr>
          <w:rFonts w:ascii="Arial" w:cs="Arial" w:eastAsia="Arial" w:hAnsi="Arial"/>
          <w:b/>
          <w:bCs/>
          <w:color w:val="5D6D7E"/>
          <w:sz w:val="22"/>
          <w:szCs w:val="22"/>
        </w:rPr>
        <w:t xml:space="preserve">TC-CR06-002 — Outbound DNS resolution traverses the tenant CoreDNS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Outbound — DNS via Per-Tenant CoreDNS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 Single-Tenant Capability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Confirm that name-initiated outbound connections use the same per-tenant CoreDNS construct as inbound, not a shared resolver.</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Per-tenant CoreDNS forwarding configured for outbound.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Capture DNS queries from CVS-side egress client; confirm source and resolver are tenant-scoped.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DNS query forwarded through tenant resolver context; domain suffix routing correct per tenant; EW-01 §8 test (13) passes.</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DNS query log, pcap (DNS source IP = tenant resolver VIP)</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Medium</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CR-06.2, EW-01 §8 test (13)</w:t>
            </w:r>
          </w:p>
        </w:tc>
      </w:tr>
    </w:tbl>
    <w:p>
      <w:pPr>
        <w:spacing w:after="0" w:before="180"/>
      </w:pPr>
    </w:p>
    <w:p>
      <w:pPr>
        <w:pStyle w:val="Heading3"/>
        <w:spacing w:after="100" w:before="200"/>
      </w:pPr>
      <w:r>
        <w:rPr>
          <w:rFonts w:ascii="Arial" w:cs="Arial" w:eastAsia="Arial" w:hAnsi="Arial"/>
          <w:b/>
          <w:bCs/>
          <w:color w:val="5D6D7E"/>
          <w:sz w:val="22"/>
          <w:szCs w:val="22"/>
        </w:rPr>
        <w:t xml:space="preserve">TC-CR06-003 — Passthrough configuration is rejected or flagged as policy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Outbound — TLS Inspection Mandatory</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3 – Adversarial</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Attempt to configure or induce TLS passthrough on the outbound path. Platform must reject the configuration or flag it as a policy violation.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Outbound policy active for t01.</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Attempt to modify TLS policy to passthrough via API; alternatively, send a non-inspectable flow and observe platform behavior.</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API rejects passthrough configuration, or platform flags the session as policy violation in audit log. Full L7 inspection remains mandatory.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API response, audit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 – inspection integrity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CR-06.3</w:t>
            </w:r>
          </w:p>
        </w:tc>
      </w:tr>
    </w:tbl>
    <w:p>
      <w:pPr>
        <w:spacing w:after="0" w:before="180"/>
      </w:pPr>
    </w:p>
    <w:p>
      <w:pPr>
        <w:pStyle w:val="Heading2"/>
        <w:spacing w:after="120" w:before="280"/>
      </w:pPr>
      <w:r>
        <w:rPr>
          <w:rFonts w:ascii="Arial" w:cs="Arial" w:eastAsia="Arial" w:hAnsi="Arial"/>
          <w:b/>
          <w:bCs/>
          <w:color w:val="2C3E50"/>
          <w:sz w:val="26"/>
          <w:szCs w:val="26"/>
        </w:rPr>
        <w:t xml:space="preserve">2.7  CR-07 — Third-Party Inline Inspection Plane</w:t>
      </w:r>
    </w:p>
    <w:p>
      <w:pPr>
        <w:pStyle w:val="Heading3"/>
        <w:spacing w:after="100" w:before="200"/>
      </w:pPr>
      <w:r>
        <w:rPr>
          <w:rFonts w:ascii="Arial" w:cs="Arial" w:eastAsia="Arial" w:hAnsi="Arial"/>
          <w:b/>
          <w:bCs/>
          <w:color w:val="5D6D7E"/>
          <w:sz w:val="22"/>
          <w:szCs w:val="22"/>
        </w:rPr>
        <w:t xml:space="preserve">TC-CR07-001 — Inbound mTLS session decrypted and steered to per-tenant inspection vsys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Traffic Steering (Inbound)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Plane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An inbound mTLS request to Tenant t01 is decrypted at the vendor edge, steered to the t01 vsys on the Palo Alto inspection appliance, and returned for re-encryption. Appliance receives plaintext tagged with t01 correlation ID.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CR-07 enabled for t01; inspection appliance t01 vsys provisioned with DLP + Threat Prevention profiles; steering primitive configured.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test I-01.</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Appliance receives plaintext payload; inspection event in t01 vsys log; correlation IDs match across vendor-edge audit and appliance audit; request and response transit same inspection context (flow symmetry).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pcap at inspection appliance ingress/egress, t01 vsys logs, vendor-edge audit with correlation ID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I-01, EW-06 §3</w:t>
            </w:r>
          </w:p>
        </w:tc>
      </w:tr>
    </w:tbl>
    <w:p>
      <w:pPr>
        <w:spacing w:after="0" w:before="180"/>
      </w:pPr>
    </w:p>
    <w:p>
      <w:pPr>
        <w:pStyle w:val="Heading3"/>
        <w:spacing w:after="100" w:before="200"/>
      </w:pPr>
      <w:r>
        <w:rPr>
          <w:rFonts w:ascii="Arial" w:cs="Arial" w:eastAsia="Arial" w:hAnsi="Arial"/>
          <w:b/>
          <w:bCs/>
          <w:color w:val="5D6D7E"/>
          <w:sz w:val="22"/>
          <w:szCs w:val="22"/>
        </w:rPr>
        <w:t xml:space="preserve">TC-CR07-002 — Outbound governed egress decrypted and steered to per-tenant inspection vsys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Traffic Steering (Outbound)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Plane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Outbound governed egress from Tenant t01 to a declared simulator is decrypted at the vendor edge and steered to the t01 vsys for inspection.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Same as TC-CR07-001.</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test I-02.</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Appliance records inspection event with correct directionality (egress) and t01 identifier; correlation IDs match.</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Appliance vsys log (egress verdict), vendor-edge audit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I-02</w:t>
            </w:r>
          </w:p>
        </w:tc>
      </w:tr>
    </w:tbl>
    <w:p>
      <w:pPr>
        <w:spacing w:after="0" w:before="180"/>
      </w:pPr>
    </w:p>
    <w:p>
      <w:pPr>
        <w:pStyle w:val="Heading3"/>
        <w:spacing w:after="100" w:before="200"/>
      </w:pPr>
      <w:r>
        <w:rPr>
          <w:rFonts w:ascii="Arial" w:cs="Arial" w:eastAsia="Arial" w:hAnsi="Arial"/>
          <w:b/>
          <w:bCs/>
          <w:color w:val="5D6D7E"/>
          <w:sz w:val="22"/>
          <w:szCs w:val="22"/>
        </w:rPr>
        <w:t xml:space="preserve">TC-CR07-003 — Tenant A traffic does not appear in Tenant B vsys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Per-Tenant Container Scope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Plane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Confirm strict per-tenant scoping on the inspection device. Cross-tenant inspection-record leakage is a CR-01 + CR-07 dual failure.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Tenants t01 and t02 both with inspection enabled; independent vsys per tenant.</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test I-03. Run traffic on t01; confirm t02 vsys logs show zero events for t01 flows.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Zero t01 events in t02 vsys; zero t02 events in t01 vsys. Operator role scoped to t01 container cannot read t02 policies or logs.</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Both vsys logs, adverse admin access test result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 – inspection isolation</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I-03, CR-07.2</w:t>
            </w:r>
          </w:p>
        </w:tc>
      </w:tr>
    </w:tbl>
    <w:p>
      <w:pPr>
        <w:spacing w:after="0" w:before="180"/>
      </w:pPr>
    </w:p>
    <w:p>
      <w:pPr>
        <w:pStyle w:val="Heading3"/>
        <w:spacing w:after="100" w:before="200"/>
      </w:pPr>
      <w:r>
        <w:rPr>
          <w:rFonts w:ascii="Arial" w:cs="Arial" w:eastAsia="Arial" w:hAnsi="Arial"/>
          <w:b/>
          <w:bCs/>
          <w:color w:val="5D6D7E"/>
          <w:sz w:val="22"/>
          <w:szCs w:val="22"/>
        </w:rPr>
        <w:t xml:space="preserve">TC-CR07-004 — Excluded destination passes through without decryption or inspection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Decrypt-Exclusion List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Plane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Outbound destination on the Tenant t01 decrypt-exclusion list (category: health-record-equivalent) must transit as TLS pass-through. Inspection appliance must record zero decrypted-payload events.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Decrypt-exclusion list loaded for t01; excluded simulator running.</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test I-04: egress to excluded destination.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Vendor-edge audit: exclusion-match action recorded. Appliance vsys: zero decrypted-payload events; ≥1 pass-through event. pcap: TLS handshake completion only from harness side.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pcap (pre/post decrypt paths), vendor-edge audit, appliance vsys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 – compliance carve-outs</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I-04, CR-07.4</w:t>
            </w:r>
          </w:p>
        </w:tc>
      </w:tr>
    </w:tbl>
    <w:p>
      <w:pPr>
        <w:spacing w:after="0" w:before="180"/>
      </w:pPr>
    </w:p>
    <w:p>
      <w:pPr>
        <w:pStyle w:val="Heading3"/>
        <w:spacing w:after="100" w:before="200"/>
      </w:pPr>
      <w:r>
        <w:rPr>
          <w:rFonts w:ascii="Arial" w:cs="Arial" w:eastAsia="Arial" w:hAnsi="Arial"/>
          <w:b/>
          <w:bCs/>
          <w:color w:val="5D6D7E"/>
          <w:sz w:val="22"/>
          <w:szCs w:val="22"/>
        </w:rPr>
        <w:t xml:space="preserve">TC-CR07-005 — Inspection-plane outage triggers fail-closed behavior when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Failure Semantics (Fail-Closed)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Plane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Administratively shut down the inspection appliance. Tenant t01 declared fail-closed. New sessions must be denied. A concurrent tenant (t02) on the same path must be unaffected.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Tenant t01 fail-closed; t02 active.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test I-06: take inspection appliance offline; send new t01 session; send t02 session.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T01: session denied; audit event with fail_closed reason code. T02: session proceeds normally.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pcap (denied connection), audit log (fail_closed event), t02 audit log (session continues)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 – failure semantics</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I-06, CR-07.5</w:t>
            </w:r>
          </w:p>
        </w:tc>
      </w:tr>
    </w:tbl>
    <w:p>
      <w:pPr>
        <w:spacing w:after="0" w:before="180"/>
      </w:pPr>
    </w:p>
    <w:p>
      <w:pPr>
        <w:pStyle w:val="Heading3"/>
        <w:spacing w:after="100" w:before="200"/>
      </w:pPr>
      <w:r>
        <w:rPr>
          <w:rFonts w:ascii="Arial" w:cs="Arial" w:eastAsia="Arial" w:hAnsi="Arial"/>
          <w:b/>
          <w:bCs/>
          <w:color w:val="5D6D7E"/>
          <w:sz w:val="22"/>
          <w:szCs w:val="22"/>
        </w:rPr>
        <w:t xml:space="preserve">TC-CR07-006 — SSH session transcripts visible to inspection appliance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SSH Session Inspection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Plane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Inbound partner SSH session through the platform. Shell commands and SFTP file transfer visible to inspection appliance under t01 vsys. Port-forward attempt denied per protocol constraint.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inspection enabled for t01; inspection appliance SSH session inspection profiles active.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test I-08: ssh commands + sftp transfer + port-forward attempt.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Shell transcripts and file metadata in appliance logs under t01 vsys with correlation ID. Port-forward denied and recorded.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Appliance t01 vsys session log, SSH transcript, pcap</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I-08, CR-07.6</w:t>
            </w:r>
          </w:p>
        </w:tc>
      </w:tr>
    </w:tbl>
    <w:p>
      <w:pPr>
        <w:spacing w:after="0" w:before="180"/>
      </w:pPr>
    </w:p>
    <w:p>
      <w:pPr>
        <w:pStyle w:val="Heading3"/>
        <w:spacing w:after="100" w:before="200"/>
      </w:pPr>
      <w:r>
        <w:rPr>
          <w:rFonts w:ascii="Arial" w:cs="Arial" w:eastAsia="Arial" w:hAnsi="Arial"/>
          <w:b/>
          <w:bCs/>
          <w:color w:val="5D6D7E"/>
          <w:sz w:val="22"/>
          <w:szCs w:val="22"/>
        </w:rPr>
        <w:t xml:space="preserve">TC-CR07-007 — Vendor-edge and appliance audit records join at ≥99% on correlation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Telemetry Correlation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Plane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For 100 randomly selected sessions from I-01 through I-08, join vendor-edge audit records to appliance audit records on session correlation ID. Mismatch rate must be &lt;1%.</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I-01 through I-08 completed.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test I-09: automated join on correlation_id field.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Match rate ≥99%; mismatches itemized and counted as CR-07.7 failures.</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Correlation join report (JSON), SIEM query output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I-09, CR-07.7</w:t>
            </w:r>
          </w:p>
        </w:tc>
      </w:tr>
    </w:tbl>
    <w:p>
      <w:pPr>
        <w:spacing w:after="0" w:before="180"/>
      </w:pPr>
    </w:p>
    <w:p>
      <w:pPr>
        <w:pStyle w:val="Heading3"/>
        <w:spacing w:after="100" w:before="200"/>
      </w:pPr>
      <w:r>
        <w:rPr>
          <w:rFonts w:ascii="Arial" w:cs="Arial" w:eastAsia="Arial" w:hAnsi="Arial"/>
          <w:b/>
          <w:bCs/>
          <w:color w:val="5D6D7E"/>
          <w:sz w:val="22"/>
          <w:szCs w:val="22"/>
        </w:rPr>
        <w:t xml:space="preserve">TC-CR07-008 — TLS private keys are absent from the inspection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Key Custody</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Plane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Configuration export from the inspection device confirms the absence of mediation-tier private key material. Negative test: appliance cannot independently terminate the same TLS session with the mediation tier removed.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appliance deployed; CR-07 steering active.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Export appliance configuration; search for private key material. Remove platform from path; attempt TLS termination on appliance alone.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 private key material in appliance config. Standalone termination fails.</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Appliance config export (text search), pcap of failed standalone termination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 – key custody</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CR-07.3, Harness §P.4</w:t>
            </w:r>
          </w:p>
        </w:tc>
      </w:tr>
    </w:tbl>
    <w:p>
      <w:pPr>
        <w:spacing w:after="0" w:before="180"/>
      </w:pPr>
    </w:p>
    <w:p>
      <w:pPr>
        <w:pStyle w:val="Heading3"/>
        <w:spacing w:after="100" w:before="200"/>
      </w:pPr>
      <w:r>
        <w:rPr>
          <w:rFonts w:ascii="Arial" w:cs="Arial" w:eastAsia="Arial" w:hAnsi="Arial"/>
          <w:b/>
          <w:bCs/>
          <w:color w:val="5D6D7E"/>
          <w:sz w:val="22"/>
          <w:szCs w:val="22"/>
        </w:rPr>
        <w:t xml:space="preserve">TC-CR07-009 — Inspection container decommissioned with zero residual state on tenant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Lifecycle Offboarding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Layer</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Plane</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Offboard Tenant t03 per EW-03 + EW-06 Step 7. Confirm inspection appliance t03 container is deleted, all policies removed, log forwarding stopped, and log retention rolls off per configured window.</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Tenant t03 active with inspection enabled.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test I-11: EW-03 + EW-06 Step 7 execution.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Zero residual objects referencing t03 on inspection device; log forwarding stopped; retention window confirmed; joint CR-07 + CR-05 residual state criterion satisfied.</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device API export (post-offboard), EW-03 residual scan, log forwarding config export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EW / Harness Ref</w:t>
            </w:r>
          </w:p>
        </w:tc>
        <w:tc>
          <w:tcPr>
            <w:tcW w:type="dxa" w:w="75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I-11, EW-06 §7</w:t>
            </w:r>
          </w:p>
        </w:tc>
      </w:tr>
    </w:tbl>
    <w:p>
      <w:pPr>
        <w:spacing w:after="0" w:before="180"/>
      </w:pPr>
    </w:p>
    <w:p>
      <w:pPr>
        <w:pStyle w:val="Heading1"/>
        <w:pBdr>
          <w:bottom w:val="single" w:color="004C97" w:sz="6" w:space="4"/>
        </w:pBdr>
        <w:spacing w:after="180" w:before="360"/>
      </w:pPr>
      <w:r>
        <w:rPr>
          <w:rFonts w:ascii="Arial" w:cs="Arial" w:eastAsia="Arial" w:hAnsi="Arial"/>
          <w:b/>
          <w:bCs/>
          <w:color w:val="004C97"/>
          <w:sz w:val="32"/>
          <w:szCs w:val="32"/>
        </w:rPr>
        <w:t xml:space="preserve">3. Resourcing Requirements</w:t>
      </w:r>
    </w:p>
    <w:p>
      <w:pPr>
        <w:pStyle w:val="Heading2"/>
        <w:spacing w:after="120" w:before="280"/>
      </w:pPr>
      <w:r>
        <w:rPr>
          <w:rFonts w:ascii="Arial" w:cs="Arial" w:eastAsia="Arial" w:hAnsi="Arial"/>
          <w:b/>
          <w:bCs/>
          <w:color w:val="2C3E50"/>
          <w:sz w:val="26"/>
          <w:szCs w:val="26"/>
        </w:rPr>
        <w:t xml:space="preserve">3.1  Role Definitions and Staffing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c>
          <w:tcPr>
            <w:tcW w:type="dxa" w:w="20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28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Responsibilities</w:t>
            </w:r>
          </w:p>
        </w:tc>
        <w:tc>
          <w:tcPr>
            <w:tcW w:type="dxa" w:w="18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FTE / Hours</w:t>
            </w:r>
          </w:p>
        </w:tc>
        <w:tc>
          <w:tcPr>
            <w:tcW w:type="dxa" w:w="276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Staffing Source</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CVS NSE Lead</w:t>
            </w:r>
          </w:p>
          <w:p>
            <w:pPr>
              <w:spacing w:after="0" w:before="60"/>
              <w:jc w:val="left"/>
            </w:pPr>
            <w:r>
              <w:rPr>
                <w:rFonts w:ascii="Arial" w:cs="Arial" w:eastAsia="Arial" w:hAnsi="Arial"/>
                <w:b w:val="false"/>
                <w:bCs w:val="false"/>
                <w:sz w:val="18"/>
                <w:szCs w:val="18"/>
              </w:rPr>
              <w:t xml:space="preserve">(Program Owner)</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Architecture decisions; vendor SE engagement; POC acceptance sign-off; harness pre-flight approval; scoring sign-off. Final platform selection recommendation.</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~0.4 FTE</w:t>
            </w:r>
          </w:p>
          <w:p>
            <w:pPr>
              <w:spacing w:after="0" w:before="60"/>
              <w:jc w:val="left"/>
            </w:pPr>
            <w:r>
              <w:rPr>
                <w:rFonts w:ascii="Arial" w:cs="Arial" w:eastAsia="Arial" w:hAnsi="Arial"/>
                <w:b w:val="false"/>
                <w:bCs w:val="false"/>
                <w:sz w:val="18"/>
                <w:szCs w:val="18"/>
              </w:rPr>
              <w:t xml:space="preserve">(~60 hrs total)</w:t>
            </w:r>
          </w:p>
        </w:tc>
        <w:tc>
          <w:tcPr>
            <w:tcW w:type="dxa" w:w="2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M. J. Martin</w:t>
            </w:r>
          </w:p>
          <w:p>
            <w:pPr>
              <w:spacing w:after="0" w:before="60"/>
              <w:jc w:val="left"/>
            </w:pPr>
            <w:r>
              <w:rPr>
                <w:rFonts w:ascii="Arial" w:cs="Arial" w:eastAsia="Arial" w:hAnsi="Arial"/>
                <w:b w:val="false"/>
                <w:bCs w:val="false"/>
                <w:sz w:val="18"/>
                <w:szCs w:val="18"/>
              </w:rPr>
              <w:t xml:space="preserve">Lead Director, NSE</w:t>
            </w:r>
          </w:p>
        </w:tc>
      </w:tr>
      <w:tr>
        <w:tc>
          <w:tcPr>
            <w:tcW w:type="dxa" w:w="20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CVS Engineer #1</w:t>
            </w:r>
          </w:p>
          <w:p>
            <w:pPr>
              <w:spacing w:after="0" w:before="60"/>
              <w:jc w:val="left"/>
            </w:pPr>
            <w:r>
              <w:rPr>
                <w:rFonts w:ascii="Arial" w:cs="Arial" w:eastAsia="Arial" w:hAnsi="Arial"/>
                <w:b w:val="false"/>
                <w:bCs w:val="false"/>
                <w:sz w:val="18"/>
                <w:szCs w:val="18"/>
              </w:rPr>
              <w:t xml:space="preserve">(Harness Owner)</w:t>
            </w:r>
          </w:p>
        </w:tc>
        <w:tc>
          <w:tcPr>
            <w:tcW w:type="dxa" w:w="2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Harness provisioning and self-acceptance; test suite execution; evidence bundle management; harness orchestrator operation; vendor onboarding coordination.</w:t>
            </w:r>
          </w:p>
        </w:tc>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~1.0 FTE</w:t>
            </w:r>
          </w:p>
          <w:p>
            <w:pPr>
              <w:spacing w:after="0" w:before="60"/>
              <w:jc w:val="left"/>
            </w:pPr>
            <w:r>
              <w:rPr>
                <w:rFonts w:ascii="Arial" w:cs="Arial" w:eastAsia="Arial" w:hAnsi="Arial"/>
                <w:b w:val="false"/>
                <w:bCs w:val="false"/>
                <w:sz w:val="18"/>
                <w:szCs w:val="18"/>
              </w:rPr>
              <w:t xml:space="preserve">(~150 hrs total)</w:t>
            </w:r>
          </w:p>
        </w:tc>
        <w:tc>
          <w:tcPr>
            <w:tcW w:type="dxa" w:w="27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CVS Network Security Engineering — TBD</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CVS Engineer #2</w:t>
            </w:r>
          </w:p>
          <w:p>
            <w:pPr>
              <w:spacing w:after="0" w:before="60"/>
              <w:jc w:val="left"/>
            </w:pPr>
            <w:r>
              <w:rPr>
                <w:rFonts w:ascii="Arial" w:cs="Arial" w:eastAsia="Arial" w:hAnsi="Arial"/>
                <w:b w:val="false"/>
                <w:bCs w:val="false"/>
                <w:sz w:val="18"/>
                <w:szCs w:val="18"/>
              </w:rPr>
              <w:t xml:space="preserve">(Test Execution)</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Partner-side environment operation; PKI/vault management; backend app stack health; Layer 1–4 test observation and defect logging; re-run support coordination.</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~0.6 FTE</w:t>
            </w:r>
          </w:p>
          <w:p>
            <w:pPr>
              <w:spacing w:after="0" w:before="60"/>
              <w:jc w:val="left"/>
            </w:pPr>
            <w:r>
              <w:rPr>
                <w:rFonts w:ascii="Arial" w:cs="Arial" w:eastAsia="Arial" w:hAnsi="Arial"/>
                <w:b w:val="false"/>
                <w:bCs w:val="false"/>
                <w:sz w:val="18"/>
                <w:szCs w:val="18"/>
              </w:rPr>
              <w:t xml:space="preserve">(~90 hrs total)</w:t>
            </w:r>
          </w:p>
        </w:tc>
        <w:tc>
          <w:tcPr>
            <w:tcW w:type="dxa" w:w="2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CVS NSE or CVS Security Architecture — TBD</w:t>
            </w:r>
          </w:p>
        </w:tc>
      </w:tr>
      <w:tr>
        <w:tc>
          <w:tcPr>
            <w:tcW w:type="dxa" w:w="20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Systems Integrator Lead</w:t>
            </w:r>
          </w:p>
        </w:tc>
        <w:tc>
          <w:tcPr>
            <w:tcW w:type="dxa" w:w="2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Vendor edge deployments (F5 CE cluster; Cloudflare connector/MWI); per-tenant provisioning; EW-01 through EW-06 workflow documentation; inspection appliance integration; API spec delivery by M5.</w:t>
            </w:r>
          </w:p>
        </w:tc>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~2.0 FTE</w:t>
            </w:r>
          </w:p>
          <w:p>
            <w:pPr>
              <w:spacing w:after="0" w:before="60"/>
              <w:jc w:val="left"/>
            </w:pPr>
            <w:r>
              <w:rPr>
                <w:rFonts w:ascii="Arial" w:cs="Arial" w:eastAsia="Arial" w:hAnsi="Arial"/>
                <w:b w:val="false"/>
                <w:bCs w:val="false"/>
                <w:sz w:val="18"/>
                <w:szCs w:val="18"/>
              </w:rPr>
              <w:t xml:space="preserve">(~300 hrs total)</w:t>
            </w:r>
          </w:p>
        </w:tc>
        <w:tc>
          <w:tcPr>
            <w:tcW w:type="dxa" w:w="27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Designated SI — to be contracted</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SI Engineer #2</w:t>
            </w:r>
          </w:p>
          <w:p>
            <w:pPr>
              <w:spacing w:after="0" w:before="60"/>
              <w:jc w:val="left"/>
            </w:pPr>
            <w:r>
              <w:rPr>
                <w:rFonts w:ascii="Arial" w:cs="Arial" w:eastAsia="Arial" w:hAnsi="Arial"/>
                <w:b w:val="false"/>
                <w:bCs w:val="false"/>
                <w:sz w:val="18"/>
                <w:szCs w:val="18"/>
              </w:rPr>
              <w:t xml:space="preserve">(Platform Config)</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Per-tenant namespace/account provisioning; SSL profile configuration; DNS listener setup; vault AppRole provisioning; CR-07 steering primitive configuration; re-run support within 5-day SLA.</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~1.5 FTE</w:t>
            </w:r>
          </w:p>
          <w:p>
            <w:pPr>
              <w:spacing w:after="0" w:before="60"/>
              <w:jc w:val="left"/>
            </w:pPr>
            <w:r>
              <w:rPr>
                <w:rFonts w:ascii="Arial" w:cs="Arial" w:eastAsia="Arial" w:hAnsi="Arial"/>
                <w:b w:val="false"/>
                <w:bCs w:val="false"/>
                <w:sz w:val="18"/>
                <w:szCs w:val="18"/>
              </w:rPr>
              <w:t xml:space="preserve">(~225 hrs total)</w:t>
            </w:r>
          </w:p>
        </w:tc>
        <w:tc>
          <w:tcPr>
            <w:tcW w:type="dxa" w:w="2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SI team</w:t>
            </w:r>
          </w:p>
        </w:tc>
      </w:tr>
      <w:tr>
        <w:tc>
          <w:tcPr>
            <w:tcW w:type="dxa" w:w="20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F5 Vendor SE</w:t>
            </w:r>
          </w:p>
          <w:p>
            <w:pPr>
              <w:spacing w:after="0" w:before="60"/>
              <w:jc w:val="left"/>
            </w:pPr>
            <w:r>
              <w:rPr>
                <w:rFonts w:ascii="Arial" w:cs="Arial" w:eastAsia="Arial" w:hAnsi="Arial"/>
                <w:b w:val="false"/>
                <w:bCs w:val="false"/>
                <w:sz w:val="18"/>
                <w:szCs w:val="18"/>
              </w:rPr>
              <w:t xml:space="preserve">(Primary + Backup)</w:t>
            </w:r>
          </w:p>
        </w:tc>
        <w:tc>
          <w:tcPr>
            <w:tcW w:type="dxa" w:w="2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CE cluster deployment; F5 XC namespace strategy; GLR audit log export; NSS keylog export confirmation; service-policy chain + PBR-into-VRF for CR-07. Re-run engineering within 5-day SLA.</w:t>
            </w:r>
          </w:p>
        </w:tc>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Named primary + backup SEs committed for POC window</w:t>
            </w:r>
          </w:p>
        </w:tc>
        <w:tc>
          <w:tcPr>
            <w:tcW w:type="dxa" w:w="27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F5 Distributed Cloud SE team</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Cloudflare Vendor SE</w:t>
            </w:r>
          </w:p>
          <w:p>
            <w:pPr>
              <w:spacing w:after="0" w:before="60"/>
              <w:jc w:val="left"/>
            </w:pPr>
            <w:r>
              <w:rPr>
                <w:rFonts w:ascii="Arial" w:cs="Arial" w:eastAsia="Arial" w:hAnsi="Arial"/>
                <w:b w:val="false"/>
                <w:bCs w:val="false"/>
                <w:sz w:val="18"/>
                <w:szCs w:val="18"/>
              </w:rPr>
              <w:t xml:space="preserve">(Primary + Backup)</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Magic WAN / cloudflared deployment; per-tenant CA isolation approach confirmation (one of approaches a–d) committed in writing at kickoff; CR-07 realization commitment at kickoff workshop (May 25). Re-run SLA: 5 business days.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Named primary + backup SEs committed for POC window</w:t>
            </w:r>
          </w:p>
        </w:tc>
        <w:tc>
          <w:tcPr>
            <w:tcW w:type="dxa" w:w="2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Cloudflare SE team</w:t>
            </w:r>
          </w:p>
        </w:tc>
      </w:tr>
      <w:tr>
        <w:tc>
          <w:tcPr>
            <w:tcW w:type="dxa" w:w="20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Inspection Appliance Admin</w:t>
            </w:r>
          </w:p>
        </w:tc>
        <w:tc>
          <w:tcPr>
            <w:tcW w:type="dxa" w:w="2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Palo Alto VM-Series provisioning (3 vsys for t01/t02/t03); DLP and Threat Prevention profile loading per CVS policy intent; log forwarding to SIEM; CR-07 test support.</w:t>
            </w:r>
          </w:p>
        </w:tc>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~0.25 FTE</w:t>
            </w:r>
          </w:p>
          <w:p>
            <w:pPr>
              <w:spacing w:after="0" w:before="60"/>
              <w:jc w:val="left"/>
            </w:pPr>
            <w:r>
              <w:rPr>
                <w:rFonts w:ascii="Arial" w:cs="Arial" w:eastAsia="Arial" w:hAnsi="Arial"/>
                <w:b w:val="false"/>
                <w:bCs w:val="false"/>
                <w:sz w:val="18"/>
                <w:szCs w:val="18"/>
              </w:rPr>
              <w:t xml:space="preserve">(~40 hrs total)</w:t>
            </w:r>
          </w:p>
        </w:tc>
        <w:tc>
          <w:tcPr>
            <w:tcW w:type="dxa" w:w="27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SI or CVS Security Ops</w:t>
            </w:r>
          </w:p>
        </w:tc>
      </w:tr>
    </w:tbl>
    <w:p>
      <w:pPr>
        <w:spacing w:after="0" w:before="200"/>
      </w:pPr>
    </w:p>
    <w:p>
      <w:pPr>
        <w:pStyle w:val="Heading2"/>
        <w:spacing w:after="120" w:before="280"/>
      </w:pPr>
      <w:r>
        <w:rPr>
          <w:rFonts w:ascii="Arial" w:cs="Arial" w:eastAsia="Arial" w:hAnsi="Arial"/>
          <w:b/>
          <w:bCs/>
          <w:color w:val="2C3E50"/>
          <w:sz w:val="26"/>
          <w:szCs w:val="26"/>
        </w:rPr>
        <w:t xml:space="preserve">3.2  Infrastructure Requirements</w:t>
      </w:r>
    </w:p>
    <w:p>
      <w:pPr>
        <w:pStyle w:val="Heading3"/>
        <w:spacing w:after="100" w:before="200"/>
      </w:pPr>
      <w:r>
        <w:rPr>
          <w:rFonts w:ascii="Arial" w:cs="Arial" w:eastAsia="Arial" w:hAnsi="Arial"/>
          <w:b/>
          <w:bCs/>
          <w:color w:val="5D6D7E"/>
          <w:sz w:val="22"/>
          <w:szCs w:val="22"/>
        </w:rPr>
        <w:t xml:space="preserve">Cloud Environment (AWS Primary / GCP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336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c>
          <w:tcPr>
            <w:tcW w:type="dxa" w:w="28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Monthly Cost (USD)</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Backend application VMs (7×)</w:t>
            </w:r>
          </w:p>
        </w:tc>
        <w:tc>
          <w:tcPr>
            <w:tcW w:type="dxa" w:w="3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7 × t3.small or equivalent (FastAPI, nginx, OpenSSH, CoreDNS, SPA)</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~$70</w:t>
            </w:r>
          </w:p>
        </w:tc>
      </w:tr>
      <w:tr>
        <w:tc>
          <w:tcPr>
            <w:tcW w:type="dxa" w:w="3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IPSec peer VMs (5 platforms)</w:t>
            </w:r>
          </w:p>
        </w:tc>
        <w:tc>
          <w:tcPr>
            <w:tcW w:type="dxa" w:w="33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Cisco CSR 1000v / CloudEOS / PAN VM-Series / strongSwan / FortiGate (Marketplace licensing dominates)</w:t>
            </w:r>
          </w:p>
        </w:tc>
        <w:tc>
          <w:tcPr>
            <w:tcW w:type="dxa" w:w="2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~$400</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Test client + evidence VMs (6×)</w:t>
            </w:r>
          </w:p>
        </w:tc>
        <w:tc>
          <w:tcPr>
            <w:tcW w:type="dxa" w:w="3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6 × t3.medium: harness orchestrator, partner clients, CVS-side egress clients, evidence pipeline</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~$60</w:t>
            </w:r>
          </w:p>
        </w:tc>
      </w:tr>
      <w:tr>
        <w:tc>
          <w:tcPr>
            <w:tcW w:type="dxa" w:w="3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Palo Alto VM-Series NGFW (CR-07)</w:t>
            </w:r>
          </w:p>
        </w:tc>
        <w:tc>
          <w:tcPr>
            <w:tcW w:type="dxa" w:w="33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VM-Series instance, 3 vsys (t01/t02/t03); PAYG or BYOL; Marketplace AMI</w:t>
            </w:r>
          </w:p>
        </w:tc>
        <w:tc>
          <w:tcPr>
            <w:tcW w:type="dxa" w:w="2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~$200–400 (PAYG) or BYOL license</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Transit fabric, NAT, data transfer</w:t>
            </w:r>
          </w:p>
        </w:tc>
        <w:tc>
          <w:tcPr>
            <w:tcW w:type="dxa" w:w="3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AWS TGW + NAT gateways × 4 zones + test data transfer</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~$150</w:t>
            </w:r>
          </w:p>
        </w:tc>
      </w:tr>
      <w:tr>
        <w:tc>
          <w:tcPr>
            <w:tcW w:type="dxa" w:w="3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Object storage (evidence, audit logs)</w:t>
            </w:r>
          </w:p>
        </w:tc>
        <w:tc>
          <w:tcPr>
            <w:tcW w:type="dxa" w:w="33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S3 with COMPLIANCE Object Lock; Standard 90d → Standard-IA 91–730d → Glacier DA</w:t>
            </w:r>
          </w:p>
        </w:tc>
        <w:tc>
          <w:tcPr>
            <w:tcW w:type="dxa" w:w="2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~$20</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Harness total (excl. inspection NGFW)</w:t>
            </w:r>
          </w:p>
        </w:tc>
        <w:tc>
          <w:tcPr>
            <w:tcW w:type="dxa" w:w="3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~$700–1,500/month</w:t>
            </w:r>
          </w:p>
        </w:tc>
      </w:tr>
      <w:tr>
        <w:tc>
          <w:tcPr>
            <w:tcW w:type="dxa" w:w="3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Harness total (incl. PAYG inspection)</w:t>
            </w:r>
          </w:p>
        </w:tc>
        <w:tc>
          <w:tcPr>
            <w:tcW w:type="dxa" w:w="33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w:t>
            </w:r>
          </w:p>
        </w:tc>
        <w:tc>
          <w:tcPr>
            <w:tcW w:type="dxa" w:w="2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~$900–2,000/month</w:t>
            </w:r>
          </w:p>
        </w:tc>
      </w:tr>
    </w:tbl>
    <w:p>
      <w:pPr>
        <w:spacing w:after="0" w:before="160"/>
      </w:pPr>
    </w:p>
    <w:p>
      <w:pPr>
        <w:pBdr>
          <w:left w:val="single" w:color="D4800A" w:sz="16" w:space="8"/>
        </w:pBdr>
        <w:spacing w:after="120" w:before="120"/>
        <w:ind w:left="360"/>
      </w:pPr>
      <w:r>
        <w:rPr>
          <w:rFonts w:ascii="Arial" w:cs="Arial" w:eastAsia="Arial" w:hAnsi="Arial"/>
          <w:b/>
          <w:bCs/>
          <w:color w:val="D4800A"/>
          <w:sz w:val="20"/>
          <w:szCs w:val="20"/>
        </w:rPr>
        <w:t xml:space="preserve">IMPORTANT: </w:t>
      </w:r>
      <w:r>
        <w:rPr>
          <w:rFonts w:ascii="Arial" w:cs="Arial" w:eastAsia="Arial" w:hAnsi="Arial"/>
          <w:sz w:val="20"/>
          <w:szCs w:val="20"/>
        </w:rPr>
        <w:t xml:space="preserve">Vendor edge zones (F5 CE cluster; Cloudflare cloudflared connectors) are typically run at vendor cost during POC. Confirm with each vendor SE at kickoff. If CVS must fund the vendor zones, add ~$300–800/month per vendor.</w:t>
      </w:r>
    </w:p>
    <w:p>
      <w:pPr>
        <w:spacing w:after="0" w:before="180"/>
      </w:pPr>
    </w:p>
    <w:p>
      <w:pPr>
        <w:pStyle w:val="Heading3"/>
        <w:spacing w:after="100" w:before="200"/>
      </w:pPr>
      <w:r>
        <w:rPr>
          <w:rFonts w:ascii="Arial" w:cs="Arial" w:eastAsia="Arial" w:hAnsi="Arial"/>
          <w:b/>
          <w:bCs/>
          <w:color w:val="5D6D7E"/>
          <w:sz w:val="22"/>
          <w:szCs w:val="22"/>
        </w:rPr>
        <w:t xml:space="preserve">Toolchain and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416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24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License / Cost</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Terraform</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Cloud infra as code; 4-zone VPC provisioning; SCP guardrails; snapshot/lifecycle policy</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Open source (HashiCorp BSL)</w:t>
            </w:r>
          </w:p>
        </w:tc>
      </w:tr>
      <w:tr>
        <w:tc>
          <w:tcPr>
            <w:tcW w:type="dxa" w:w="2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HashiCorp Vault (community)</w:t>
            </w:r>
          </w:p>
        </w:tc>
        <w:tc>
          <w:tcPr>
            <w:tcW w:type="dxa" w:w="4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TOTP secrets and CVS credential vault (partner-side + CVS-side); AppRole auth; audit logging</w:t>
            </w:r>
          </w:p>
        </w:tc>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Open source — or AWS Secrets Manager as alternative</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OpenSSL + gen-cert.sh</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PKI: root CA, 5 tenant intermediate CAs, 6 cert profiles per tenant, OCSP responders</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Open source</w:t>
            </w:r>
          </w:p>
        </w:tc>
      </w:tr>
      <w:tr>
        <w:tc>
          <w:tcPr>
            <w:tcW w:type="dxa" w:w="2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poc-client binaries (~800 LOC)</w:t>
            </w:r>
          </w:p>
        </w:tc>
        <w:tc>
          <w:tcPr>
            <w:tcW w:type="dxa" w:w="4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Four scriptable test clients: https (curl), ssh/sftp (oathtool+sshpass+ssh), egress, dns (dig)</w:t>
            </w:r>
          </w:p>
        </w:tc>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CVS-developed (bash + Python)</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orchestrator.py (~600 LOC)</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Reads tests.yaml; drives clients; manages pcap rotation; writes artifact bundles; enforces layer gates</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CVS-developed (Python 3.11+)</w:t>
            </w:r>
          </w:p>
        </w:tc>
      </w:tr>
      <w:tr>
        <w:tc>
          <w:tcPr>
            <w:tcW w:type="dxa" w:w="2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Wireshark / tshark</w:t>
            </w:r>
          </w:p>
        </w:tc>
        <w:tc>
          <w:tcPr>
            <w:tcW w:type="dxa" w:w="4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Offline pcap decryption using NSS keylog for TLS inspection verification</w:t>
            </w:r>
          </w:p>
        </w:tc>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Open source (GPL)</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Vector / Filebeat</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Audit log shipping from vendor platforms and vault to evidence object storage</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Open source</w:t>
            </w:r>
          </w:p>
        </w:tc>
      </w:tr>
      <w:tr>
        <w:tc>
          <w:tcPr>
            <w:tcW w:type="dxa" w:w="2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Ansible</w:t>
            </w:r>
          </w:p>
        </w:tc>
        <w:tc>
          <w:tcPr>
            <w:tcW w:type="dxa" w:w="4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IPSec peer provisioning; cloud-init bootstrap; peer rebuild to known-good state</w:t>
            </w:r>
          </w:p>
        </w:tc>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Open source</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Palo Alto Panorama / XC Console</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appliance management; vsys policy; log forwarding to SIEM; Cortex XDR integration</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Existing CVS license or PAYG</w:t>
            </w:r>
          </w:p>
        </w:tc>
      </w:tr>
    </w:tbl>
    <w:p>
      <w:pPr>
        <w:spacing w:after="0" w:before="200"/>
      </w:pPr>
    </w:p>
    <w:p>
      <w:pPr>
        <w:pStyle w:val="Heading2"/>
        <w:spacing w:after="120" w:before="280"/>
      </w:pPr>
      <w:r>
        <w:rPr>
          <w:rFonts w:ascii="Arial" w:cs="Arial" w:eastAsia="Arial" w:hAnsi="Arial"/>
          <w:b/>
          <w:bCs/>
          <w:color w:val="2C3E50"/>
          <w:sz w:val="26"/>
          <w:szCs w:val="26"/>
        </w:rPr>
        <w:t xml:space="preserve">3.3  Effort Estimates by Program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24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Activities</w:t>
            </w:r>
          </w:p>
        </w:tc>
        <w:tc>
          <w:tcPr>
            <w:tcW w:type="dxa" w:w="216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Duration</w:t>
            </w:r>
          </w:p>
        </w:tc>
        <w:tc>
          <w:tcPr>
            <w:tcW w:type="dxa" w:w="24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Owner</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Harness Provisioning</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Cloud account; Terraform; PKI; vault; backend stack; IPSec peers; clients; evidence pipeline; meta-test suite</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5–10 working days</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CVS Eng #1 + SI</w:t>
            </w:r>
          </w:p>
        </w:tc>
      </w:tr>
      <w:tr>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Vendor Onboarding — F5</w:t>
            </w:r>
          </w:p>
        </w:tc>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F5 CE cluster deploy; per-tenant namespaces; SSL profiles; audit log export; TLS keylog export confirmation; smoke tests</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3–5 working days</w:t>
            </w:r>
          </w:p>
        </w:tc>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SI + F5 SE</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Vendor Onboarding — Cloudflare</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Magic WAN + cloudflared; per-tenant CA isolation (committed approach); Logpush; CR-07 realization commit; smoke tests</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3–5 working days</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SI + CF SE</w:t>
            </w:r>
          </w:p>
        </w:tc>
      </w:tr>
      <w:tr>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Inspection Appliance Setup</w:t>
            </w:r>
          </w:p>
        </w:tc>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Palo Alto VM-Series deploy; 3 vsys (t01/t02/t03); DLP + Threat Prevention profiles; log forwarding</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2–3 working days</w:t>
            </w:r>
          </w:p>
        </w:tc>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SI or CVS SecOps</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F5 Evaluation Suite (Layers 1–4 + Inspection)</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Pre-flight; Layer 1 (~30 min); Inspection Plane (~15 min); Layer 2 (~45 min); Layer 3 (~30 min); Layer 4 (~30 min); post-flight; bundle</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~3 hrs per full run; 1–2 runs expected per vendor</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CVS Eng #1 + SI</w:t>
            </w:r>
          </w:p>
        </w:tc>
      </w:tr>
      <w:tr>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Cloudflare Evaluation Suite</w:t>
            </w:r>
          </w:p>
        </w:tc>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Identical to F5 suite; must run sequentially after F5 completes Layer 1–4 (adversarial runs cannot be concurrent)</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~3 hrs per full run; 1–2 runs expected</w:t>
            </w:r>
          </w:p>
        </w:tc>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CVS Eng #1 + SI</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Fix Cycles (per vendor, per defect)</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Vendor deploys fix; meta-test + pre-flight; targeted re-run; post-flight; delta bundle</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~1–2 hrs per targeted re-run; ≤5 business day vendor fix SLA</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SI + vendor SE</w:t>
            </w:r>
          </w:p>
        </w:tc>
      </w:tr>
      <w:tr>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Evidence Review and Scoring</w:t>
            </w:r>
          </w:p>
        </w:tc>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CVS architecture team reviews evidence bundles; applies scoring matrix from POC Deliverables; gap analysis</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3–5 working days (post-POC)</w:t>
            </w:r>
          </w:p>
        </w:tc>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CVS NSE Lead + Architecture</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API Specification Review</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EW-01 through EW-06 API specs reviewed for Sept 30 self-service portal dependency</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2–3 working days</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sz w:val="18"/>
                <w:szCs w:val="18"/>
              </w:rPr>
              <w:t xml:space="preserve">CVS NSE Lead</w:t>
            </w:r>
          </w:p>
        </w:tc>
      </w:tr>
    </w:tbl>
    <w:p>
      <w:pPr>
        <w:spacing w:after="0" w:before="200"/>
      </w:pPr>
    </w:p>
    <w:p>
      <w:pPr>
        <w:pStyle w:val="Heading2"/>
        <w:spacing w:after="120" w:before="280"/>
      </w:pPr>
      <w:r>
        <w:rPr>
          <w:rFonts w:ascii="Arial" w:cs="Arial" w:eastAsia="Arial" w:hAnsi="Arial"/>
          <w:b/>
          <w:bCs/>
          <w:color w:val="2C3E50"/>
          <w:sz w:val="26"/>
          <w:szCs w:val="26"/>
        </w:rPr>
        <w:t xml:space="preserve">3.4  Total Estimated Effort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1800"/>
        <w:gridCol w:w="1800"/>
      </w:tblGrid>
      <w:tr>
        <w:tc>
          <w:tcPr>
            <w:tcW w:type="dxa" w:w="336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24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 Involvement</w:t>
            </w:r>
          </w:p>
        </w:tc>
        <w:tc>
          <w:tcPr>
            <w:tcW w:type="dxa" w:w="18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Hours</w:t>
            </w:r>
          </w:p>
        </w:tc>
        <w:tc>
          <w:tcPr>
            <w:tcW w:type="dxa" w:w="18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FTE (10-wk POC)</w:t>
            </w:r>
          </w:p>
        </w:tc>
      </w:tr>
      <w:tr>
        <w:tc>
          <w:tcPr>
            <w:tcW w:type="dxa" w:w="3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CVS NSE Lead (M. J. Martin)</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Oversight, acceptance, scoring, vendor SE decisions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~60 hrs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~0.4 FTE</w:t>
            </w:r>
          </w:p>
        </w:tc>
      </w:tr>
      <w:tr>
        <w:tc>
          <w:tcPr>
            <w:tcW w:type="dxa" w:w="33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CVS Engineer #1 (Harness Owner)</w:t>
            </w:r>
          </w:p>
        </w:tc>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Harness build + all evaluation runs</w:t>
            </w:r>
          </w:p>
        </w:tc>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~150 hrs</w:t>
            </w:r>
          </w:p>
        </w:tc>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 FTE</w:t>
            </w:r>
          </w:p>
        </w:tc>
      </w:tr>
      <w:tr>
        <w:tc>
          <w:tcPr>
            <w:tcW w:type="dxa" w:w="3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CVS Engineer #2 (Test Execution)</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Partner-side env, PKI, backend health, defect tracking</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~90 hrs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~0.6 FTE</w:t>
            </w:r>
          </w:p>
        </w:tc>
      </w:tr>
      <w:tr>
        <w:tc>
          <w:tcPr>
            <w:tcW w:type="dxa" w:w="33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Systems Integrator (Lead + Eng)</w:t>
            </w:r>
          </w:p>
        </w:tc>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Both vendor deployments, workflow docs, API specs</w:t>
            </w:r>
          </w:p>
        </w:tc>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~525 hrs combined</w:t>
            </w:r>
          </w:p>
        </w:tc>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~2.0–2.5 FTE combined</w:t>
            </w:r>
          </w:p>
        </w:tc>
      </w:tr>
      <w:tr>
        <w:tc>
          <w:tcPr>
            <w:tcW w:type="dxa" w:w="3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Appliance Admin</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NGFW provisioning + log forwarding</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~40 hrs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~0.25 FTE</w:t>
            </w:r>
          </w:p>
        </w:tc>
      </w:tr>
      <w:tr>
        <w:tc>
          <w:tcPr>
            <w:tcW w:type="dxa" w:w="33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Vendor SEs (F5 + CF)</w:t>
            </w:r>
          </w:p>
        </w:tc>
        <w:tc>
          <w:tcPr>
            <w:tcW w:type="dxa" w:w="24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Platform deploy, fix cycles, re-run support</w:t>
            </w:r>
          </w:p>
        </w:tc>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Named SEs committed (no CVS cost)</w:t>
            </w:r>
          </w:p>
        </w:tc>
        <w:tc>
          <w:tcPr>
            <w:tcW w:type="dxa" w:w="1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External</w:t>
            </w:r>
          </w:p>
        </w:tc>
      </w:tr>
      <w:tr>
        <w:tc>
          <w:tcPr>
            <w:tcW w:type="dxa" w:w="33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TOTAL (CVS + SI)</w:t>
            </w:r>
          </w:p>
        </w:tc>
        <w:tc>
          <w:tcPr>
            <w:tcW w:type="dxa" w:w="24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w:t>
            </w:r>
          </w:p>
        </w:tc>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~865 hrs</w:t>
            </w:r>
          </w:p>
        </w:tc>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~4.3 FTE over 10 weeks</w:t>
            </w:r>
          </w:p>
        </w:tc>
      </w:tr>
    </w:tbl>
    <w:p>
      <w:pPr>
        <w:spacing w:after="0" w:before="200"/>
      </w:pPr>
    </w:p>
    <w:p>
      <w:pPr>
        <w:pStyle w:val="Heading1"/>
        <w:pBdr>
          <w:bottom w:val="single" w:color="004C97" w:sz="6" w:space="4"/>
        </w:pBdr>
        <w:spacing w:after="180" w:before="360"/>
      </w:pPr>
      <w:r>
        <w:rPr>
          <w:rFonts w:ascii="Arial" w:cs="Arial" w:eastAsia="Arial" w:hAnsi="Arial"/>
          <w:b/>
          <w:bCs/>
          <w:color w:val="004C97"/>
          <w:sz w:val="32"/>
          <w:szCs w:val="32"/>
        </w:rPr>
        <w:t xml:space="preserve">4. Execution Schedule</w:t>
      </w:r>
    </w:p>
    <w:p>
      <w:pPr>
        <w:spacing w:after="80" w:before="80"/>
      </w:pPr>
      <w:r>
        <w:rPr>
          <w:rFonts w:ascii="Arial" w:cs="Arial" w:eastAsia="Arial" w:hAnsi="Arial"/>
          <w:b w:val="false"/>
          <w:bCs w:val="false"/>
          <w:i w:val="false"/>
          <w:iCs w:val="false"/>
          <w:color w:val="000000"/>
          <w:sz w:val="20"/>
          <w:szCs w:val="20"/>
        </w:rPr>
        <w:t xml:space="preserve">Aligned to the POC milestone schedule in the POC Deliverables documents. Critical path items are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4080"/>
        <w:gridCol w:w="1440"/>
      </w:tblGrid>
      <w:tr>
        <w:tc>
          <w:tcPr>
            <w:tcW w:type="dxa" w:w="144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4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Milestone / Gate</w:t>
            </w:r>
          </w:p>
        </w:tc>
        <w:tc>
          <w:tcPr>
            <w:tcW w:type="dxa" w:w="408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Activities &amp; Owners</w:t>
            </w:r>
          </w:p>
        </w:tc>
        <w:tc>
          <w:tcPr>
            <w:tcW w:type="dxa" w:w="144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Critical Path?</w:t>
            </w:r>
          </w:p>
        </w:tc>
      </w:tr>
      <w:tr>
        <w:tc>
          <w:tcPr>
            <w:tcW w:type="dxa" w:w="144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5–7</w:t>
            </w:r>
          </w:p>
        </w:tc>
        <w:tc>
          <w:tcPr>
            <w:tcW w:type="dxa" w:w="240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Leadership review</w:t>
            </w:r>
          </w:p>
        </w:tc>
        <w:tc>
          <w:tcPr>
            <w:tcW w:type="dxa" w:w="408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Confirm CR-07 scoring weight (8%) and fail-closed default. Two decision points per Exec Summary §7.</w:t>
            </w:r>
          </w:p>
        </w:tc>
        <w:tc>
          <w:tcPr>
            <w:tcW w:type="dxa" w:w="144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w:t>
            </w:r>
          </w:p>
        </w:tc>
      </w:tr>
      <w:tr>
        <w:tc>
          <w:tcPr>
            <w:tcW w:type="dxa" w:w="144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8</w:t>
            </w:r>
          </w:p>
        </w:tc>
        <w:tc>
          <w:tcPr>
            <w:tcW w:type="dxa" w:w="240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Doc set distribution</w:t>
            </w:r>
          </w:p>
        </w:tc>
        <w:tc>
          <w:tcPr>
            <w:tcW w:type="dxa" w:w="408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Distribute v1.1 / v4 / v1.2 doc set to F5 and Cloudflare. Request vendor-acceptance acknowledgment within 10 business days.</w:t>
            </w:r>
          </w:p>
        </w:tc>
        <w:tc>
          <w:tcPr>
            <w:tcW w:type="dxa" w:w="144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w:t>
            </w:r>
          </w:p>
        </w:tc>
      </w:tr>
      <w:tr>
        <w:tc>
          <w:tcPr>
            <w:tcW w:type="dxa" w:w="144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8–25</w:t>
            </w:r>
          </w:p>
        </w:tc>
        <w:tc>
          <w:tcPr>
            <w:tcW w:type="dxa" w:w="240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Harness provisioning</w:t>
            </w:r>
          </w:p>
        </w:tc>
        <w:tc>
          <w:tcPr>
            <w:tcW w:type="dxa" w:w="408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CVS Eng #1 + SI: cloud account, Terraform, PKI, vault, backend stack, IPSec peers, test clients, evidence pipeline, meta-test suite. Target: harness READY by May 22.</w:t>
            </w:r>
          </w:p>
        </w:tc>
        <w:tc>
          <w:tcPr>
            <w:tcW w:type="dxa" w:w="144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w:t>
            </w:r>
          </w:p>
        </w:tc>
      </w:tr>
      <w:tr>
        <w:tc>
          <w:tcPr>
            <w:tcW w:type="dxa" w:w="144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25</w:t>
            </w:r>
          </w:p>
        </w:tc>
        <w:tc>
          <w:tcPr>
            <w:tcW w:type="dxa" w:w="240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Kickoff workshop</w:t>
            </w:r>
          </w:p>
        </w:tc>
        <w:tc>
          <w:tcPr>
            <w:tcW w:type="dxa" w:w="408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Cloudflare integrator commits CR-07 realization in writing. Both vendors confirm vendor-acceptance of harness contract. Named SEs confirmed. F5 and CF onboarding begins.</w:t>
            </w:r>
          </w:p>
        </w:tc>
        <w:tc>
          <w:tcPr>
            <w:tcW w:type="dxa" w:w="144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w:t>
            </w:r>
          </w:p>
        </w:tc>
      </w:tr>
      <w:tr>
        <w:tc>
          <w:tcPr>
            <w:tcW w:type="dxa" w:w="144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25 – Jun 6</w:t>
            </w:r>
          </w:p>
        </w:tc>
        <w:tc>
          <w:tcPr>
            <w:tcW w:type="dxa" w:w="240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Vendor onboarding</w:t>
            </w:r>
          </w:p>
        </w:tc>
        <w:tc>
          <w:tcPr>
            <w:tcW w:type="dxa" w:w="408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F5: CE cluster, namespaces, SSL profiles, audit log export (3–5 days). Cloudflare: Magic WAN, cloudflared, CA isolation approach deploy (3–5 days). Inspection appliance: 3 vsys provisioned.</w:t>
            </w:r>
          </w:p>
        </w:tc>
        <w:tc>
          <w:tcPr>
            <w:tcW w:type="dxa" w:w="144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w:t>
            </w:r>
          </w:p>
        </w:tc>
      </w:tr>
      <w:tr>
        <w:tc>
          <w:tcPr>
            <w:tcW w:type="dxa" w:w="144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30 (M2 window)</w:t>
            </w:r>
          </w:p>
        </w:tc>
        <w:tc>
          <w:tcPr>
            <w:tcW w:type="dxa" w:w="240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Harness self-acceptance + smoke</w:t>
            </w:r>
          </w:p>
        </w:tc>
        <w:tc>
          <w:tcPr>
            <w:tcW w:type="dxa" w:w="408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Run meta-test suite against both vendors. Layer 1 smoke tests may run concurrently. Confirm pre-flight passing for both.</w:t>
            </w:r>
          </w:p>
        </w:tc>
        <w:tc>
          <w:tcPr>
            <w:tcW w:type="dxa" w:w="144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w:t>
            </w:r>
          </w:p>
        </w:tc>
      </w:tr>
      <w:tr>
        <w:tc>
          <w:tcPr>
            <w:tcW w:type="dxa" w:w="144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Jun 2–7</w:t>
            </w:r>
          </w:p>
        </w:tc>
        <w:tc>
          <w:tcPr>
            <w:tcW w:type="dxa" w:w="240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F5 evaluation — Layers 1–4 + Inspection</w:t>
            </w:r>
          </w:p>
        </w:tc>
        <w:tc>
          <w:tcPr>
            <w:tcW w:type="dxa" w:w="408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Full F5 evaluation suite: pre-flight → L1 → Inspection Plane → L2 → L3 → L4 → post-flight → bundle. Fix cycle if needed (≤5-day vendor SLA).</w:t>
            </w:r>
          </w:p>
        </w:tc>
        <w:tc>
          <w:tcPr>
            <w:tcW w:type="dxa" w:w="144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w:t>
            </w:r>
          </w:p>
        </w:tc>
      </w:tr>
      <w:tr>
        <w:tc>
          <w:tcPr>
            <w:tcW w:type="dxa" w:w="144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Jun 9–14</w:t>
            </w:r>
          </w:p>
        </w:tc>
        <w:tc>
          <w:tcPr>
            <w:tcW w:type="dxa" w:w="240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Cloudflare evaluation — Layers 1–4 + Inspection</w:t>
            </w:r>
          </w:p>
        </w:tc>
        <w:tc>
          <w:tcPr>
            <w:tcW w:type="dxa" w:w="408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Full Cloudflare evaluation suite (sequential, not concurrent with F5 adversarial runs). Fix cycle if needed.</w:t>
            </w:r>
          </w:p>
        </w:tc>
        <w:tc>
          <w:tcPr>
            <w:tcW w:type="dxa" w:w="144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w:t>
            </w:r>
          </w:p>
        </w:tc>
      </w:tr>
      <w:tr>
        <w:tc>
          <w:tcPr>
            <w:tcW w:type="dxa" w:w="144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Jun 13</w:t>
            </w:r>
          </w:p>
        </w:tc>
        <w:tc>
          <w:tcPr>
            <w:tcW w:type="dxa" w:w="240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M3 gate</w:t>
            </w:r>
          </w:p>
        </w:tc>
        <w:tc>
          <w:tcPr>
            <w:tcW w:type="dxa" w:w="408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CR-07 demonstrated on ≥2 tenants per vendor; harness §9.8 tests I-01 through I-09 executed. CR-02, CR-06 demonstrated.</w:t>
            </w:r>
          </w:p>
        </w:tc>
        <w:tc>
          <w:tcPr>
            <w:tcW w:type="dxa" w:w="144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w:t>
            </w:r>
          </w:p>
        </w:tc>
      </w:tr>
      <w:tr>
        <w:tc>
          <w:tcPr>
            <w:tcW w:type="dxa" w:w="144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Jun 16–Jul 10</w:t>
            </w:r>
          </w:p>
        </w:tc>
        <w:tc>
          <w:tcPr>
            <w:tcW w:type="dxa" w:w="240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M4 preparation + re-runs</w:t>
            </w:r>
          </w:p>
        </w:tc>
        <w:tc>
          <w:tcPr>
            <w:tcW w:type="dxa" w:w="408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CR-05 full 5-tenant simultaneous operation; CR-04 lifecycle automation; all acceptance suites passing including CR-06. CR-07 across all 5 tenants. Fix cycles as needed.</w:t>
            </w:r>
          </w:p>
        </w:tc>
        <w:tc>
          <w:tcPr>
            <w:tcW w:type="dxa" w:w="144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w:t>
            </w:r>
          </w:p>
        </w:tc>
      </w:tr>
      <w:tr>
        <w:tc>
          <w:tcPr>
            <w:tcW w:type="dxa" w:w="144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Jul 11</w:t>
            </w:r>
          </w:p>
        </w:tc>
        <w:tc>
          <w:tcPr>
            <w:tcW w:type="dxa" w:w="240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M4 gate</w:t>
            </w:r>
          </w:p>
        </w:tc>
        <w:tc>
          <w:tcPr>
            <w:tcW w:type="dxa" w:w="408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Full multi-tenant + lifecycle + outbound + inspection passing for both vendors. Evidence bundles complete.</w:t>
            </w:r>
          </w:p>
        </w:tc>
        <w:tc>
          <w:tcPr>
            <w:tcW w:type="dxa" w:w="144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w:t>
            </w:r>
          </w:p>
        </w:tc>
      </w:tr>
      <w:tr>
        <w:tc>
          <w:tcPr>
            <w:tcW w:type="dxa" w:w="144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Jul 14–28</w:t>
            </w:r>
          </w:p>
        </w:tc>
        <w:tc>
          <w:tcPr>
            <w:tcW w:type="dxa" w:w="240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Final documentation sprint</w:t>
            </w:r>
          </w:p>
        </w:tc>
        <w:tc>
          <w:tcPr>
            <w:tcW w:type="dxa" w:w="408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EW-01–EW-06 finalized with API call specifications; self-service API spec; POC Final Report per vendor.</w:t>
            </w:r>
          </w:p>
        </w:tc>
        <w:tc>
          <w:tcPr>
            <w:tcW w:type="dxa" w:w="144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w:t>
            </w:r>
          </w:p>
        </w:tc>
      </w:tr>
      <w:tr>
        <w:tc>
          <w:tcPr>
            <w:tcW w:type="dxa" w:w="144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Jul 30</w:t>
            </w:r>
          </w:p>
        </w:tc>
        <w:tc>
          <w:tcPr>
            <w:tcW w:type="dxa" w:w="240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M5 / POC completion gate</w:t>
            </w:r>
          </w:p>
        </w:tc>
        <w:tc>
          <w:tcPr>
            <w:tcW w:type="dxa" w:w="408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Final POC report delivered; engineering workflow documents finalized; self-service automation API spec delivered; POC review meeting conducted.</w:t>
            </w:r>
          </w:p>
        </w:tc>
        <w:tc>
          <w:tcPr>
            <w:tcW w:type="dxa" w:w="144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w:t>
            </w:r>
          </w:p>
        </w:tc>
      </w:tr>
      <w:tr>
        <w:tc>
          <w:tcPr>
            <w:tcW w:type="dxa" w:w="144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Aug 1–Sep 10</w:t>
            </w:r>
          </w:p>
        </w:tc>
        <w:tc>
          <w:tcPr>
            <w:tcW w:type="dxa" w:w="240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Evidence review + vendor selection</w:t>
            </w:r>
          </w:p>
        </w:tc>
        <w:tc>
          <w:tcPr>
            <w:tcW w:type="dxa" w:w="408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CVS architecture team reviews bundles; applies scoring matrix; platform selection recommendation prepared for leadership.</w:t>
            </w:r>
          </w:p>
        </w:tc>
        <w:tc>
          <w:tcPr>
            <w:tcW w:type="dxa" w:w="144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w:t>
            </w:r>
          </w:p>
        </w:tc>
      </w:tr>
      <w:tr>
        <w:tc>
          <w:tcPr>
            <w:tcW w:type="dxa" w:w="144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Sep 30</w:t>
            </w:r>
          </w:p>
        </w:tc>
        <w:tc>
          <w:tcPr>
            <w:tcW w:type="dxa" w:w="240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Self-service portal target</w:t>
            </w:r>
          </w:p>
        </w:tc>
        <w:tc>
          <w:tcPr>
            <w:tcW w:type="dxa" w:w="408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EW-01–EW-06 API specs from POC output used as foundation for self-service portal delivery.</w:t>
            </w:r>
          </w:p>
        </w:tc>
        <w:tc>
          <w:tcPr>
            <w:tcW w:type="dxa" w:w="1440"/>
            <w:tcBorders>
              <w:top w:val="single" w:color="B0BEC5" w:sz="1"/>
              <w:left w:val="single" w:color="B0BEC5" w:sz="1"/>
              <w:bottom w:val="single" w:color="B0BEC5" w:sz="1"/>
              <w:right w:val="single" w:color="B0BEC5" w:sz="1"/>
            </w:tcBorders>
            <w:shd w:fill="FFF9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w:t>
            </w:r>
          </w:p>
        </w:tc>
      </w:tr>
    </w:tbl>
    <w:p>
      <w:pPr>
        <w:spacing w:after="0" w:before="200"/>
      </w:pPr>
    </w:p>
    <w:p>
      <w:pPr>
        <w:pStyle w:val="Heading1"/>
        <w:pBdr>
          <w:bottom w:val="single" w:color="004C97" w:sz="6" w:space="4"/>
        </w:pBdr>
        <w:spacing w:after="180" w:before="360"/>
      </w:pPr>
      <w:r>
        <w:rPr>
          <w:rFonts w:ascii="Arial" w:cs="Arial" w:eastAsia="Arial" w:hAnsi="Arial"/>
          <w:b/>
          <w:bCs/>
          <w:color w:val="004C97"/>
          <w:sz w:val="32"/>
          <w:szCs w:val="32"/>
        </w:rPr>
        <w:t xml:space="preserve">5. Open Items &amp; Pre-POC Decision Requirements</w:t>
      </w:r>
    </w:p>
    <w:p>
      <w:pPr>
        <w:pBdr>
          <w:left w:val="single" w:color="A93226" w:sz="16" w:space="8"/>
        </w:pBdr>
        <w:spacing w:after="120" w:before="120"/>
        <w:ind w:left="360"/>
      </w:pPr>
      <w:r>
        <w:rPr>
          <w:rFonts w:ascii="Arial" w:cs="Arial" w:eastAsia="Arial" w:hAnsi="Arial"/>
          <w:b/>
          <w:bCs/>
          <w:color w:val="A93226"/>
          <w:sz w:val="20"/>
          <w:szCs w:val="20"/>
        </w:rPr>
        <w:t xml:space="preserve">ACTION REQUIRED: </w:t>
      </w:r>
      <w:r>
        <w:rPr>
          <w:rFonts w:ascii="Arial" w:cs="Arial" w:eastAsia="Arial" w:hAnsi="Arial"/>
          <w:sz w:val="20"/>
          <w:szCs w:val="20"/>
        </w:rPr>
        <w:t xml:space="preserve">The following items must be resolved before the May 25 kickoff workshop. Unresolved items at kickoff will delay vendor onboarding and compress the evaluation window.</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920"/>
        <w:gridCol w:w="2800"/>
        <w:gridCol w:w="2000"/>
      </w:tblGrid>
      <w:tr>
        <w:tc>
          <w:tcPr>
            <w:tcW w:type="dxa" w:w="64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392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28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Decision Required</w:t>
            </w:r>
          </w:p>
        </w:tc>
        <w:tc>
          <w:tcPr>
            <w:tcW w:type="dxa" w:w="20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 / Due</w:t>
            </w:r>
          </w:p>
        </w:tc>
      </w:tr>
      <w:tr>
        <w:tc>
          <w:tcPr>
            <w:tcW w:type="dxa" w:w="6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w:t>
            </w:r>
          </w:p>
        </w:tc>
        <w:tc>
          <w:tcPr>
            <w:tcW w:type="dxa" w:w="39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CR-07 scoring weight: confirm 8% weighting is correct relative emphasis. Raising or lowering is a single-table edit.</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Confirm 8% or specify new weight. Affects both POC Deliverables documents only.</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NSE Lead / May 7</w:t>
            </w:r>
          </w:p>
        </w:tc>
      </w:tr>
      <w:tr>
        <w:tc>
          <w:tcPr>
            <w:tcW w:type="dxa" w:w="6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w:t>
            </w:r>
          </w:p>
        </w:tc>
        <w:tc>
          <w:tcPr>
            <w:tcW w:type="dxa" w:w="39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CR-07 fail-closed default: confirm fail-closed is the correct harness-default semantics for CR-07.5. Fail-closed denies traffic when inspection appliance is unreachable.</w:t>
            </w:r>
          </w:p>
        </w:tc>
        <w:tc>
          <w:tcPr>
            <w:tcW w:type="dxa" w:w="2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Confirm fail-closed default, or specify per-tenant exception process for fail-open.</w:t>
            </w:r>
          </w:p>
        </w:tc>
        <w:tc>
          <w:tcPr>
            <w:tcW w:type="dxa" w:w="20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NSE Lead / May 7</w:t>
            </w:r>
          </w:p>
        </w:tc>
      </w:tr>
      <w:tr>
        <w:tc>
          <w:tcPr>
            <w:tcW w:type="dxa" w:w="6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3</w:t>
            </w:r>
          </w:p>
        </w:tc>
        <w:tc>
          <w:tcPr>
            <w:tcW w:type="dxa" w:w="39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Cloudflare CR-01 isolation approach: Cloudflare must commit to one of (a) separate accounts per tenant, (b) per-hostname mTLS scoping, (c) Cloudflare for SaaS custom hostnames, or (d) Worker-based CA selection — in writing by kickoff.</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Cloudflare SE commitment required before harness structural test set can be finalized for CF.</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CF SE / May 25</w:t>
            </w:r>
          </w:p>
        </w:tc>
      </w:tr>
      <w:tr>
        <w:tc>
          <w:tcPr>
            <w:tcW w:type="dxa" w:w="6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4</w:t>
            </w:r>
          </w:p>
        </w:tc>
        <w:tc>
          <w:tcPr>
            <w:tcW w:type="dxa" w:w="39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Cloudflare CR-07 realization: Cloudflare must name its chosen primitive (GENEVE/Magic Network, sub-tenant Workers, or customer-operated Magic WAN on-ramp) at kickoff workshop.</w:t>
            </w:r>
          </w:p>
        </w:tc>
        <w:tc>
          <w:tcPr>
            <w:tcW w:type="dxa" w:w="2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Selection determines how the Cloudflare I-01 through I-09 tests are instrumented.</w:t>
            </w:r>
          </w:p>
        </w:tc>
        <w:tc>
          <w:tcPr>
            <w:tcW w:type="dxa" w:w="20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CF SE + SI / May 25</w:t>
            </w:r>
          </w:p>
        </w:tc>
      </w:tr>
      <w:tr>
        <w:tc>
          <w:tcPr>
            <w:tcW w:type="dxa" w:w="6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5</w:t>
            </w:r>
          </w:p>
        </w:tc>
        <w:tc>
          <w:tcPr>
            <w:tcW w:type="dxa" w:w="39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F5 TLS keylog export: F5 SE must confirm exact API object and export transport for NSS keylog export from inspected sessions in the tested XC release. If not supported, alternative proposed.</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Blocking for TLS inspection verification path (Harness §7.1).</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F5 SE / May 22</w:t>
            </w:r>
          </w:p>
        </w:tc>
      </w:tr>
      <w:tr>
        <w:tc>
          <w:tcPr>
            <w:tcW w:type="dxa" w:w="6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6</w:t>
            </w:r>
          </w:p>
        </w:tc>
        <w:tc>
          <w:tcPr>
            <w:tcW w:type="dxa" w:w="39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CVS Engineer #2 staffing: role TBD; commitment needed before harness provisioning begins.</w:t>
            </w:r>
          </w:p>
        </w:tc>
        <w:tc>
          <w:tcPr>
            <w:tcW w:type="dxa" w:w="2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Assign named CVS engineer for partner-side env, PKI, backend health.</w:t>
            </w:r>
          </w:p>
        </w:tc>
        <w:tc>
          <w:tcPr>
            <w:tcW w:type="dxa" w:w="20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NSE Lead / May 14</w:t>
            </w:r>
          </w:p>
        </w:tc>
      </w:tr>
      <w:tr>
        <w:tc>
          <w:tcPr>
            <w:tcW w:type="dxa" w:w="6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7</w:t>
            </w:r>
          </w:p>
        </w:tc>
        <w:tc>
          <w:tcPr>
            <w:tcW w:type="dxa" w:w="39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Systems Integrator selection and contract: SI must be contracted and named before vendor onboarding begins. SI leads both F5 and CF deployments.</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SI contract signed; primary SI lead and engineer confirmed.</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CVS Procurement / May 15</w:t>
            </w:r>
          </w:p>
        </w:tc>
      </w:tr>
      <w:tr>
        <w:tc>
          <w:tcPr>
            <w:tcW w:type="dxa" w:w="6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8</w:t>
            </w:r>
          </w:p>
        </w:tc>
        <w:tc>
          <w:tcPr>
            <w:tcW w:type="dxa" w:w="39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appliance admin assignment: Palo Alto VM-Series admin needed for vsys provisioning and log forwarding. CVS SecOps or SI.</w:t>
            </w:r>
          </w:p>
        </w:tc>
        <w:tc>
          <w:tcPr>
            <w:tcW w:type="dxa" w:w="2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Assign named admin.</w:t>
            </w:r>
          </w:p>
        </w:tc>
        <w:tc>
          <w:tcPr>
            <w:tcW w:type="dxa" w:w="20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NSE Lead / May 20</w:t>
            </w:r>
          </w:p>
        </w:tc>
      </w:tr>
      <w:tr>
        <w:tc>
          <w:tcPr>
            <w:tcW w:type="dxa" w:w="6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9</w:t>
            </w:r>
          </w:p>
        </w:tc>
        <w:tc>
          <w:tcPr>
            <w:tcW w:type="dxa" w:w="39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DLP profile policy intent: CVS must supply per-tenant DLP pattern families, verdict actions, and SIEM routing at policy-intent level before inspection appliance can be configured.</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Policy intent document to SI / appliance admin.</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CVS SecArch / May 20</w:t>
            </w:r>
          </w:p>
        </w:tc>
      </w:tr>
      <w:tr>
        <w:tc>
          <w:tcPr>
            <w:tcW w:type="dxa" w:w="6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39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Decrypt-exclusion list: CVS privacy office must confirm URL categories and FQDNs for per-tenant decrypt-exclusion list (HR, healthcare, pinned destinations).</w:t>
            </w:r>
          </w:p>
        </w:tc>
        <w:tc>
          <w:tcPr>
            <w:tcW w:type="dxa" w:w="28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Required for I-04 decrypt-exclusion tests and inspection appliance decrypt policy.</w:t>
            </w:r>
          </w:p>
        </w:tc>
        <w:tc>
          <w:tcPr>
            <w:tcW w:type="dxa" w:w="20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CVS Privacy Office / May 20</w:t>
            </w:r>
          </w:p>
        </w:tc>
      </w:tr>
    </w:tbl>
    <w:p>
      <w:pPr>
        <w:spacing w:after="0" w:before="200"/>
      </w:pPr>
    </w:p>
    <w:p>
      <w:pPr>
        <w:pStyle w:val="Heading1"/>
        <w:pBdr>
          <w:bottom w:val="single" w:color="004C97" w:sz="6" w:space="4"/>
        </w:pBdr>
        <w:spacing w:after="180" w:before="360"/>
      </w:pPr>
      <w:r>
        <w:rPr>
          <w:rFonts w:ascii="Arial" w:cs="Arial" w:eastAsia="Arial" w:hAnsi="Arial"/>
          <w:b/>
          <w:bCs/>
          <w:color w:val="004C97"/>
          <w:sz w:val="32"/>
          <w:szCs w:val="32"/>
        </w:rPr>
        <w:t xml:space="preserve">6. Vendor-Specific Structural Risk Notes</w:t>
      </w:r>
    </w:p>
    <w:p>
      <w:pPr>
        <w:pStyle w:val="Heading2"/>
        <w:spacing w:after="120" w:before="280"/>
      </w:pPr>
      <w:r>
        <w:rPr>
          <w:rFonts w:ascii="Arial" w:cs="Arial" w:eastAsia="Arial" w:hAnsi="Arial"/>
          <w:b/>
          <w:bCs/>
          <w:color w:val="2C3E50"/>
          <w:sz w:val="26"/>
          <w:szCs w:val="26"/>
        </w:rPr>
        <w:t xml:space="preserve">6.1  F5 Distributed Cloud — Risk Profile</w:t>
      </w:r>
    </w:p>
    <w:p>
      <w:pPr>
        <w:pBdr>
          <w:left w:val="single" w:color="1E8449" w:sz="16" w:space="8"/>
        </w:pBdr>
        <w:spacing w:after="120" w:before="120"/>
        <w:ind w:left="360"/>
      </w:pPr>
      <w:r>
        <w:rPr>
          <w:rFonts w:ascii="Arial" w:cs="Arial" w:eastAsia="Arial" w:hAnsi="Arial"/>
          <w:b/>
          <w:bCs/>
          <w:color w:val="1E8449"/>
          <w:sz w:val="20"/>
          <w:szCs w:val="20"/>
        </w:rPr>
        <w:t xml:space="preserve">RISK LEVEL: LOW–MEDIUM </w:t>
      </w:r>
      <w:r>
        <w:rPr>
          <w:rFonts w:ascii="Arial" w:cs="Arial" w:eastAsia="Arial" w:hAnsi="Arial"/>
          <w:sz w:val="20"/>
          <w:szCs w:val="20"/>
        </w:rPr>
        <w:t xml:space="preserve">F5 XC service-policy chains and PBR-into-VRF are first-class platform primitives. Per-tenant SSL profiles, per-tenant namespaces, and GLR audit export are native capabilities. CR-07 steering (service-policy chain + PBR-into-VRF) is the expected low-risk path.</w:t>
      </w:r>
    </w:p>
    <w:p>
      <w:pPr>
        <w:spacing w:after="80" w:before="80"/>
      </w:pPr>
      <w:r>
        <w:rPr>
          <w:rFonts w:ascii="Arial" w:cs="Arial" w:eastAsia="Arial" w:hAnsi="Arial"/>
          <w:b w:val="false"/>
          <w:bCs w:val="false"/>
          <w:i w:val="false"/>
          <w:iCs w:val="false"/>
          <w:color w:val="000000"/>
          <w:sz w:val="20"/>
          <w:szCs w:val="20"/>
        </w:rPr>
        <w:t xml:space="preserve">Residual risks: TLS keylog export confirmation (vendor SE confirmation item #5 above); OCSP enforcement behavior must be documented; ensure ves-io-power-developer role is correctly scoped to namespace-level CRUD without org-wide privileges.</w:t>
      </w:r>
    </w:p>
    <w:p>
      <w:pPr>
        <w:pStyle w:val="Heading2"/>
        <w:spacing w:after="120" w:before="280"/>
      </w:pPr>
      <w:r>
        <w:rPr>
          <w:rFonts w:ascii="Arial" w:cs="Arial" w:eastAsia="Arial" w:hAnsi="Arial"/>
          <w:b/>
          <w:bCs/>
          <w:color w:val="2C3E50"/>
          <w:sz w:val="26"/>
          <w:szCs w:val="26"/>
        </w:rPr>
        <w:t xml:space="preserve">6.2  Cloudflare — Risk Profile</w:t>
      </w:r>
    </w:p>
    <w:p>
      <w:pPr>
        <w:pBdr>
          <w:left w:val="single" w:color="A93226" w:sz="16" w:space="8"/>
        </w:pBdr>
        <w:spacing w:after="120" w:before="120"/>
        <w:ind w:left="360"/>
      </w:pPr>
      <w:r>
        <w:rPr>
          <w:rFonts w:ascii="Arial" w:cs="Arial" w:eastAsia="Arial" w:hAnsi="Arial"/>
          <w:b/>
          <w:bCs/>
          <w:color w:val="A93226"/>
          <w:sz w:val="20"/>
          <w:szCs w:val="20"/>
        </w:rPr>
        <w:t xml:space="preserve">RISK LEVEL: HIGH </w:t>
      </w:r>
      <w:r>
        <w:rPr>
          <w:rFonts w:ascii="Arial" w:cs="Arial" w:eastAsia="Arial" w:hAnsi="Arial"/>
          <w:sz w:val="20"/>
          <w:szCs w:val="20"/>
        </w:rPr>
        <w:t xml:space="preserve">Two capabilities carry structural risk: CR-01 (per-tenant CA isolation — Cloudflare's native mTLS model is single-organization) and CR-07 (no first-class post-decryption steering primitive). Both require explicit engineering approaches committed in writing at kickoff. These are the decisive comparative evaluation axes.</w:t>
      </w:r>
    </w:p>
    <w:p>
      <w:pPr>
        <w:spacing w:after="80" w:before="80"/>
      </w:pPr>
      <w:r>
        <w:rPr>
          <w:rFonts w:ascii="Arial" w:cs="Arial" w:eastAsia="Arial" w:hAnsi="Arial"/>
          <w:b w:val="false"/>
          <w:bCs w:val="false"/>
          <w:i w:val="false"/>
          <w:iCs w:val="false"/>
          <w:color w:val="000000"/>
          <w:sz w:val="20"/>
          <w:szCs w:val="20"/>
        </w:rPr>
        <w:t xml:space="preserve">CR-01: The chosen isolation approach (a–d) determines the adversarial test instrumentation. If an engineered approach is selected over a native capability, the harness applies identical acceptance criteria but the scoring rubric weights native capability more favorably.</w:t>
      </w:r>
    </w:p>
    <w:p>
      <w:pPr>
        <w:spacing w:after="80" w:before="80"/>
      </w:pPr>
      <w:r>
        <w:rPr>
          <w:rFonts w:ascii="Arial" w:cs="Arial" w:eastAsia="Arial" w:hAnsi="Arial"/>
          <w:b w:val="false"/>
          <w:bCs w:val="false"/>
          <w:i w:val="false"/>
          <w:iCs w:val="false"/>
          <w:color w:val="000000"/>
          <w:sz w:val="20"/>
          <w:szCs w:val="20"/>
        </w:rPr>
        <w:t xml:space="preserve">CR-07: Of the three candidate Cloudflare realizations — GENEVE/Magic Network, sub-tenant Workers, and customer-operated Magic WAN on-ramp — each carries different per-tenant isolation and key-custody guarantees. The SI must demonstrate per-tenant containment under the cross-tenant isolation matrix regardless of which realization is chosen. Failure to demonstrate any realization within the POC window scores CR-07 as zero.</w:t>
      </w:r>
    </w:p>
    <w:p>
      <w:pPr>
        <w:spacing w:after="0" w:before="200"/>
      </w:pPr>
    </w:p>
    <w:p>
      <w:pPr>
        <w:pStyle w:val="Heading1"/>
        <w:pBdr>
          <w:bottom w:val="single" w:color="004C97" w:sz="6" w:space="4"/>
        </w:pBdr>
        <w:spacing w:after="180" w:before="360"/>
      </w:pPr>
      <w:r>
        <w:rPr>
          <w:rFonts w:ascii="Arial" w:cs="Arial" w:eastAsia="Arial" w:hAnsi="Arial"/>
          <w:b/>
          <w:bCs/>
          <w:color w:val="004C97"/>
          <w:sz w:val="32"/>
          <w:szCs w:val="32"/>
        </w:rPr>
        <w:t xml:space="preserve">Appendix A — Test Case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20"/>
        <w:gridCol w:w="2160"/>
        <w:gridCol w:w="4200"/>
        <w:gridCol w:w="840"/>
      </w:tblGrid>
      <w:tr>
        <w:tc>
          <w:tcPr>
            <w:tcW w:type="dxa" w:w="144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ID</w:t>
            </w:r>
          </w:p>
        </w:tc>
        <w:tc>
          <w:tcPr>
            <w:tcW w:type="dxa" w:w="72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w:t>
            </w:r>
          </w:p>
        </w:tc>
        <w:tc>
          <w:tcPr>
            <w:tcW w:type="dxa" w:w="216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Area</w:t>
            </w:r>
          </w:p>
        </w:tc>
        <w:tc>
          <w:tcPr>
            <w:tcW w:type="dxa" w:w="42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84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TC-CR01-001</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CR-01</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Positive Path</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Valid inbound mTLS connection succeeds</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8449"/>
                <w:sz w:val="18"/>
                <w:szCs w:val="18"/>
              </w:rPr>
              <w:t xml:space="preserve">Low</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TC-CR01-002</w:t>
            </w:r>
          </w:p>
        </w:tc>
        <w:tc>
          <w:tcPr>
            <w:tcW w:type="dxa" w:w="7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CR-01</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Wrong-Tenant CA Rejection</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Certificate from Tenant A rejected at Tenant B listener</w:t>
            </w:r>
          </w:p>
        </w:tc>
        <w:tc>
          <w:tcPr>
            <w:tcW w:type="dxa" w:w="8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TC-CR01-003</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CR-01</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Expired Certificate</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Expired partner certificate is rejected</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8449"/>
                <w:sz w:val="18"/>
                <w:szCs w:val="18"/>
              </w:rPr>
              <w:t xml:space="preserve">Medium</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TC-CR01-004</w:t>
            </w:r>
          </w:p>
        </w:tc>
        <w:tc>
          <w:tcPr>
            <w:tcW w:type="dxa" w:w="7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CR-01</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Certificate Revocation (CRL)</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Revoked certificate is rejected within CRL refresh window</w:t>
            </w:r>
          </w:p>
        </w:tc>
        <w:tc>
          <w:tcPr>
            <w:tcW w:type="dxa" w:w="8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TC-CR01-005</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CR-01</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OCSP Enforcement</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OCSP responder revocation is honored</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TC-CR01-006</w:t>
            </w:r>
          </w:p>
        </w:tc>
        <w:tc>
          <w:tcPr>
            <w:tcW w:type="dxa" w:w="7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CR-01</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Wildcard/SAN Abuse</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Certificate with SAN overlapping another tenant is rejected</w:t>
            </w:r>
          </w:p>
        </w:tc>
        <w:tc>
          <w:tcPr>
            <w:tcW w:type="dxa" w:w="8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TC-CR01-007</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CR-01</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Shared Root Pivot</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Chain manipulation via shared root is rejected</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TC-CR01-008</w:t>
            </w:r>
          </w:p>
        </w:tc>
        <w:tc>
          <w:tcPr>
            <w:tcW w:type="dxa" w:w="7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CR-01</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Outbound CVS Client Cert</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CVS-initiated outbound mTLS: valid CVS cert accepted</w:t>
            </w:r>
          </w:p>
        </w:tc>
        <w:tc>
          <w:tcPr>
            <w:tcW w:type="dxa" w:w="8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TC-CR01-009</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CR-01</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mTLS — Outbound CVS Client Cert</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CVS-initiated outbound without valid cert is rejected</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TC-CR02-001</w:t>
            </w:r>
          </w:p>
        </w:tc>
        <w:tc>
          <w:tcPr>
            <w:tcW w:type="dxa" w:w="7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CR-02</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Inbound — TOTP Authentication</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Partner SSH inbound with valid TOTP succeeds</w:t>
            </w:r>
          </w:p>
        </w:tc>
        <w:tc>
          <w:tcPr>
            <w:tcW w:type="dxa" w:w="8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TC-CR02-002</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CR-02</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Inbound — TOTP Rejection</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Partner SSH with invalid TOTP is rejected before backend connection</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TC-CR02-003</w:t>
            </w:r>
          </w:p>
        </w:tc>
        <w:tc>
          <w:tcPr>
            <w:tcW w:type="dxa" w:w="7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CR-02</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Inbound — ACL Enforcement</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User authorized for Service A denied at Service B</w:t>
            </w:r>
          </w:p>
        </w:tc>
        <w:tc>
          <w:tcPr>
            <w:tcW w:type="dxa" w:w="8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TC-CR02-004</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CR-02</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Inbound — Credential Concealment</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Internal CVS credentials are not exposed to partner</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TC-CR02-005</w:t>
            </w:r>
          </w:p>
        </w:tc>
        <w:tc>
          <w:tcPr>
            <w:tcW w:type="dxa" w:w="7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CR-02</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Outbound — CVS-Initiated</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CVS-initiated outbound SSH session through governed platform</w:t>
            </w:r>
          </w:p>
        </w:tc>
        <w:tc>
          <w:tcPr>
            <w:tcW w:type="dxa" w:w="8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TC-CR02-006</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CR-02</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 TCP Passthrough Prohibition</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Confirm SSH is terminated and inspected — not TCP passthrough</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TC-CR03-001</w:t>
            </w:r>
          </w:p>
        </w:tc>
        <w:tc>
          <w:tcPr>
            <w:tcW w:type="dxa" w:w="7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CR-03</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DNS — A-Record Rewrite</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Internal DNS name resolves to SNAT inbound VIP, not real IP</w:t>
            </w:r>
          </w:p>
        </w:tc>
        <w:tc>
          <w:tcPr>
            <w:tcW w:type="dxa" w:w="8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TC-CR03-002</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CR-03</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DNS — Cross-Tenant Non-Disclosure</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Tenant A DNS context cannot resolve Tenant B internal names</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TC-CR03-003</w:t>
            </w:r>
          </w:p>
        </w:tc>
        <w:tc>
          <w:tcPr>
            <w:tcW w:type="dxa" w:w="7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CR-03</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DNS — Dedicated Listener Per Tenant</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Each tenant has a structurally dedicated DNS listener (VIP)</w:t>
            </w:r>
          </w:p>
        </w:tc>
        <w:tc>
          <w:tcPr>
            <w:tcW w:type="dxa" w:w="8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1E8449"/>
                <w:sz w:val="18"/>
                <w:szCs w:val="18"/>
              </w:rPr>
              <w:t xml:space="preserve">Medium</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TC-CR04-001</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CR-04</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Lifecycle — Automated Provisioning</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Full tenant provisioning from schema with zero manual steps</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TC-CR04-002</w:t>
            </w:r>
          </w:p>
        </w:tc>
        <w:tc>
          <w:tcPr>
            <w:tcW w:type="dxa" w:w="7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CR-04</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Lifecycle — Deterministic Offboarding</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Tenant offboarding leaves zero residual state</w:t>
            </w:r>
          </w:p>
        </w:tc>
        <w:tc>
          <w:tcPr>
            <w:tcW w:type="dxa" w:w="8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TC-CR04-003</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CR-04</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Lifecycle — Re-provisioning Determinism</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Re-provisioning offboarded tenant ID produces identical clean state</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TC-CR05-001</w:t>
            </w:r>
          </w:p>
        </w:tc>
        <w:tc>
          <w:tcPr>
            <w:tcW w:type="dxa" w:w="7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CR-05</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Multi-Tenant — Simultaneous Operation</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Five tenants simultaneously active with no cross-tenant interference</w:t>
            </w:r>
          </w:p>
        </w:tc>
        <w:tc>
          <w:tcPr>
            <w:tcW w:type="dxa" w:w="8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TC-CR05-002</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CR-05</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Multi-Tenant — Full Isolation Matrix (6 vectors × 20 pairs)</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Cross-tenant isolation matrix: all 20 ordered pairs across 6 vectors</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TC-CR06-001</w:t>
            </w:r>
          </w:p>
        </w:tc>
        <w:tc>
          <w:tcPr>
            <w:tcW w:type="dxa" w:w="7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CR-06</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Outbound — Allow-List Enforcement</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CVS-initiated HTTPS to declared destination succeeds; undeclared is blocked</w:t>
            </w:r>
          </w:p>
        </w:tc>
        <w:tc>
          <w:tcPr>
            <w:tcW w:type="dxa" w:w="8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TC-CR06-002</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CR-06</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Outbound — DNS via Per-Tenant CoreDNS</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Outbound DNS resolution traverses the tenant CoreDNS context</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8449"/>
                <w:sz w:val="18"/>
                <w:szCs w:val="18"/>
              </w:rPr>
              <w:t xml:space="preserve">Medium</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TC-CR06-003</w:t>
            </w:r>
          </w:p>
        </w:tc>
        <w:tc>
          <w:tcPr>
            <w:tcW w:type="dxa" w:w="7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CR-06</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Outbound — TLS Inspection Mandatory</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Passthrough configuration is rejected or flagged as policy violation</w:t>
            </w:r>
          </w:p>
        </w:tc>
        <w:tc>
          <w:tcPr>
            <w:tcW w:type="dxa" w:w="8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TC-CR07-001</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CR-07</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Traffic Steering (Inbound)</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Inbound mTLS session decrypted and steered to per-tenant inspection vsys</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TC-CR07-002</w:t>
            </w:r>
          </w:p>
        </w:tc>
        <w:tc>
          <w:tcPr>
            <w:tcW w:type="dxa" w:w="7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CR-07</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Traffic Steering (Outbound)</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Outbound governed egress decrypted and steered to per-tenant inspection vsys</w:t>
            </w:r>
          </w:p>
        </w:tc>
        <w:tc>
          <w:tcPr>
            <w:tcW w:type="dxa" w:w="8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TC-CR07-003</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CR-07</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Per-Tenant Container Scope</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Tenant A traffic does not appear in Tenant B vsys logs</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TC-CR07-004</w:t>
            </w:r>
          </w:p>
        </w:tc>
        <w:tc>
          <w:tcPr>
            <w:tcW w:type="dxa" w:w="7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CR-07</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Decrypt-Exclusion List</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Excluded destination passes through without decryption or inspection event</w:t>
            </w:r>
          </w:p>
        </w:tc>
        <w:tc>
          <w:tcPr>
            <w:tcW w:type="dxa" w:w="8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TC-CR07-005</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CR-07</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Failure Semantics (Fail-Closed)</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Inspection-plane outage triggers fail-closed behavior when configured</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TC-CR07-006</w:t>
            </w:r>
          </w:p>
        </w:tc>
        <w:tc>
          <w:tcPr>
            <w:tcW w:type="dxa" w:w="7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CR-07</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SSH Session Inspection</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SSH session transcripts visible to inspection appliance</w:t>
            </w:r>
          </w:p>
        </w:tc>
        <w:tc>
          <w:tcPr>
            <w:tcW w:type="dxa" w:w="8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TC-CR07-007</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CR-07</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Telemetry Correlation</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Vendor-edge and appliance audit records join at ≥99% on correlation ID</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r>
        <w:tc>
          <w:tcPr>
            <w:tcW w:type="dxa" w:w="14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TC-CR07-008</w:t>
            </w:r>
          </w:p>
        </w:tc>
        <w:tc>
          <w:tcPr>
            <w:tcW w:type="dxa" w:w="72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CR-07</w:t>
            </w:r>
          </w:p>
        </w:tc>
        <w:tc>
          <w:tcPr>
            <w:tcW w:type="dxa" w:w="216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Key Custody</w:t>
            </w:r>
          </w:p>
        </w:tc>
        <w:tc>
          <w:tcPr>
            <w:tcW w:type="dxa" w:w="4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TLS private keys are absent from the inspection device</w:t>
            </w:r>
          </w:p>
        </w:tc>
        <w:tc>
          <w:tcPr>
            <w:tcW w:type="dxa" w:w="84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pPr>
              <w:jc w:val="left"/>
            </w:pPr>
            <w:r>
              <w:rPr>
                <w:rFonts w:ascii="Arial" w:cs="Arial" w:eastAsia="Arial" w:hAnsi="Arial"/>
                <w:b w:val="false"/>
                <w:bCs w:val="false"/>
                <w:color w:val="A93226"/>
                <w:sz w:val="18"/>
                <w:szCs w:val="18"/>
              </w:rPr>
              <w:t xml:space="preserve">Critical</w:t>
            </w:r>
          </w:p>
        </w:tc>
      </w:tr>
      <w:tr>
        <w:tc>
          <w:tcPr>
            <w:tcW w:type="dxa" w:w="14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TC-CR07-009</w:t>
            </w:r>
          </w:p>
        </w:tc>
        <w:tc>
          <w:tcPr>
            <w:tcW w:type="dxa" w:w="7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CR-07</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 Lifecycle Offboarding</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Inspection container decommissioned with zero residual state on tenant deletion</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D4800A"/>
                <w:sz w:val="18"/>
                <w:szCs w:val="18"/>
              </w:rPr>
              <w:t xml:space="preserve">High</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4C97" w:sz="4" w:space="4"/>
      </w:pBdr>
      <w:tabs>
        <w:tab w:val="right" w:pos="9026"/>
      </w:tabs>
      <w:spacing w:before="80"/>
      <w:jc w:val="center"/>
    </w:pPr>
    <w:r>
      <w:rPr>
        <w:rFonts w:ascii="Arial" w:cs="Arial" w:eastAsia="Arial" w:hAnsi="Arial"/>
        <w:color w:val="5D6D7E"/>
        <w:sz w:val="16"/>
        <w:szCs w:val="16"/>
      </w:rPr>
      <w:t xml:space="preserve">May 2026  ·  Version 1.0	</w:t>
    </w:r>
    <w:r>
      <w:rPr>
        <w:rFonts w:ascii="Arial" w:cs="Arial" w:eastAsia="Arial" w:hAnsi="Arial"/>
        <w:color w:val="5D6D7E"/>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C97" w:sz="4" w:space="4"/>
      </w:pBdr>
      <w:spacing w:after="120" w:before="0"/>
      <w:jc w:val="right"/>
    </w:pPr>
    <w:r>
      <w:rPr>
        <w:rFonts w:ascii="Arial" w:cs="Arial" w:eastAsia="Arial" w:hAnsi="Arial"/>
        <w:color w:val="5D6D7E"/>
        <w:sz w:val="16"/>
        <w:szCs w:val="16"/>
      </w:rPr>
      <w:t xml:space="preserve">3PLZ POC — Test Use Cases &amp; Resourcing Plan   </w:t>
    </w:r>
    <w:r>
      <w:rPr>
        <w:rFonts w:ascii="Arial" w:cs="Arial" w:eastAsia="Arial" w:hAnsi="Arial"/>
        <w:b/>
        <w:bCs/>
        <w:color w:val="5D6D7E"/>
        <w:sz w:val="16"/>
        <w:szCs w:val="16"/>
      </w:rPr>
      <w:t xml:space="preserve">CVS Health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2026-05-11T22:18:27.991Z</dcterms:created>
  <dcterms:modified xsi:type="dcterms:W3CDTF">2026-05-11T22:18:28.007Z</dcterms:modified>
</cp:coreProperties>
</file>

<file path=docProps/custom.xml><?xml version="1.0" encoding="utf-8"?>
<Properties xmlns="http://schemas.openxmlformats.org/officeDocument/2006/custom-properties" xmlns:vt="http://schemas.openxmlformats.org/officeDocument/2006/docPropsVTypes"/>
</file>