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Times New Roman" w:cs="Times New Roman" w:eastAsia="Times New Roman" w:hAnsi="Times New Roman"/>
          <w:b/>
          <w:bCs/>
          <w:sz w:val="32"/>
          <w:szCs w:val="32"/>
        </w:rPr>
        <w:t xml:space="preserve">THIRD-PARTY LANDING ZONE (3PLZ)</w:t>
      </w:r>
    </w:p>
    <w:p>
      <w:pPr>
        <w:spacing w:after="120" w:before="0"/>
        <w:jc w:val="center"/>
      </w:pPr>
      <w:r>
        <w:rPr>
          <w:rFonts w:ascii="Times New Roman" w:cs="Times New Roman" w:eastAsia="Times New Roman" w:hAnsi="Times New Roman"/>
          <w:b w:val="false"/>
          <w:bCs w:val="false"/>
          <w:sz w:val="26"/>
          <w:szCs w:val="26"/>
        </w:rPr>
        <w:t xml:space="preserve">POC Executive Summary</w:t>
      </w:r>
    </w:p>
    <w:p>
      <w:pPr>
        <w:spacing w:after="120" w:before="0"/>
        <w:jc w:val="center"/>
      </w:pPr>
      <w:r>
        <w:rPr>
          <w:rFonts w:ascii="Times New Roman" w:cs="Times New Roman" w:eastAsia="Times New Roman" w:hAnsi="Times New Roman"/>
          <w:b w:val="false"/>
          <w:bCs w:val="false"/>
          <w:sz w:val="22"/>
          <w:szCs w:val="22"/>
        </w:rPr>
        <w:t xml:space="preserve">Functional Overview, Vendor Evaluation, and Test Program</w:t>
      </w:r>
    </w:p>
    <w:p>
      <w:pPr>
        <w:spacing w:after="60" w:before="0"/>
        <w:jc w:val="center"/>
      </w:pPr>
      <w:r>
        <w:rPr>
          <w:rFonts w:ascii="Times New Roman" w:cs="Times New Roman" w:eastAsia="Times New Roman" w:hAnsi="Times New Roman"/>
          <w:b w:val="false"/>
          <w:bCs w:val="false"/>
          <w:sz w:val="22"/>
          <w:szCs w:val="22"/>
        </w:rPr>
        <w:t xml:space="preserve">Michael J. Martin</w:t>
      </w:r>
    </w:p>
    <w:p>
      <w:pPr>
        <w:spacing w:after="60" w:before="0"/>
        <w:jc w:val="center"/>
      </w:pPr>
      <w:r>
        <w:rPr>
          <w:rFonts w:ascii="Times New Roman" w:cs="Times New Roman" w:eastAsia="Times New Roman" w:hAnsi="Times New Roman"/>
          <w:b w:val="false"/>
          <w:bCs w:val="false"/>
          <w:sz w:val="22"/>
          <w:szCs w:val="22"/>
        </w:rPr>
        <w:t xml:space="preserve">Lead Director, Information Security — CVS Health</w:t>
      </w:r>
    </w:p>
    <w:p>
      <w:pPr>
        <w:spacing w:after="60" w:before="0"/>
        <w:jc w:val="center"/>
      </w:pPr>
      <w:r>
        <w:rPr>
          <w:rFonts w:ascii="Times New Roman" w:cs="Times New Roman" w:eastAsia="Times New Roman" w:hAnsi="Times New Roman"/>
          <w:b w:val="false"/>
          <w:bCs w:val="false"/>
          <w:sz w:val="20"/>
          <w:szCs w:val="20"/>
        </w:rPr>
        <w:t xml:space="preserve">Version 1.0  ·  May 2026</w:t>
      </w:r>
    </w:p>
    <w:p>
      <w:pPr>
        <w:spacing w:after="60" w:before="0"/>
        <w:jc w:val="center"/>
      </w:pPr>
      <w:r>
        <w:rPr>
          <w:rFonts w:ascii="Times New Roman" w:cs="Times New Roman" w:eastAsia="Times New Roman" w:hAnsi="Times New Roman"/>
          <w:b w:val="false"/>
          <w:bCs w:val="false"/>
          <w:sz w:val="20"/>
          <w:szCs w:val="20"/>
        </w:rPr>
        <w:t xml:space="preserve">CVS Health Internal — Engineering and Leadership Distribution</w:t>
      </w:r>
    </w:p>
    <w:p>
      <w:pPr>
        <w:spacing w:after="0" w:before="0"/>
        <w:jc w:val="center"/>
      </w:pPr>
      <w:r>
        <w:rPr>
          <w:rFonts w:ascii="Times New Roman" w:cs="Times New Roman" w:eastAsia="Times New Roman" w:hAnsi="Times New Roman"/>
          <w:b w:val="false"/>
          <w:bCs w:val="false"/>
          <w:sz w:val="20"/>
          <w:szCs w:val="20"/>
        </w:rPr>
        <w:t xml:space="preserve">Keywords: Third-Party Landing Zone, 3PLZ, Zero Trust, mTLS, IPSec, Tenant Isolation,</w:t>
      </w:r>
    </w:p>
    <w:p>
      <w:pPr>
        <w:spacing w:after="180" w:before="0"/>
        <w:jc w:val="center"/>
      </w:pPr>
      <w:r>
        <w:rPr>
          <w:rFonts w:ascii="Times New Roman" w:cs="Times New Roman" w:eastAsia="Times New Roman" w:hAnsi="Times New Roman"/>
          <w:b w:val="false"/>
          <w:bCs w:val="false"/>
          <w:sz w:val="20"/>
          <w:szCs w:val="20"/>
        </w:rPr>
        <w:t xml:space="preserve">Palo Alto NGFW, DLP, Threat Prevention, F5, Cloudflare, CR-07</w:t>
      </w:r>
    </w:p>
    <w:p>
      <w:pPr>
        <w:spacing w:after="120" w:before="0"/>
        <w:jc w:val="center"/>
      </w:pPr>
      <w:r>
        <w:rPr>
          <w:rFonts w:ascii="Times New Roman" w:cs="Times New Roman" w:eastAsia="Times New Roman" w:hAnsi="Times New Roman"/>
          <w:b/>
          <w:bCs/>
          <w:sz w:val="22"/>
          <w:szCs w:val="22"/>
        </w:rPr>
        <w:t xml:space="preserve">Abstract</w:t>
      </w:r>
    </w:p>
    <w:p>
      <w:pPr>
        <w:spacing w:after="120" w:before="0" w:line="276" w:lineRule="exact"/>
        <w:ind w:left="360" w:right="360"/>
        <w:jc w:val="both"/>
      </w:pPr>
      <w:r>
        <w:rPr>
          <w:rFonts w:ascii="Times New Roman" w:cs="Times New Roman" w:eastAsia="Times New Roman" w:hAnsi="Times New Roman"/>
          <w:sz w:val="20"/>
          <w:szCs w:val="20"/>
        </w:rPr>
        <w:t xml:space="preserve">The Third-Party Landing Zone (3PLZ) program establishes a governed, per-tenant secure access model for CVS Health's third-party partner connectivity. Where conventional partner integration relies on point-to-point VPN tunnels with inconsistent inspection and no structural isolation between partners, 3PLZ interposes a mandatory mediation layer: each partner occupies a routing-isolated tenant, all traffic transits a bidirectional TLS and SSH inspection plane, and tenant lifecycle is a defined, API-driven workflow with tested zero-residual-state offboarding.</w:t>
      </w:r>
    </w:p>
    <w:p>
      <w:pPr>
        <w:spacing w:after="120" w:before="0" w:line="276" w:lineRule="exact"/>
        <w:ind w:left="360" w:right="360"/>
        <w:jc w:val="both"/>
      </w:pPr>
      <w:r>
        <w:rPr>
          <w:rFonts w:ascii="Times New Roman" w:cs="Times New Roman" w:eastAsia="Times New Roman" w:hAnsi="Times New Roman"/>
          <w:sz w:val="20"/>
          <w:szCs w:val="20"/>
        </w:rPr>
        <w:t xml:space="preserve">This document summarizes the 3PLZ POC program: the structural problem it addresses, the architecture model, the vendor evaluation framework, the seven capability requirements under evaluation (CR-01 through CR-07), the four-layer test program structure, and the three-environment test topology that exercises all requirements in both Partner-to-Enterprise and Enterprise-to-Partner directions. The POC evaluates F5 Distributed Cloud and Cloudflare as candidate platforms. The POC completion gate is July 30, 2026; platform selection is targeted for mid-October 2026.</w:t>
      </w:r>
    </w:p>
    <w:p>
      <w:pPr>
        <w:spacing w:after="0" w:before="0"/>
      </w:pPr>
      <w:r>
        <w:br w:type="page"/>
      </w:r>
    </w:p>
    <w:p>
      <w:pPr>
        <w:pStyle w:val="Heading1"/>
        <w:spacing w:after="160" w:before="360" w:line="276" w:lineRule="exact"/>
        <w:jc w:val="left"/>
      </w:pPr>
      <w:r>
        <w:rPr>
          <w:rFonts w:ascii="Times New Roman" w:cs="Times New Roman" w:eastAsia="Times New Roman" w:hAnsi="Times New Roman"/>
          <w:b/>
          <w:bCs/>
          <w:sz w:val="26"/>
          <w:szCs w:val="26"/>
        </w:rPr>
        <w:t xml:space="preserve">1. PROGRAM BACKGROUND AND PURPOSE</w:t>
      </w:r>
    </w:p>
    <w:p>
      <w:pPr>
        <w:spacing w:after="120" w:before="0" w:line="276" w:lineRule="exact"/>
        <w:jc w:val="both"/>
      </w:pPr>
      <w:r>
        <w:rPr>
          <w:rFonts w:ascii="Times New Roman" w:cs="Times New Roman" w:eastAsia="Times New Roman" w:hAnsi="Times New Roman"/>
          <w:sz w:val="22"/>
          <w:szCs w:val="22"/>
        </w:rPr>
        <w:t xml:space="preserve">The conventional model for third-party connectivity at enterprise scale is bilateral and accumulative: each partner relationship produces a VPN tunnel, a set of firewall rules, and an informal understanding of what the partner is permitted to do once connected. Over years, this topology accumulates into an ungoverned mesh of point-to-point agreements with no structural guarantee of inter-partner isolation, no consistent inspection baseline, and no defined lifecycle for terminating access when a partner relationship ends.</w:t>
      </w:r>
    </w:p>
    <w:p>
      <w:pPr>
        <w:spacing w:after="120" w:before="0" w:line="276" w:lineRule="exact"/>
        <w:jc w:val="both"/>
      </w:pPr>
      <w:r>
        <w:rPr>
          <w:rFonts w:ascii="Times New Roman" w:cs="Times New Roman" w:eastAsia="Times New Roman" w:hAnsi="Times New Roman"/>
          <w:sz w:val="22"/>
          <w:szCs w:val="22"/>
        </w:rPr>
        <w:t xml:space="preserve">CVS Health's post-acquisition network estate amplifies this problem substantially. Integration of Caremark, Omnicare, Aetna, Oak Street Health, and more than a dozen other platforms has produced a heterogeneous environment spanning multiple overlapping RFC 1918 address domains and partner relationships of widely varying age and governance maturity. Third-party access requests arrive across organizational boundaries that do not share tooling, naming conventions, or traffic inspection standards.</w:t>
      </w:r>
    </w:p>
    <w:p>
      <w:pPr>
        <w:spacing w:after="120" w:before="0" w:line="276" w:lineRule="exact"/>
        <w:jc w:val="both"/>
      </w:pPr>
      <w:r>
        <w:rPr>
          <w:rFonts w:ascii="Times New Roman" w:cs="Times New Roman" w:eastAsia="Times New Roman" w:hAnsi="Times New Roman"/>
          <w:sz w:val="22"/>
          <w:szCs w:val="22"/>
        </w:rPr>
        <w:t xml:space="preserve">The Third-Party Landing Zone addresses this structurally rather than procedurally. Rather than attempting to normalize existing bilateral agreements, 3PLZ establishes a mediated connectivity model: every partner connects to a routing-isolated tenant, every session transits a managed proxy and inline inspection plane, and every tenant has a defined provisioning and decommissioning lifecycle. The partner obtains no direct routing path to any CVS network resource. CVS exposes no internal addressing to any partner. The 3PLZ platform is the sole path, the sole policy enforcement point, and the complete audit record for all third-party traffic.</w:t>
      </w:r>
    </w:p>
    <w:p>
      <w:pPr>
        <w:pStyle w:val="Heading1"/>
        <w:spacing w:after="160" w:before="360" w:line="276" w:lineRule="exact"/>
        <w:jc w:val="left"/>
      </w:pPr>
      <w:r>
        <w:rPr>
          <w:rFonts w:ascii="Times New Roman" w:cs="Times New Roman" w:eastAsia="Times New Roman" w:hAnsi="Times New Roman"/>
          <w:b/>
          <w:bCs/>
          <w:sz w:val="26"/>
          <w:szCs w:val="26"/>
        </w:rPr>
        <w:t xml:space="preserve">2. 3PLZ ARCHITECTURE OVERVIEW</w:t>
      </w:r>
    </w:p>
    <w:p>
      <w:pPr>
        <w:pStyle w:val="Heading2"/>
        <w:spacing w:after="120" w:before="280" w:line="276" w:lineRule="exact"/>
        <w:jc w:val="left"/>
      </w:pPr>
      <w:r>
        <w:rPr>
          <w:rFonts w:ascii="Times New Roman" w:cs="Times New Roman" w:eastAsia="Times New Roman" w:hAnsi="Times New Roman"/>
          <w:b/>
          <w:bCs/>
          <w:sz w:val="22"/>
          <w:szCs w:val="22"/>
        </w:rPr>
        <w:t xml:space="preserve">2.1  The Tenant Model</w:t>
      </w:r>
    </w:p>
    <w:p>
      <w:pPr>
        <w:spacing w:after="120" w:before="0" w:line="276" w:lineRule="exact"/>
        <w:jc w:val="both"/>
      </w:pPr>
      <w:r>
        <w:rPr>
          <w:rFonts w:ascii="Times New Roman" w:cs="Times New Roman" w:eastAsia="Times New Roman" w:hAnsi="Times New Roman"/>
          <w:sz w:val="22"/>
          <w:szCs w:val="22"/>
        </w:rPr>
        <w:t xml:space="preserve">Each third-party partner occupies a distinct 3PLZ tenant. The tenant is the unit of routing isolation, security policy, audit, and lifecycle. Tenant routing isolation is structural: separate Virtual Routing and Forwarding (VRF) domains at the platform level mean that a cross-partner routing path does not exist regardless of policy configuration. A misconfigured rule cannot create a cross-tenant reachability condition because no route exists to forward on.</w:t>
      </w:r>
    </w:p>
    <w:p>
      <w:pPr>
        <w:spacing w:after="120" w:before="0" w:line="276" w:lineRule="exact"/>
        <w:jc w:val="both"/>
      </w:pPr>
      <w:r>
        <w:rPr>
          <w:rFonts w:ascii="Times New Roman" w:cs="Times New Roman" w:eastAsia="Times New Roman" w:hAnsi="Times New Roman"/>
          <w:sz w:val="22"/>
          <w:szCs w:val="22"/>
        </w:rPr>
        <w:t xml:space="preserve">Tenant provisioning is a defined, API-driven workflow (EW-01 through EW-05). Tenant offboarding is tested against a zero-residual-state acceptance criterion: no routing entries survive, no certificate authority residue persists, no audit stream contamination occurs, and no formerly-served endpoint remains reachable from the decommissioned tenant context.</w:t>
      </w:r>
    </w:p>
    <w:p>
      <w:pPr>
        <w:pStyle w:val="Heading2"/>
        <w:spacing w:after="120" w:before="280" w:line="276" w:lineRule="exact"/>
        <w:jc w:val="left"/>
      </w:pPr>
      <w:r>
        <w:rPr>
          <w:rFonts w:ascii="Times New Roman" w:cs="Times New Roman" w:eastAsia="Times New Roman" w:hAnsi="Times New Roman"/>
          <w:b/>
          <w:bCs/>
          <w:sz w:val="22"/>
          <w:szCs w:val="22"/>
        </w:rPr>
        <w:t xml:space="preserve">2.2  Connectivity Model</w:t>
      </w:r>
    </w:p>
    <w:p>
      <w:pPr>
        <w:spacing w:after="120" w:before="0" w:line="276" w:lineRule="exact"/>
        <w:jc w:val="both"/>
      </w:pPr>
      <w:r>
        <w:rPr>
          <w:rFonts w:ascii="Times New Roman" w:cs="Times New Roman" w:eastAsia="Times New Roman" w:hAnsi="Times New Roman"/>
          <w:sz w:val="22"/>
          <w:szCs w:val="22"/>
        </w:rPr>
        <w:t xml:space="preserve">Partner connectivity into the 3PLZ platform uses IPSec IKEv2 VTI tunnels, terminating on a Palo Alto Strata Next-Generation Firewall that implements a four-zone, per-partner Virtual Router architecture. IKEv2 negotiation (UDP/500 and UDP/4500) terminates in the Internet (untrust) zone. Decapsulated partner traffic emerges in a dedicated per-partner zone — P1-Zone for Partner-ABC and P2-Zone for Partner-XYZ — each with an isolated Virtual Router. Security policy governs transit from each partner zone to the 3PLZ DMZ (Trust) zone. No direct routing path exists between partner zones, or from any partner zone to the CVS enterprise network outside the mediation plane.</w:t>
      </w:r>
    </w:p>
    <w:p>
      <w:pPr>
        <w:pStyle w:val="Heading2"/>
        <w:spacing w:after="120" w:before="280" w:line="276" w:lineRule="exact"/>
        <w:jc w:val="left"/>
      </w:pPr>
      <w:r>
        <w:rPr>
          <w:rFonts w:ascii="Times New Roman" w:cs="Times New Roman" w:eastAsia="Times New Roman" w:hAnsi="Times New Roman"/>
          <w:b/>
          <w:bCs/>
          <w:sz w:val="22"/>
          <w:szCs w:val="22"/>
        </w:rPr>
        <w:t xml:space="preserve">2.3  Translation and Proxy Services</w:t>
      </w:r>
    </w:p>
    <w:p>
      <w:pPr>
        <w:spacing w:after="120" w:before="0" w:line="276" w:lineRule="exact"/>
        <w:jc w:val="both"/>
      </w:pPr>
      <w:r>
        <w:rPr>
          <w:rFonts w:ascii="Times New Roman" w:cs="Times New Roman" w:eastAsia="Times New Roman" w:hAnsi="Times New Roman"/>
          <w:sz w:val="22"/>
          <w:szCs w:val="22"/>
        </w:rPr>
        <w:t xml:space="preserve">The 3PLZ platform provides two modes of bidirectional L3 translation to abstract partner addressing from enterprise addressing:</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Dual-Proxy mode: the platform terminates the inbound partner session at an application proxy, conducts TLS or SSH inspection, validates session identity and credentials, and initiates a separate session to the enterprise endpoint under a 3PLZ-managed internal identity. Neither endpoint has visibility into the other's real network address or credential set.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SNAT-to-SNAT mode: source NAT is applied in both directions, presenting a 3PLZ-managed address to both the partner and the enterprise. Used for protocols that do not support application-layer proxy termination. Bidirectional connection state is maintained in the firewall NAT policy.</w:t>
      </w:r>
    </w:p>
    <w:p>
      <w:pPr>
        <w:spacing w:after="120" w:before="0" w:line="276" w:lineRule="exact"/>
        <w:jc w:val="both"/>
      </w:pPr>
      <w:r>
        <w:rPr>
          <w:rFonts w:ascii="Times New Roman" w:cs="Times New Roman" w:eastAsia="Times New Roman" w:hAnsi="Times New Roman"/>
          <w:sz w:val="22"/>
          <w:szCs w:val="22"/>
        </w:rPr>
        <w:t xml:space="preserve">Both modes enforce the key-custody boundary: TLS session keys remain at the 3PLZ platform. The downstream inspection appliance receives decrypted payload, not session key material.</w:t>
      </w:r>
    </w:p>
    <w:p>
      <w:pPr>
        <w:pStyle w:val="Heading2"/>
        <w:spacing w:after="120" w:before="280" w:line="276" w:lineRule="exact"/>
        <w:jc w:val="left"/>
      </w:pPr>
      <w:r>
        <w:rPr>
          <w:rFonts w:ascii="Times New Roman" w:cs="Times New Roman" w:eastAsia="Times New Roman" w:hAnsi="Times New Roman"/>
          <w:b/>
          <w:bCs/>
          <w:sz w:val="22"/>
          <w:szCs w:val="22"/>
        </w:rPr>
        <w:t xml:space="preserve">2.4  Inspection Plane</w:t>
      </w:r>
    </w:p>
    <w:p>
      <w:pPr>
        <w:spacing w:after="120" w:before="0" w:line="276" w:lineRule="exact"/>
        <w:jc w:val="both"/>
      </w:pPr>
      <w:r>
        <w:rPr>
          <w:rFonts w:ascii="Times New Roman" w:cs="Times New Roman" w:eastAsia="Times New Roman" w:hAnsi="Times New Roman"/>
          <w:sz w:val="22"/>
          <w:szCs w:val="22"/>
        </w:rPr>
        <w:t xml:space="preserve">A mandatory inline inspection plane is interposed between the partner-side and enterprise-side of every 3PLZ session. In the POC reference design, the inspection plane is a Palo Alto VM-Series Next-Generation Firewall with per-tenant vsys isolation, implementing DLP and Threat Prevention profiles against decrypted in-flight traffic for both TLS and SSH sessions. The 3PLZ platform's traffic-steering primitive delivers per-tenant decrypted traffic to the per-tenant inspection container; key custody remains at the 3PLZ platform.</w:t>
      </w:r>
    </w:p>
    <w:p>
      <w:pPr>
        <w:spacing w:after="120" w:before="0" w:line="276" w:lineRule="exact"/>
        <w:jc w:val="both"/>
      </w:pPr>
      <w:r>
        <w:rPr>
          <w:rFonts w:ascii="Times New Roman" w:cs="Times New Roman" w:eastAsia="Times New Roman" w:hAnsi="Times New Roman"/>
          <w:sz w:val="22"/>
          <w:szCs w:val="22"/>
        </w:rPr>
        <w:t xml:space="preserve">The inspection plane is operationalized as Capability Requirement CR-07. The POC validates the platform's ability to deliver the steering contract and the plumbing it requires — it does not evaluate detection efficacy, signature coverage, or the product capability of the inspection appliance. DLP product selection and policy tuning are a separate program.</w:t>
      </w:r>
    </w:p>
    <w:p>
      <w:pPr>
        <w:pStyle w:val="Heading1"/>
        <w:spacing w:after="160" w:before="360" w:line="276" w:lineRule="exact"/>
        <w:jc w:val="left"/>
      </w:pPr>
      <w:r>
        <w:rPr>
          <w:rFonts w:ascii="Times New Roman" w:cs="Times New Roman" w:eastAsia="Times New Roman" w:hAnsi="Times New Roman"/>
          <w:b/>
          <w:bCs/>
          <w:sz w:val="26"/>
          <w:szCs w:val="26"/>
        </w:rPr>
        <w:t xml:space="preserve">3. VENDOR EVALUATION FRAMEWORK</w:t>
      </w:r>
    </w:p>
    <w:p>
      <w:pPr>
        <w:pStyle w:val="Heading2"/>
        <w:spacing w:after="120" w:before="280" w:line="276" w:lineRule="exact"/>
        <w:jc w:val="left"/>
      </w:pPr>
      <w:r>
        <w:rPr>
          <w:rFonts w:ascii="Times New Roman" w:cs="Times New Roman" w:eastAsia="Times New Roman" w:hAnsi="Times New Roman"/>
          <w:b/>
          <w:bCs/>
          <w:sz w:val="22"/>
          <w:szCs w:val="22"/>
        </w:rPr>
        <w:t xml:space="preserve">3.1  Candidate Platforms</w:t>
      </w:r>
    </w:p>
    <w:p>
      <w:pPr>
        <w:spacing w:after="120" w:before="0" w:line="276" w:lineRule="exact"/>
        <w:jc w:val="both"/>
      </w:pPr>
      <w:r>
        <w:rPr>
          <w:rFonts w:ascii="Times New Roman" w:cs="Times New Roman" w:eastAsia="Times New Roman" w:hAnsi="Times New Roman"/>
          <w:sz w:val="22"/>
          <w:szCs w:val="22"/>
        </w:rPr>
        <w:t xml:space="preserve">Two vendor platforms are under evaluation in the POC: F5 Distributed Cloud and Cloudflare.</w:t>
      </w:r>
    </w:p>
    <w:p>
      <w:pPr>
        <w:spacing w:after="120" w:before="0" w:line="276" w:lineRule="exact"/>
        <w:jc w:val="both"/>
      </w:pPr>
      <w:r>
        <w:rPr>
          <w:rFonts w:ascii="Times New Roman" w:cs="Times New Roman" w:eastAsia="Times New Roman" w:hAnsi="Times New Roman"/>
          <w:sz w:val="22"/>
          <w:szCs w:val="22"/>
        </w:rPr>
        <w:t xml:space="preserve">F5 Distributed Cloud realizes the 3PLZ model via Customer Edge (CE) clusters that terminate partner IPSec tunnels, apply per-tenant SSL/TLS proxy profiles with service-policy chains for inspection steering, and expose a declarative API for tenant lifecycle management. All primitives required by CR-01 through CR-07 are first-class XC platform features; integration risk is rated low for all capability requirements.</w:t>
      </w:r>
    </w:p>
    <w:p>
      <w:pPr>
        <w:spacing w:after="120" w:before="0" w:line="276" w:lineRule="exact"/>
        <w:jc w:val="both"/>
      </w:pPr>
      <w:r>
        <w:rPr>
          <w:rFonts w:ascii="Times New Roman" w:cs="Times New Roman" w:eastAsia="Times New Roman" w:hAnsi="Times New Roman"/>
          <w:sz w:val="22"/>
          <w:szCs w:val="22"/>
        </w:rPr>
        <w:t xml:space="preserve">Cloudflare realizes the model via Magic WAN on-ramps for IPSec termination and the Zero Trust access fabric for session mediation. Per-tenant inspection steering (CR-07) has no first-class native post-decryption steering primitive in the Cloudflare architecture. The integrator is required to propose and demonstrate one of three candidate realizations — GENEVE encapsulation via Magic Network, sub-tenant Workers, or a customer-operated Magic WAN on-ramp — at the May 25 kickoff workshop. CR-07 is flagged as the second-highest structural risk for Cloudflare in the POC Deliverables document.</w:t>
      </w:r>
    </w:p>
    <w:p>
      <w:pPr>
        <w:pStyle w:val="Heading2"/>
        <w:spacing w:after="120" w:before="280" w:line="276" w:lineRule="exact"/>
        <w:jc w:val="left"/>
      </w:pPr>
      <w:r>
        <w:rPr>
          <w:rFonts w:ascii="Times New Roman" w:cs="Times New Roman" w:eastAsia="Times New Roman" w:hAnsi="Times New Roman"/>
          <w:b/>
          <w:bCs/>
          <w:sz w:val="22"/>
          <w:szCs w:val="22"/>
        </w:rPr>
        <w:t xml:space="preserve">3.2  Capability Requirement Scoring</w:t>
      </w:r>
    </w:p>
    <w:p>
      <w:pPr>
        <w:spacing w:after="80" w:before="120"/>
        <w:jc w:val="center"/>
      </w:pPr>
      <w:r>
        <w:rPr>
          <w:rFonts w:ascii="Times New Roman" w:cs="Times New Roman" w:eastAsia="Times New Roman" w:hAnsi="Times New Roman"/>
          <w:sz w:val="20"/>
          <w:szCs w:val="20"/>
        </w:rPr>
        <w:t xml:space="preserve">Table 1. Capability Requirement Weights and Risk Ratings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600"/>
        <w:gridCol w:w="22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Weight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mTLS CA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Highest — structural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Managed Access with Credential Vaulting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session termination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DNS Rewriting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isolation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Lifecycle: Provisioning and Offboarding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residual state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Multi-Tenant Isolation at Scale (5 tenants)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 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composition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Governed Access (Enterprise to Partner)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outbound coverage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Third-Party Inline Inspection Plumbing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 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Cloudflare structural gap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Engineering Workflows (self-service API readiness)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 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September 30 dependency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Total</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100%</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3.3  Structural Risk Summary</w:t>
      </w:r>
    </w:p>
    <w:p>
      <w:pPr>
        <w:spacing w:after="120" w:before="0" w:line="276" w:lineRule="exact"/>
        <w:jc w:val="both"/>
      </w:pPr>
      <w:r>
        <w:rPr>
          <w:rFonts w:ascii="Times New Roman" w:cs="Times New Roman" w:eastAsia="Times New Roman" w:hAnsi="Times New Roman"/>
          <w:sz w:val="22"/>
          <w:szCs w:val="22"/>
        </w:rPr>
        <w:t xml:space="preserve">CR-01 (per-tenant mTLS CA isolation) is the highest structural risk for both vendors. Tenant certificate authority isolation is the foundation of the per-tenant model: if a cross-tenant CA validation path exists, the isolation model is architectural fiction regardless of all other controls. CR-01 is tested with an adversarial battery in Layer 3 — chain manipulation, SAN overlap, and shared-root pivot — because the failure mode is structural, not operational.</w:t>
      </w:r>
    </w:p>
    <w:p>
      <w:pPr>
        <w:spacing w:after="120" w:before="0" w:line="276" w:lineRule="exact"/>
        <w:jc w:val="both"/>
      </w:pPr>
      <w:r>
        <w:rPr>
          <w:rFonts w:ascii="Times New Roman" w:cs="Times New Roman" w:eastAsia="Times New Roman" w:hAnsi="Times New Roman"/>
          <w:sz w:val="22"/>
          <w:szCs w:val="22"/>
        </w:rPr>
        <w:t xml:space="preserve">CR-07 (inspection plane plumbing) is the second-highest structural risk specifically for Cloudflare. The absence of a first-class post-decryption steering primitive in the Cloudflare architecture requires a custom integrator solution. The evaluator cannot pre-validate the approach because the integrator's realization is not named until the kickoff workshop. This uncertainty is reflected in the risk rating and in the explicit CR-07 structural-gap commentary in the Cloudflare POC Deliverables document.</w:t>
      </w:r>
    </w:p>
    <w:p>
      <w:pPr>
        <w:pStyle w:val="Heading1"/>
        <w:spacing w:after="160" w:before="360" w:line="276" w:lineRule="exact"/>
        <w:jc w:val="left"/>
      </w:pPr>
      <w:r>
        <w:rPr>
          <w:rFonts w:ascii="Times New Roman" w:cs="Times New Roman" w:eastAsia="Times New Roman" w:hAnsi="Times New Roman"/>
          <w:b/>
          <w:bCs/>
          <w:sz w:val="26"/>
          <w:szCs w:val="26"/>
        </w:rPr>
        <w:t xml:space="preserve">4. CAPABILITY REQUIREMENTS</w:t>
      </w:r>
    </w:p>
    <w:p>
      <w:pPr>
        <w:pStyle w:val="Heading2"/>
        <w:spacing w:after="120" w:before="280" w:line="276" w:lineRule="exact"/>
        <w:jc w:val="left"/>
      </w:pPr>
      <w:r>
        <w:rPr>
          <w:rFonts w:ascii="Times New Roman" w:cs="Times New Roman" w:eastAsia="Times New Roman" w:hAnsi="Times New Roman"/>
          <w:b/>
          <w:bCs/>
          <w:sz w:val="22"/>
          <w:szCs w:val="22"/>
        </w:rPr>
        <w:t xml:space="preserve">4.1  CR-01 — Per-Tenant mTLS CA Isolation (23%)</w:t>
      </w:r>
    </w:p>
    <w:p>
      <w:pPr>
        <w:spacing w:after="120" w:before="0" w:line="276" w:lineRule="exact"/>
        <w:jc w:val="both"/>
      </w:pPr>
      <w:r>
        <w:rPr>
          <w:rFonts w:ascii="Times New Roman" w:cs="Times New Roman" w:eastAsia="Times New Roman" w:hAnsi="Times New Roman"/>
          <w:sz w:val="22"/>
          <w:szCs w:val="22"/>
        </w:rPr>
        <w:t xml:space="preserve">Each 3PLZ tenant is issued an independent intermediate certificate authority. A partner certificate issued by Tenant A's CA must be rejected at the Tenant B proxy listener at the trust-validation layer — not at policy evaluation or SNI routing. This distinction is the test: structural rejection means the platform cryptographically cannot accept the certificate, regardless of any policy path that might otherwise permit it. Certificate revocation is enforced via CRL and OCSP within the platform's stated cache window. Bidirectional mTLS coverage includes both partner-initiated inbound sessions and CVS-initiated outbound sessions where CVS presents a client certificate to the declared third-party endpoint.</w:t>
      </w:r>
    </w:p>
    <w:p>
      <w:pPr>
        <w:pStyle w:val="Heading2"/>
        <w:spacing w:after="120" w:before="280" w:line="276" w:lineRule="exact"/>
        <w:jc w:val="left"/>
      </w:pPr>
      <w:r>
        <w:rPr>
          <w:rFonts w:ascii="Times New Roman" w:cs="Times New Roman" w:eastAsia="Times New Roman" w:hAnsi="Times New Roman"/>
          <w:b/>
          <w:bCs/>
          <w:sz w:val="22"/>
          <w:szCs w:val="22"/>
        </w:rPr>
        <w:t xml:space="preserve">4.2  CR-02 — SSH Managed Access with Credential Vaulting (18%)</w:t>
      </w:r>
    </w:p>
    <w:p>
      <w:pPr>
        <w:spacing w:after="120" w:before="0" w:line="276" w:lineRule="exact"/>
        <w:jc w:val="both"/>
      </w:pPr>
      <w:r>
        <w:rPr>
          <w:rFonts w:ascii="Times New Roman" w:cs="Times New Roman" w:eastAsia="Times New Roman" w:hAnsi="Times New Roman"/>
          <w:sz w:val="22"/>
          <w:szCs w:val="22"/>
        </w:rPr>
        <w:t xml:space="preserve">Inbound and outbound SSH sessions are fully terminated at the 3PLZ platform — not passed through as TCP streams. Partners authenticate via email identity and TOTP. The platform retrieves vault-resident internal credentials and injects them into the proxied backend connection; the partner session has no mechanism to observe or extract those credentials. Per-host ACL enforcement is validated: a user authorized for SSH Host A must be denied at SSH Host B. The adversarial test confirms TCP passthrough is prohibited by verifying that the backend SSH daemon sees a platform-internal source IP, not the partner IP, and that session key material is platform-generated.</w:t>
      </w:r>
    </w:p>
    <w:p>
      <w:pPr>
        <w:pStyle w:val="Heading2"/>
        <w:spacing w:after="120" w:before="280" w:line="276" w:lineRule="exact"/>
        <w:jc w:val="left"/>
      </w:pPr>
      <w:r>
        <w:rPr>
          <w:rFonts w:ascii="Times New Roman" w:cs="Times New Roman" w:eastAsia="Times New Roman" w:hAnsi="Times New Roman"/>
          <w:b/>
          <w:bCs/>
          <w:sz w:val="22"/>
          <w:szCs w:val="22"/>
        </w:rPr>
        <w:t xml:space="preserve">4.3  CR-03 — Per-Tenant DNS Rewriting (10%)</w:t>
      </w:r>
    </w:p>
    <w:p>
      <w:pPr>
        <w:spacing w:after="120" w:before="0" w:line="276" w:lineRule="exact"/>
        <w:jc w:val="both"/>
      </w:pPr>
      <w:r>
        <w:rPr>
          <w:rFonts w:ascii="Times New Roman" w:cs="Times New Roman" w:eastAsia="Times New Roman" w:hAnsi="Times New Roman"/>
          <w:sz w:val="22"/>
          <w:szCs w:val="22"/>
        </w:rPr>
        <w:t xml:space="preserve">Internal application FQDNs presented to a partner-side DNS query must resolve to the tenant's SNAT inbound VIP — never to the real internal IP. Each tenant has a structurally dedicated DNS listener (VIP), not a shared listener with policy separation. Cross-tenant DNS disclosure is tested adversarially: a DNS query issued within Tenant A's context for a name declared only in Tenant B's catalog must return NXDOMAIN, not Tenant B's VIP.</w:t>
      </w:r>
    </w:p>
    <w:p>
      <w:pPr>
        <w:pStyle w:val="Heading2"/>
        <w:spacing w:after="120" w:before="280" w:line="276" w:lineRule="exact"/>
        <w:jc w:val="left"/>
      </w:pPr>
      <w:r>
        <w:rPr>
          <w:rFonts w:ascii="Times New Roman" w:cs="Times New Roman" w:eastAsia="Times New Roman" w:hAnsi="Times New Roman"/>
          <w:b/>
          <w:bCs/>
          <w:sz w:val="22"/>
          <w:szCs w:val="22"/>
        </w:rPr>
        <w:t xml:space="preserve">4.4  CR-04 — Tenant Lifecycle: Provisioning and Offboarding (18%)</w:t>
      </w:r>
    </w:p>
    <w:p>
      <w:pPr>
        <w:spacing w:after="120" w:before="0" w:line="276" w:lineRule="exact"/>
        <w:jc w:val="both"/>
      </w:pPr>
      <w:r>
        <w:rPr>
          <w:rFonts w:ascii="Times New Roman" w:cs="Times New Roman" w:eastAsia="Times New Roman" w:hAnsi="Times New Roman"/>
          <w:sz w:val="22"/>
          <w:szCs w:val="22"/>
        </w:rPr>
        <w:t xml:space="preserve">Tenant provisioning and offboarding are defined, repeatable, API-driven workflows. The provisioning test confirms the tenant reaches a consistent ACTIVE state with all routing, certificate authority, DNS, and audit constructs in place. The offboarding test — run three times per tenant — confirms zero residual state: formerly-reachable endpoints become unreachable, routing entries are withdrawn, CA state is removed, and audit streams show no post-offboarding events attributed to the decommissioned tenant.</w:t>
      </w:r>
    </w:p>
    <w:p>
      <w:pPr>
        <w:pStyle w:val="Heading2"/>
        <w:spacing w:after="120" w:before="280" w:line="276" w:lineRule="exact"/>
        <w:jc w:val="left"/>
      </w:pPr>
      <w:r>
        <w:rPr>
          <w:rFonts w:ascii="Times New Roman" w:cs="Times New Roman" w:eastAsia="Times New Roman" w:hAnsi="Times New Roman"/>
          <w:b/>
          <w:bCs/>
          <w:sz w:val="22"/>
          <w:szCs w:val="22"/>
        </w:rPr>
        <w:t xml:space="preserve">4.5  CR-05 — Multi-Tenant Isolation at Scale (5%)</w:t>
      </w:r>
    </w:p>
    <w:p>
      <w:pPr>
        <w:spacing w:after="120" w:before="0" w:line="276" w:lineRule="exact"/>
        <w:jc w:val="both"/>
      </w:pPr>
      <w:r>
        <w:rPr>
          <w:rFonts w:ascii="Times New Roman" w:cs="Times New Roman" w:eastAsia="Times New Roman" w:hAnsi="Times New Roman"/>
          <w:sz w:val="22"/>
          <w:szCs w:val="22"/>
        </w:rPr>
        <w:t xml:space="preserve">Five concurrent tenants exercise six cross-tenant attack vectors (mTLS cross-CA, SSH cross-tenant, DNS cross-disclosure, routing cross-tenant, audit cross-contamination, and lifecycle cross-interference) across all 20 ordered tenant pairs. The weight is low because CR-01 is the structural prerequisite; CR-05 verifies that the composition holds when all five tenants are active simultaneously — a condition that single-tenant tests cannot expose.</w:t>
      </w:r>
    </w:p>
    <w:p>
      <w:pPr>
        <w:pStyle w:val="Heading2"/>
        <w:spacing w:after="120" w:before="280" w:line="276" w:lineRule="exact"/>
        <w:jc w:val="left"/>
      </w:pPr>
      <w:r>
        <w:rPr>
          <w:rFonts w:ascii="Times New Roman" w:cs="Times New Roman" w:eastAsia="Times New Roman" w:hAnsi="Times New Roman"/>
          <w:b/>
          <w:bCs/>
          <w:sz w:val="22"/>
          <w:szCs w:val="22"/>
        </w:rPr>
        <w:t xml:space="preserve">4.6  CR-06 — Outbound Governed Access: Enterprise to Partner (10%)</w:t>
      </w:r>
    </w:p>
    <w:p>
      <w:pPr>
        <w:spacing w:after="120" w:before="0" w:line="276" w:lineRule="exact"/>
        <w:jc w:val="both"/>
      </w:pPr>
      <w:r>
        <w:rPr>
          <w:rFonts w:ascii="Times New Roman" w:cs="Times New Roman" w:eastAsia="Times New Roman" w:hAnsi="Times New Roman"/>
          <w:sz w:val="22"/>
          <w:szCs w:val="22"/>
        </w:rPr>
        <w:t xml:space="preserve">CVS-initiated sessions to declared third-party endpoints transit the same mediation and inspection plane as inbound partner sessions. Undeclared destinations are blocked at the platform. CVS client certificates are presented to the third-party endpoint as configured. The test confirms that the outbound path is not a policy exception or a configuration workaround — it is a first-class governed access mode with the same audit, inspection, and credential enforcement as the inbound path.</w:t>
      </w:r>
    </w:p>
    <w:p>
      <w:pPr>
        <w:pStyle w:val="Heading2"/>
        <w:spacing w:after="120" w:before="280" w:line="276" w:lineRule="exact"/>
        <w:jc w:val="left"/>
      </w:pPr>
      <w:r>
        <w:rPr>
          <w:rFonts w:ascii="Times New Roman" w:cs="Times New Roman" w:eastAsia="Times New Roman" w:hAnsi="Times New Roman"/>
          <w:b/>
          <w:bCs/>
          <w:sz w:val="22"/>
          <w:szCs w:val="22"/>
        </w:rPr>
        <w:t xml:space="preserve">4.7  CR-07 — Third-Party Inline Inspection Plumbing (8%)</w:t>
      </w:r>
    </w:p>
    <w:p>
      <w:pPr>
        <w:spacing w:after="120" w:before="0" w:line="276" w:lineRule="exact"/>
        <w:jc w:val="both"/>
      </w:pPr>
      <w:r>
        <w:rPr>
          <w:rFonts w:ascii="Times New Roman" w:cs="Times New Roman" w:eastAsia="Times New Roman" w:hAnsi="Times New Roman"/>
          <w:sz w:val="22"/>
          <w:szCs w:val="22"/>
        </w:rPr>
        <w:t xml:space="preserve">The vendor edge platform must deliver a per-tenant traffic-steering primitive that routes decrypted in-flight traffic — both TLS and SSH — to a CVS-designated per-tenant inspection container. Key custody remains at the vendor edge; the inspection appliance receives plaintext payload only. A per-tenant decrypt-exclusion list is supported. Failure semantics are configurable per tenant per direction; fail-closed (traffic blocked when the inspection appliance is unreachable) is the POC acceptance default. Vendor edge and inspection appliance must emit correlated audit records keyed to a shared per-session correlation ID, with a harness join-rate threshold of 99%. CR-07 is plumbing-only: the harness does not evaluate detection accuracy, signature coverage, or inspection appliance product capability.</w:t>
      </w:r>
    </w:p>
    <w:p>
      <w:pPr>
        <w:pStyle w:val="Heading1"/>
        <w:spacing w:after="160" w:before="360" w:line="276" w:lineRule="exact"/>
        <w:jc w:val="left"/>
      </w:pPr>
      <w:r>
        <w:rPr>
          <w:rFonts w:ascii="Times New Roman" w:cs="Times New Roman" w:eastAsia="Times New Roman" w:hAnsi="Times New Roman"/>
          <w:b/>
          <w:bCs/>
          <w:sz w:val="26"/>
          <w:szCs w:val="26"/>
        </w:rPr>
        <w:t xml:space="preserve">5. TEST PROGRAM OVERVIEW</w:t>
      </w:r>
    </w:p>
    <w:p>
      <w:pPr>
        <w:pStyle w:val="Heading2"/>
        <w:spacing w:after="120" w:before="280" w:line="276" w:lineRule="exact"/>
        <w:jc w:val="left"/>
      </w:pPr>
      <w:r>
        <w:rPr>
          <w:rFonts w:ascii="Times New Roman" w:cs="Times New Roman" w:eastAsia="Times New Roman" w:hAnsi="Times New Roman"/>
          <w:b/>
          <w:bCs/>
          <w:sz w:val="22"/>
          <w:szCs w:val="22"/>
        </w:rPr>
        <w:t xml:space="preserve">5.1  Test Layer Structure</w:t>
      </w:r>
    </w:p>
    <w:p>
      <w:pPr>
        <w:spacing w:after="120" w:before="0" w:line="276" w:lineRule="exact"/>
        <w:jc w:val="both"/>
      </w:pPr>
      <w:r>
        <w:rPr>
          <w:rFonts w:ascii="Times New Roman" w:cs="Times New Roman" w:eastAsia="Times New Roman" w:hAnsi="Times New Roman"/>
          <w:sz w:val="22"/>
          <w:szCs w:val="22"/>
        </w:rPr>
        <w:t xml:space="preserve">Tests are organized in four sequenced layers enforced as pass gates, with an inspection-plane subset that runs between Layer 1 and Layer 2. Each layer must achieve its pass gate before the next layer begins.</w:t>
      </w:r>
    </w:p>
    <w:p>
      <w:pPr>
        <w:spacing w:after="80" w:before="120"/>
        <w:jc w:val="center"/>
      </w:pPr>
      <w:r>
        <w:rPr>
          <w:rFonts w:ascii="Times New Roman" w:cs="Times New Roman" w:eastAsia="Times New Roman" w:hAnsi="Times New Roman"/>
          <w:sz w:val="20"/>
          <w:szCs w:val="20"/>
        </w:rPr>
        <w:t xml:space="preserve">Table 2. Test Layer Structure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900"/>
        <w:gridCol w:w="33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Count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Pass Gate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Single-tenant capability — each CR demonstrated on Tenant t01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16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2 and 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 plumbing contract (tests I-01 through I-12)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12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After Layer 1; required before Layer 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Multi-tenant isolation — 5 concurrent tenants, 6 vectors × 20 ordered pairs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~120 exec.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Adversarial / negative — CR-01 attack battery, TCP passthrough probes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4</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4</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Lifecycle and residual state — EW-01 + EW-03 round-trip (×3 per tenant)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tests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Final POC completion gate</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5.2  IPSec Transport Layer</w:t>
      </w:r>
    </w:p>
    <w:p>
      <w:pPr>
        <w:spacing w:after="120" w:before="0" w:line="276" w:lineRule="exact"/>
        <w:jc w:val="both"/>
      </w:pPr>
      <w:r>
        <w:rPr>
          <w:rFonts w:ascii="Times New Roman" w:cs="Times New Roman" w:eastAsia="Times New Roman" w:hAnsi="Times New Roman"/>
          <w:sz w:val="22"/>
          <w:szCs w:val="22"/>
        </w:rPr>
        <w:t xml:space="preserve">Version 1.2 of the test use case catalog adds 22 IPSec transport layer tests that serve as a pre-flight gate for all higher-level capability tests. These cover all four partner gateway platforms in the harness (Cisco IOS, PAN-OS, Arista CloudEOS, and strongSwan), both VTI route-based and policy-based (crypto-map) IPSec modes, IKEv2 transform compliance and weak-algorithm rejection, and the full tunnel lifecycle including DPD failure recovery, SA rekey without traffic interruption, and certificate revocation blocking re-establishment.</w:t>
      </w:r>
    </w:p>
    <w:p>
      <w:pPr>
        <w:spacing w:after="120" w:before="0" w:line="276" w:lineRule="exact"/>
        <w:jc w:val="both"/>
      </w:pPr>
      <w:r>
        <w:rPr>
          <w:rFonts w:ascii="Times New Roman" w:cs="Times New Roman" w:eastAsia="Times New Roman" w:hAnsi="Times New Roman"/>
          <w:sz w:val="22"/>
          <w:szCs w:val="22"/>
        </w:rPr>
        <w:t xml:space="preserve">The design rationale is explicit: if the transport tunnel does not establish correctly with the required cryptographic profile (AES-256-GCM, SHA-384, DH Group 19), no CR test result is operationally meaningful. The total test catalog across the full use case set is 137 entries.</w:t>
      </w:r>
    </w:p>
    <w:p>
      <w:pPr>
        <w:pStyle w:val="Heading2"/>
        <w:spacing w:after="120" w:before="280" w:line="276" w:lineRule="exact"/>
        <w:jc w:val="left"/>
      </w:pPr>
      <w:r>
        <w:rPr>
          <w:rFonts w:ascii="Times New Roman" w:cs="Times New Roman" w:eastAsia="Times New Roman" w:hAnsi="Times New Roman"/>
          <w:b/>
          <w:bCs/>
          <w:sz w:val="22"/>
          <w:szCs w:val="22"/>
        </w:rPr>
        <w:t xml:space="preserve">5.3  Program Schedule</w:t>
      </w:r>
    </w:p>
    <w:p>
      <w:pPr>
        <w:spacing w:after="80" w:before="120"/>
        <w:jc w:val="center"/>
      </w:pPr>
      <w:r>
        <w:rPr>
          <w:rFonts w:ascii="Times New Roman" w:cs="Times New Roman" w:eastAsia="Times New Roman" w:hAnsi="Times New Roman"/>
          <w:sz w:val="20"/>
          <w:szCs w:val="20"/>
        </w:rPr>
        <w:t xml:space="preserve">Table 3. POC Milestone Schedule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Milestone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Target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Gate Condition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Provisioning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May 8–22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IPSec peer Ansible roles pass --check; vault PSK paths provisioned; OCSP responders running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Kickoff</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May 25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integrator names CR-07 realization; F5 confirms CE cluster build schedule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M2 — IPSec Transport Gate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June 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VTI tunnels UP; IKEv2 AES-256-GCM + Group 19 confirmed; weak algorithm rejection confirmed; Layer 1 tests begin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M3 — Inspection 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June 13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 demonstrated on two tenants (I-01 through I-09 executed); Layer 2 multi-tenant isolation begins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M4 — Adversarial and Lifecycle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July 11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Layers 3 and 4 complete; SA rekey non-disruptive confirmed; certificate revocation blocking re-establishment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 Completion Gate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July 30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pass-gate layers complete; evidence bundles delivered to evaluation team</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Platform Decision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Oct 2026</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Following leadership review of POC evidence and vendor scorecard</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6. TEST TOPOLOGY SNAPSHOT</w:t>
      </w:r>
    </w:p>
    <w:p>
      <w:pPr>
        <w:spacing w:after="120" w:before="0" w:line="276" w:lineRule="exact"/>
        <w:jc w:val="both"/>
      </w:pPr>
      <w:r>
        <w:rPr>
          <w:rFonts w:ascii="Times New Roman" w:cs="Times New Roman" w:eastAsia="Times New Roman" w:hAnsi="Times New Roman"/>
          <w:sz w:val="22"/>
          <w:szCs w:val="22"/>
        </w:rPr>
        <w:t xml:space="preserve">The POC is executed across three interconnected test environments and the 3PLZ platform. A complete topology specification — including zone diagrams, Virtual Router design, IPSec tunnel inventory, translation service architecture, and end-to-end traffic flow descriptions — is provided in the companion document 3PLZ POC Test Topology and Environment Specification.</w:t>
      </w:r>
    </w:p>
    <w:p>
      <w:pPr>
        <w:pStyle w:val="Heading2"/>
        <w:spacing w:after="120" w:before="280" w:line="276" w:lineRule="exact"/>
        <w:jc w:val="left"/>
      </w:pPr>
      <w:r>
        <w:rPr>
          <w:rFonts w:ascii="Times New Roman" w:cs="Times New Roman" w:eastAsia="Times New Roman" w:hAnsi="Times New Roman"/>
          <w:b/>
          <w:bCs/>
          <w:sz w:val="22"/>
          <w:szCs w:val="22"/>
        </w:rPr>
        <w:t xml:space="preserve">6.1  3PLZ Platform — Palo Alto Strata Firewall, Four-Zone Design</w:t>
      </w:r>
    </w:p>
    <w:p>
      <w:pPr>
        <w:spacing w:after="120" w:before="0" w:line="276" w:lineRule="exact"/>
        <w:jc w:val="both"/>
      </w:pPr>
      <w:r>
        <w:rPr>
          <w:rFonts w:ascii="Times New Roman" w:cs="Times New Roman" w:eastAsia="Times New Roman" w:hAnsi="Times New Roman"/>
          <w:sz w:val="22"/>
          <w:szCs w:val="22"/>
        </w:rPr>
        <w:t xml:space="preserve">The 3PLZ platform is implemented on a Palo Alto Networks Strata Next-Generation Firewall with a four-zone security architecture and a dedicated Virtual Router per zone. The Internet (untrust) zone hosts the IKE anchor endpoints; IKEv2 negotiation traffic terminates here and ESP-encapsulated partner traffic arrives on this interface from partner public IP addresses. P1-Zone and P2-Zone each host a dedicated VTI interface for the respective partner, with a per-zone Virtual Router ensuring complete L3 isolation between partner traffic domains. The 3PLZ DMZ (Trust) zone hosts the enterprise-facing interfaces, the inspection appliance, and the translation services. Security policy permits P1-to-DMZ and P2-to-DMZ flows for specific protocol families; no cross-partner routing exists at any layer.</w:t>
      </w:r>
    </w:p>
    <w:p>
      <w:pPr>
        <w:pStyle w:val="Heading2"/>
        <w:spacing w:after="120" w:before="280" w:line="276" w:lineRule="exact"/>
        <w:jc w:val="left"/>
      </w:pPr>
      <w:r>
        <w:rPr>
          <w:rFonts w:ascii="Times New Roman" w:cs="Times New Roman" w:eastAsia="Times New Roman" w:hAnsi="Times New Roman"/>
          <w:b/>
          <w:bCs/>
          <w:sz w:val="22"/>
          <w:szCs w:val="22"/>
        </w:rPr>
        <w:t xml:space="preserve">6.2  Environment 1 — Partner-ABC</w:t>
      </w:r>
    </w:p>
    <w:p>
      <w:pPr>
        <w:spacing w:after="120" w:before="0" w:line="276" w:lineRule="exact"/>
        <w:jc w:val="both"/>
      </w:pPr>
      <w:r>
        <w:rPr>
          <w:rFonts w:ascii="Times New Roman" w:cs="Times New Roman" w:eastAsia="Times New Roman" w:hAnsi="Times New Roman"/>
          <w:sz w:val="22"/>
          <w:szCs w:val="22"/>
        </w:rPr>
        <w:t xml:space="preserve">Partner-ABC is a single cloud instance implementing active/passive IPSec redundancy via two router appliances (from the harness VTI platform matrix: Cisco/PA/Arista) with VPC route table failover. Both appliances are pre-configured with identical IKEv2 profiles and VTI interface configurations. The primary appliance is the active default gateway for the 3PLZ-bound prefix; the VPC routing table is updated via cloud API to shift next-hop to the secondary appliance upon primary failure detection. Both appliances connect to the P1-Zone on the Strata Firewall, with primary and standby VTI interfaces.</w:t>
      </w:r>
    </w:p>
    <w:p>
      <w:pPr>
        <w:spacing w:after="120" w:before="0" w:line="276" w:lineRule="exact"/>
        <w:jc w:val="both"/>
      </w:pPr>
      <w:r>
        <w:rPr>
          <w:rFonts w:ascii="Times New Roman" w:cs="Times New Roman" w:eastAsia="Times New Roman" w:hAnsi="Times New Roman"/>
          <w:sz w:val="22"/>
          <w:szCs w:val="22"/>
        </w:rPr>
        <w:t xml:space="preserve">In the Partner-to-Enterprise direction, Partner-ABC exercises SSH and SFTP use cases (CR-02). In the Enterprise-to-Partner direction, Partner-ABC hosts API and HTTPS target services on a dedicated outbound-test workload segment.</w:t>
      </w:r>
    </w:p>
    <w:p>
      <w:pPr>
        <w:pStyle w:val="Heading2"/>
        <w:spacing w:after="120" w:before="280" w:line="276" w:lineRule="exact"/>
        <w:jc w:val="left"/>
      </w:pPr>
      <w:r>
        <w:rPr>
          <w:rFonts w:ascii="Times New Roman" w:cs="Times New Roman" w:eastAsia="Times New Roman" w:hAnsi="Times New Roman"/>
          <w:b/>
          <w:bCs/>
          <w:sz w:val="22"/>
          <w:szCs w:val="22"/>
        </w:rPr>
        <w:t xml:space="preserve">6.3  Environment 2 — Partner-XYZ</w:t>
      </w:r>
    </w:p>
    <w:p>
      <w:pPr>
        <w:spacing w:after="120" w:before="0" w:line="276" w:lineRule="exact"/>
        <w:jc w:val="both"/>
      </w:pPr>
      <w:r>
        <w:rPr>
          <w:rFonts w:ascii="Times New Roman" w:cs="Times New Roman" w:eastAsia="Times New Roman" w:hAnsi="Times New Roman"/>
          <w:sz w:val="22"/>
          <w:szCs w:val="22"/>
        </w:rPr>
        <w:t xml:space="preserve">Partner-XYZ is a single cloud instance with a single router appliance and a single IKEv2 VTI tunnel terminating in the P2-Zone. In the Partner-to-Enterprise direction, Partner-XYZ exercises API and Secure Web Service use cases (CR-01, CR-06). In the Enterprise-to-Partner direction, Partner-XYZ hosts SSH and SFTP target services on a dedicated outbound-test workload segment.</w:t>
      </w:r>
    </w:p>
    <w:p>
      <w:pPr>
        <w:pStyle w:val="Heading2"/>
        <w:spacing w:after="120" w:before="280" w:line="276" w:lineRule="exact"/>
        <w:jc w:val="left"/>
      </w:pPr>
      <w:r>
        <w:rPr>
          <w:rFonts w:ascii="Times New Roman" w:cs="Times New Roman" w:eastAsia="Times New Roman" w:hAnsi="Times New Roman"/>
          <w:b/>
          <w:bCs/>
          <w:sz w:val="22"/>
          <w:szCs w:val="22"/>
        </w:rPr>
        <w:t xml:space="preserve">6.4  Environment 3 — Enterprise</w:t>
      </w:r>
    </w:p>
    <w:p>
      <w:pPr>
        <w:spacing w:after="120" w:before="0" w:line="276" w:lineRule="exact"/>
        <w:jc w:val="both"/>
      </w:pPr>
      <w:r>
        <w:rPr>
          <w:rFonts w:ascii="Times New Roman" w:cs="Times New Roman" w:eastAsia="Times New Roman" w:hAnsi="Times New Roman"/>
          <w:sz w:val="22"/>
          <w:szCs w:val="22"/>
        </w:rPr>
        <w:t xml:space="preserve">The Enterprise environment represents the CVS internal network in the test topology. It is connected to the 3PLZ platform via two dedicated interfaces — P1-Ent and P2-Ent — which terminate in the 3PLZ DMZ zone and drop onto distinct per-partner virtual segments. Hosts on the P1-Ent segment receive and initiate SSH and SFTP test traffic associated with the Partner-ABC tenant. Hosts on the P2-Ent segment receive and initiate API and HTTPS test traffic associated with the Partner-XYZ tenant. This segment design maintains per-partner path isolation from the partner router appliance to the enterprise test endpoint.</w:t>
      </w:r>
    </w:p>
    <w:p>
      <w:pPr>
        <w:pStyle w:val="Heading2"/>
        <w:spacing w:after="120" w:before="280" w:line="276" w:lineRule="exact"/>
        <w:jc w:val="left"/>
      </w:pPr>
      <w:r>
        <w:rPr>
          <w:rFonts w:ascii="Times New Roman" w:cs="Times New Roman" w:eastAsia="Times New Roman" w:hAnsi="Times New Roman"/>
          <w:b/>
          <w:bCs/>
          <w:sz w:val="22"/>
          <w:szCs w:val="22"/>
        </w:rPr>
        <w:t xml:space="preserve">6.5  Protocol Coverage Matrix</w:t>
      </w:r>
    </w:p>
    <w:p>
      <w:pPr>
        <w:spacing w:after="80" w:before="120"/>
        <w:jc w:val="center"/>
      </w:pPr>
      <w:r>
        <w:rPr>
          <w:rFonts w:ascii="Times New Roman" w:cs="Times New Roman" w:eastAsia="Times New Roman" w:hAnsi="Times New Roman"/>
          <w:sz w:val="20"/>
          <w:szCs w:val="20"/>
        </w:rPr>
        <w:t xml:space="preserve">Table 4. Bidirectional Protocol Coverage by Environment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300"/>
        <w:gridCol w:w="2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Direction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From Environment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To Environment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Requirement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 Enterprise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SFTP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(SSH Managed Access)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 Enterprise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HTTPS/TLS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(mTLS), CR-06 (Governed Outbound)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 Partner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HTTPS/TLS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 (Outbound), CR-01 (CVS mTLS)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 Partner</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segment)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SFTP</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(Outbound SSH), CR-06</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7. COMPANION DOCUMENT SET</w:t>
      </w:r>
    </w:p>
    <w:p>
      <w:pPr>
        <w:spacing w:after="80" w:before="120"/>
        <w:jc w:val="center"/>
      </w:pPr>
      <w:r>
        <w:rPr>
          <w:rFonts w:ascii="Times New Roman" w:cs="Times New Roman" w:eastAsia="Times New Roman" w:hAnsi="Times New Roman"/>
          <w:sz w:val="20"/>
          <w:szCs w:val="20"/>
        </w:rPr>
        <w:t xml:space="preserve">Table 5. 3PLZ POC Document Set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4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Document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Version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Content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Architecture Specification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Full system architecture; Inspection Plane integration (Appendix P); CR-07 contract definition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Distributed Cloud POC Deliverables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F5-specific CR-01 through CR-07 acceptance criteria, scoring weights, and realization commentary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POC Deliverables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Cloudflare-specific CR-01 through CR-07 acceptance (CR-07 open evaluative); risk flags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POC Test Environment &amp; Harness Spec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102-test operational catalog; harness provisioning; vendor environment requirements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POC Test Use Cases &amp; Resourcing Plan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137-test catalog with full acceptance logic, evidence requirements, and resourcing plan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Inspection Plane — Summary of Changes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Change summary: Architecture v1.0→v1.1, POC Deliverables v3.x→v4, Harness v1.1→v1.2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POC Test Topology Specification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Complete environment design, zone and VR architecture, IPSec tunnel inventory, traffic flows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POC Executive Summary (this document)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v1.0</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Program overview, vendor evaluation framework, capability requirements, topology snapshot</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8. OPEN DECISION POINTS</w:t>
      </w:r>
    </w:p>
    <w:p>
      <w:pPr>
        <w:spacing w:after="120" w:before="0" w:line="276" w:lineRule="exact"/>
        <w:jc w:val="both"/>
      </w:pPr>
      <w:r>
        <w:rPr>
          <w:rFonts w:ascii="Times New Roman" w:cs="Times New Roman" w:eastAsia="Times New Roman" w:hAnsi="Times New Roman"/>
          <w:sz w:val="22"/>
          <w:szCs w:val="22"/>
        </w:rPr>
        <w:t xml:space="preserve">Two decisions require leadership confirmation before the May 30 vendor-engagement window:</w:t>
      </w:r>
    </w:p>
    <w:p>
      <w:pPr>
        <w:pStyle w:val="Heading2"/>
        <w:spacing w:after="120" w:before="280" w:line="276" w:lineRule="exact"/>
        <w:jc w:val="left"/>
      </w:pPr>
      <w:r>
        <w:rPr>
          <w:rFonts w:ascii="Times New Roman" w:cs="Times New Roman" w:eastAsia="Times New Roman" w:hAnsi="Times New Roman"/>
          <w:b/>
          <w:bCs/>
          <w:sz w:val="22"/>
          <w:szCs w:val="22"/>
        </w:rPr>
        <w:t xml:space="preserve">8.1  CR-07 Scoring Weight</w:t>
      </w:r>
    </w:p>
    <w:p>
      <w:pPr>
        <w:spacing w:after="120" w:before="0" w:line="276" w:lineRule="exact"/>
        <w:jc w:val="both"/>
      </w:pPr>
      <w:r>
        <w:rPr>
          <w:rFonts w:ascii="Times New Roman" w:cs="Times New Roman" w:eastAsia="Times New Roman" w:hAnsi="Times New Roman"/>
          <w:sz w:val="22"/>
          <w:szCs w:val="22"/>
        </w:rPr>
        <w:t xml:space="preserve">CR-07 is currently weighted at 8%, reflecting the assessment that inspection-plane plumbing is essential to operate but is one capability among seven. The weight is a single-table edit that propagates only to the F5 and Cloudflare POC Deliverables documents. Raising CR-07's weight would correspondingly reduce another capability's share. The current 8% places CR-07 at parity with the Engineering Workflow set — an implied equivalence between inspection plumbing completeness and API self-service readiness. Leadership should confirm whether that equivalence reflects the program's current priorities.</w:t>
      </w:r>
    </w:p>
    <w:p>
      <w:pPr>
        <w:pStyle w:val="Heading2"/>
        <w:spacing w:after="120" w:before="280" w:line="276" w:lineRule="exact"/>
        <w:jc w:val="left"/>
      </w:pPr>
      <w:r>
        <w:rPr>
          <w:rFonts w:ascii="Times New Roman" w:cs="Times New Roman" w:eastAsia="Times New Roman" w:hAnsi="Times New Roman"/>
          <w:b/>
          <w:bCs/>
          <w:sz w:val="22"/>
          <w:szCs w:val="22"/>
        </w:rPr>
        <w:t xml:space="preserve">8.2  Fail-Closed as POC Acceptance Default</w:t>
      </w:r>
    </w:p>
    <w:p>
      <w:pPr>
        <w:spacing w:after="120" w:before="0" w:line="276" w:lineRule="exact"/>
        <w:jc w:val="both"/>
      </w:pPr>
      <w:r>
        <w:rPr>
          <w:rFonts w:ascii="Times New Roman" w:cs="Times New Roman" w:eastAsia="Times New Roman" w:hAnsi="Times New Roman"/>
          <w:sz w:val="22"/>
          <w:szCs w:val="22"/>
        </w:rPr>
        <w:t xml:space="preserve">CR-07.5 requires configurable failure semantics — fail-open or fail-closed — per tenant per direction. The POC acceptance default is fail-closed: when the inspection appliance is unreachable, traffic transit is blocked. Fail-closed biases the evaluation toward security-favored semantics. An operator accepting fail-open would permit traffic transit with an explicit audit record but no inspection coverage during the outage window. The harness verifies whichever semantics the vendor demonstrates, but the default selected here determines which semantics the vendor must demonstrate to achieve an unqualified pass on CR-07.5. Leadership should confirm fail-closed is the correct acceptance posture before the evidence acceptance criteria are distributed to vendors.</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888888"/>
        <w:sz w:val="16"/>
        <w:szCs w:val="16"/>
      </w:rPr>
      <w:t xml:space="preserve">3PLZ POC Executive Summary</w:t>
    </w:r>
    <w:ptab w:alignment="right" w:relativeTo="margin" w:leader="none"/>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2026-05-12T17:37:56.427Z</dcterms:created>
  <dcterms:modified xsi:type="dcterms:W3CDTF">2026-05-12T17:37:56.428Z</dcterms:modified>
</cp:coreProperties>
</file>

<file path=docProps/custom.xml><?xml version="1.0" encoding="utf-8"?>
<Properties xmlns="http://schemas.openxmlformats.org/officeDocument/2006/custom-properties" xmlns:vt="http://schemas.openxmlformats.org/officeDocument/2006/docPropsVTypes"/>
</file>