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32"/>
          <w:szCs w:val="32"/>
        </w:rPr>
        <w:t xml:space="preserve">Cisco Mesh Policy Engine</w:t>
      </w:r>
    </w:p>
    <w:p>
      <w:pPr>
        <w:spacing w:after="240" w:before="0"/>
        <w:jc w:val="center"/>
      </w:pPr>
      <w:r>
        <w:rPr>
          <w:rFonts w:ascii="Times New Roman" w:cs="Times New Roman" w:eastAsia="Times New Roman" w:hAnsi="Times New Roman"/>
          <w:sz w:val="26"/>
          <w:szCs w:val="26"/>
        </w:rPr>
        <w:t xml:space="preserve">Proof-of-Concept Scoping Document</w:t>
      </w:r>
    </w:p>
    <w:p>
      <w:pPr>
        <w:spacing w:after="200" w:before="0"/>
        <w:jc w:val="center"/>
      </w:pPr>
      <w:r>
        <w:rPr>
          <w:rFonts w:ascii="Times New Roman" w:cs="Times New Roman" w:eastAsia="Times New Roman" w:hAnsi="Times New Roman"/>
          <w:b/>
          <w:bCs/>
          <w:sz w:val="22"/>
          <w:szCs w:val="22"/>
        </w:rPr>
        <w:t xml:space="preserve">Joint CVS Health / Cisco Engagement</w:t>
      </w:r>
    </w:p>
    <w:p>
      <w:pPr>
        <w:spacing w:after="0" w:before="0"/>
        <w:jc w:val="center"/>
      </w:pPr>
      <w:r>
        <w:rPr>
          <w:rFonts w:ascii="Times New Roman" w:cs="Times New Roman" w:eastAsia="Times New Roman" w:hAnsi="Times New Roman"/>
          <w:sz w:val="22"/>
          <w:szCs w:val="22"/>
        </w:rPr>
        <w:t xml:space="preserve">Michael J. Martin</w:t>
      </w:r>
    </w:p>
    <w:p>
      <w:pPr>
        <w:spacing w:after="0" w:before="0"/>
        <w:jc w:val="center"/>
      </w:pPr>
      <w:r>
        <w:rPr>
          <w:rFonts w:ascii="Times New Roman" w:cs="Times New Roman" w:eastAsia="Times New Roman" w:hAnsi="Times New Roman"/>
          <w:sz w:val="22"/>
          <w:szCs w:val="22"/>
        </w:rPr>
        <w:t xml:space="preserve">Lead Director, Information Security, CVS Health</w:t>
      </w:r>
    </w:p>
    <w:p>
      <w:pPr>
        <w:spacing w:after="160" w:before="0"/>
        <w:jc w:val="center"/>
      </w:pPr>
      <w:r>
        <w:rPr>
          <w:rFonts w:ascii="Times New Roman" w:cs="Times New Roman" w:eastAsia="Times New Roman" w:hAnsi="Times New Roman"/>
          <w:sz w:val="22"/>
          <w:szCs w:val="22"/>
        </w:rPr>
        <w:t xml:space="preserve">Cisco engagement lead: TBD</w:t>
      </w:r>
    </w:p>
    <w:p>
      <w:pPr>
        <w:spacing w:after="60" w:before="0"/>
        <w:jc w:val="center"/>
      </w:pPr>
      <w:r>
        <w:rPr>
          <w:rFonts w:ascii="Times New Roman" w:cs="Times New Roman" w:eastAsia="Times New Roman" w:hAnsi="Times New Roman"/>
          <w:i/>
          <w:iCs/>
          <w:sz w:val="20"/>
          <w:szCs w:val="20"/>
        </w:rPr>
        <w:t xml:space="preserve">Working Draft v0.1 — May 2026</w:t>
      </w:r>
    </w:p>
    <w:p>
      <w:pPr>
        <w:spacing w:after="240" w:before="0"/>
        <w:jc w:val="center"/>
      </w:pPr>
      <w:r>
        <w:rPr>
          <w:rFonts w:ascii="Times New Roman" w:cs="Times New Roman" w:eastAsia="Times New Roman" w:hAnsi="Times New Roman"/>
          <w:b/>
          <w:bCs/>
          <w:sz w:val="20"/>
          <w:szCs w:val="20"/>
        </w:rPr>
        <w:t xml:space="preserve">WORKING DRAFT — FOR JOINT CVS / CISCO REVIEW</w:t>
      </w:r>
    </w:p>
    <w:p>
      <w:pPr>
        <w:spacing w:after="120" w:before="120"/>
        <w:jc w:val="center"/>
      </w:pPr>
      <w:r>
        <w:rPr>
          <w:rFonts w:ascii="Times New Roman" w:cs="Times New Roman" w:eastAsia="Times New Roman" w:hAnsi="Times New Roman"/>
          <w:b/>
          <w:bCs/>
          <w:sz w:val="22"/>
          <w:szCs w:val="22"/>
        </w:rPr>
        <w:t xml:space="preserve">Executive Summary</w:t>
      </w:r>
    </w:p>
    <w:p>
      <w:pPr>
        <w:spacing w:after="120" w:line="276" w:lineRule="exact"/>
        <w:ind w:left="360" w:right="360"/>
        <w:jc w:val="both"/>
      </w:pPr>
      <w:r>
        <w:rPr>
          <w:rFonts w:ascii="Times New Roman" w:cs="Times New Roman" w:eastAsia="Times New Roman" w:hAnsi="Times New Roman"/>
          <w:sz w:val="20"/>
          <w:szCs w:val="20"/>
        </w:rPr>
        <w:t xml:space="preserve">CVS Health operates a multi-vendor enterprise firewall estate spanning Cisco Secure Firewall, Palo Alto Networks, and additional vendors across data center, cloud, and segmentation boundaries. The aggregate rule set has accumulated over more than a decade and exhibits the structural pathologies described in the companion working papers </w:t>
      </w:r>
      <w:r>
        <w:rPr>
          <w:rFonts w:ascii="Times New Roman" w:cs="Times New Roman" w:eastAsia="Times New Roman" w:hAnsi="Times New Roman"/>
          <w:i/>
          <w:iCs/>
          <w:sz w:val="20"/>
          <w:szCs w:val="20"/>
        </w:rPr>
        <w:t xml:space="preserve">The Bill Comes Due</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Intent-Based Security Policy</w:t>
      </w:r>
      <w:r>
        <w:rPr>
          <w:rFonts w:ascii="Times New Roman" w:cs="Times New Roman" w:eastAsia="Times New Roman" w:hAnsi="Times New Roman"/>
          <w:sz w:val="20"/>
          <w:szCs w:val="20"/>
        </w:rPr>
        <w:t xml:space="preserve">: it is not legibly auditable, contains rules whose original requirement has long since disappeared, and produces a compliance posture that is decoupled from actual security posture.</w:t>
      </w:r>
    </w:p>
    <w:p>
      <w:pPr>
        <w:spacing w:after="120" w:line="276" w:lineRule="exact"/>
        <w:ind w:left="360" w:right="360"/>
        <w:jc w:val="both"/>
      </w:pPr>
      <w:r>
        <w:rPr>
          <w:rFonts w:ascii="Times New Roman" w:cs="Times New Roman" w:eastAsia="Times New Roman" w:hAnsi="Times New Roman"/>
          <w:sz w:val="20"/>
          <w:szCs w:val="20"/>
        </w:rPr>
        <w:t xml:space="preserve">Cisco Security Cloud Control with </w:t>
      </w:r>
      <w:r>
        <w:rPr>
          <w:rFonts w:ascii="Times New Roman" w:cs="Times New Roman" w:eastAsia="Times New Roman" w:hAnsi="Times New Roman"/>
          <w:b/>
          <w:bCs/>
          <w:sz w:val="20"/>
          <w:szCs w:val="20"/>
        </w:rPr>
        <w:t xml:space="preserve">Mesh Policy Engine (MPE)</w:t>
      </w:r>
      <w:r>
        <w:rPr>
          <w:rFonts w:ascii="Times New Roman" w:cs="Times New Roman" w:eastAsia="Times New Roman" w:hAnsi="Times New Roman"/>
          <w:sz w:val="20"/>
          <w:szCs w:val="20"/>
        </w:rPr>
        <w:t xml:space="preserve"> — generally available since January 2026 — implements intent-based policy management across Cisco Secure Firewall, Palo Alto Networks, Fortinet, and Juniper firewalls. It expresses access intent once (application A to application B on specific ports and protocols) and generates, deploys, and continuously reconciles the corresponding vendor-specific rules across whichever firewalls sit on the relevant path. Cisco public messaging reports up to 80% redundant-rule removal and 35% object reduction on customer deployments.</w:t>
      </w:r>
    </w:p>
    <w:p>
      <w:pPr>
        <w:spacing w:after="120" w:line="276" w:lineRule="exact"/>
        <w:ind w:left="360" w:right="360"/>
        <w:jc w:val="both"/>
      </w:pPr>
      <w:r>
        <w:rPr>
          <w:rFonts w:ascii="Times New Roman" w:cs="Times New Roman" w:eastAsia="Times New Roman" w:hAnsi="Times New Roman"/>
          <w:sz w:val="20"/>
          <w:szCs w:val="20"/>
        </w:rPr>
        <w:t xml:space="preserve">This proof-of-concept will validate MPE against a bounded slice of the CVS firewall estate, measure the redundant-rule and object-reduction outcomes against real production policy, and exercise the intent abstraction across a heterogeneous Cisco + Palo Alto path. The POC also establishes the requirements and roadmap conversation for extending the MPE intent model </w:t>
      </w:r>
      <w:r>
        <w:rPr>
          <w:rFonts w:ascii="Times New Roman" w:cs="Times New Roman" w:eastAsia="Times New Roman" w:hAnsi="Times New Roman"/>
          <w:b/>
          <w:bCs/>
          <w:sz w:val="20"/>
          <w:szCs w:val="20"/>
        </w:rPr>
        <w:t xml:space="preserve">beyond L3/L4</w:t>
      </w:r>
      <w:r>
        <w:rPr>
          <w:rFonts w:ascii="Times New Roman" w:cs="Times New Roman" w:eastAsia="Times New Roman" w:hAnsi="Times New Roman"/>
          <w:sz w:val="20"/>
          <w:szCs w:val="20"/>
        </w:rPr>
        <w:t xml:space="preserve"> to Application-ID, IDS/IPS, DLP, and threat policy — the surfaces where the current intent abstraction does not yet reach and where the strategic value to CVS is highest.</w:t>
      </w:r>
    </w:p>
    <w:p>
      <w:pPr>
        <w:spacing w:after="120" w:line="276" w:lineRule="exact"/>
        <w:ind w:left="360" w:right="360"/>
        <w:jc w:val="both"/>
      </w:pPr>
      <w:r>
        <w:rPr>
          <w:rFonts w:ascii="Times New Roman" w:cs="Times New Roman" w:eastAsia="Times New Roman" w:hAnsi="Times New Roman"/>
          <w:sz w:val="20"/>
          <w:szCs w:val="20"/>
        </w:rPr>
        <w:t xml:space="preserve">The POC is not a procurement commitment. It is a structured evaluation against explicit success criteria, after which CVS will decide whether to expand MPE deployment, narrow it to specific use cases, or decline.</w:t>
      </w:r>
    </w:p>
    <w:p>
      <w:r>
        <w:br w:type="page"/>
      </w:r>
    </w:p>
    <w:p>
      <w:pPr>
        <w:pStyle w:val="Heading1"/>
        <w:spacing w:after="160" w:before="360"/>
        <w:jc w:val="left"/>
      </w:pPr>
      <w:r>
        <w:rPr>
          <w:rFonts w:ascii="Times New Roman" w:cs="Times New Roman" w:eastAsia="Times New Roman" w:hAnsi="Times New Roman"/>
          <w:b/>
          <w:bCs/>
          <w:caps/>
          <w:sz w:val="26"/>
          <w:szCs w:val="26"/>
        </w:rPr>
        <w:t xml:space="preserve">1. BACKGROUND AND STRATEGIC CONTEXT</w:t>
      </w:r>
    </w:p>
    <w:p>
      <w:pPr>
        <w:pStyle w:val="Heading2"/>
        <w:spacing w:after="120" w:before="280"/>
        <w:jc w:val="left"/>
      </w:pPr>
      <w:r>
        <w:rPr>
          <w:rFonts w:ascii="Times New Roman" w:cs="Times New Roman" w:eastAsia="Times New Roman" w:hAnsi="Times New Roman"/>
          <w:b/>
          <w:bCs/>
          <w:sz w:val="22"/>
          <w:szCs w:val="22"/>
        </w:rPr>
        <w:t xml:space="preserve">1.1 The Underlying Problem</w:t>
      </w:r>
    </w:p>
    <w:p>
      <w:pPr>
        <w:spacing w:after="120" w:before="0" w:line="276" w:lineRule="exact"/>
        <w:jc w:val="both"/>
      </w:pPr>
      <w:r>
        <w:rPr>
          <w:rFonts w:ascii="Times New Roman" w:cs="Times New Roman" w:eastAsia="Times New Roman" w:hAnsi="Times New Roman"/>
          <w:sz w:val="22"/>
          <w:szCs w:val="22"/>
        </w:rPr>
        <w:t xml:space="preserve">CVS Health's firewall control plane is a representative instance of the structural problem characterized in </w:t>
      </w:r>
      <w:r>
        <w:rPr>
          <w:rFonts w:ascii="Times New Roman" w:cs="Times New Roman" w:eastAsia="Times New Roman" w:hAnsi="Times New Roman"/>
          <w:i/>
          <w:iCs/>
          <w:sz w:val="22"/>
          <w:szCs w:val="22"/>
        </w:rPr>
        <w:t xml:space="preserve">Intent-Based Security Policy</w:t>
      </w:r>
      <w:r>
        <w:rPr>
          <w:rFonts w:ascii="Times New Roman" w:cs="Times New Roman" w:eastAsia="Times New Roman" w:hAnsi="Times New Roman"/>
          <w:sz w:val="22"/>
          <w:szCs w:val="22"/>
        </w:rPr>
        <w:t xml:space="preserve">. Tens of thousands of rules have accumulated across multiple vendors, multiple zones, and multiple decades of organizational history. The aggregate is maintained through point edits driven by individual change requests. No one on the security team can read the full rule set and predict its end-to-end behavior. Auditors sample. Application teams cannot self-serve a question as basic as </w:t>
      </w:r>
      <w:r>
        <w:rPr>
          <w:rFonts w:ascii="Times New Roman" w:cs="Times New Roman" w:eastAsia="Times New Roman" w:hAnsi="Times New Roman"/>
          <w:i/>
          <w:iCs/>
          <w:sz w:val="22"/>
          <w:szCs w:val="22"/>
        </w:rPr>
        <w:t xml:space="preserve">which other services can reach my workload</w:t>
      </w:r>
      <w:r>
        <w:rPr>
          <w:rFonts w:ascii="Times New Roman" w:cs="Times New Roman" w:eastAsia="Times New Roman" w:hAnsi="Times New Roman"/>
          <w:sz w:val="22"/>
          <w:szCs w:val="22"/>
        </w:rPr>
        <w:t xml:space="preserve">.</w:t>
      </w:r>
    </w:p>
    <w:p>
      <w:pPr>
        <w:spacing w:after="120" w:before="0" w:line="276" w:lineRule="exact"/>
        <w:jc w:val="both"/>
      </w:pPr>
      <w:r>
        <w:rPr>
          <w:rFonts w:ascii="Times New Roman" w:cs="Times New Roman" w:eastAsia="Times New Roman" w:hAnsi="Times New Roman"/>
          <w:sz w:val="22"/>
          <w:szCs w:val="22"/>
        </w:rPr>
        <w:t xml:space="preserve">The operational manifestations are predictable: permissions accrue but do not contract, temporary exceptions become permanent, lateral-movement paths emerge that no one designed, and the security team operates as a bottleneck on every new deployment. None of these are CVS-specific. They are the structural consequences of managing a high-dimensional declarative outcome through a low-dimensional imperative interface.</w:t>
      </w:r>
    </w:p>
    <w:p>
      <w:pPr>
        <w:pStyle w:val="Heading2"/>
        <w:spacing w:after="120" w:before="280"/>
        <w:jc w:val="left"/>
      </w:pPr>
      <w:r>
        <w:rPr>
          <w:rFonts w:ascii="Times New Roman" w:cs="Times New Roman" w:eastAsia="Times New Roman" w:hAnsi="Times New Roman"/>
          <w:b/>
          <w:bCs/>
          <w:sz w:val="22"/>
          <w:szCs w:val="22"/>
        </w:rPr>
        <w:t xml:space="preserve">1.2 Why Mesh Policy Engine</w:t>
      </w:r>
    </w:p>
    <w:p>
      <w:pPr>
        <w:spacing w:after="120" w:before="0" w:line="276" w:lineRule="exact"/>
        <w:jc w:val="both"/>
      </w:pPr>
      <w:r>
        <w:rPr>
          <w:rFonts w:ascii="Times New Roman" w:cs="Times New Roman" w:eastAsia="Times New Roman" w:hAnsi="Times New Roman"/>
          <w:sz w:val="22"/>
          <w:szCs w:val="22"/>
        </w:rPr>
        <w:t xml:space="preserve">MPE is the first production implementation of intent-based policy management that operates across a multi-vendor firewall estate. Most intent-based segmentation and policy products are vendor-specific: an Istio AuthorizationPolicy governs only the Istio mesh, an Illumio policy governs only Illumio-enforced workloads, a Palo Alto Panorama policy governs only Palo Alto firewalls. MPE is the first commercial system in this space to express intent once and translate it to the enforcement syntax of multiple firewall vendors — Cisco Secure Firewall, Palo Alto, Fortinet, and Juniper as of the GA release, with additional vendors on the roadmap.</w:t>
      </w:r>
    </w:p>
    <w:p>
      <w:pPr>
        <w:spacing w:after="120" w:before="0" w:line="276" w:lineRule="exact"/>
        <w:jc w:val="both"/>
      </w:pPr>
      <w:r>
        <w:rPr>
          <w:rFonts w:ascii="Times New Roman" w:cs="Times New Roman" w:eastAsia="Times New Roman" w:hAnsi="Times New Roman"/>
          <w:sz w:val="22"/>
          <w:szCs w:val="22"/>
        </w:rPr>
        <w:t xml:space="preserve">For an enterprise the size and heterogeneity of CVS, this multi-vendor abstraction is the operationally interesting property. Single-vendor intent platforms require the enterprise to standardize on a single firewall vendor before the intent benefit is realized. MPE removes that prerequisite. The intent abstraction works across the existing multi-vendor estate as it stands today.</w:t>
      </w:r>
    </w:p>
    <w:p>
      <w:pPr>
        <w:pStyle w:val="Heading2"/>
        <w:spacing w:after="120" w:before="280"/>
        <w:jc w:val="left"/>
      </w:pPr>
      <w:r>
        <w:rPr>
          <w:rFonts w:ascii="Times New Roman" w:cs="Times New Roman" w:eastAsia="Times New Roman" w:hAnsi="Times New Roman"/>
          <w:b/>
          <w:bCs/>
          <w:sz w:val="22"/>
          <w:szCs w:val="22"/>
        </w:rPr>
        <w:t xml:space="preserve">1.3 Where MPE Does and Does Not Reach</w:t>
      </w:r>
    </w:p>
    <w:p>
      <w:pPr>
        <w:spacing w:after="120" w:before="0" w:line="276" w:lineRule="exact"/>
        <w:jc w:val="both"/>
      </w:pPr>
      <w:r>
        <w:rPr>
          <w:rFonts w:ascii="Times New Roman" w:cs="Times New Roman" w:eastAsia="Times New Roman" w:hAnsi="Times New Roman"/>
          <w:sz w:val="22"/>
          <w:szCs w:val="22"/>
        </w:rPr>
        <w:t xml:space="preserve">MPE as currently shipping addresses </w:t>
      </w:r>
      <w:r>
        <w:rPr>
          <w:rFonts w:ascii="Times New Roman" w:cs="Times New Roman" w:eastAsia="Times New Roman" w:hAnsi="Times New Roman"/>
          <w:b/>
          <w:bCs/>
          <w:sz w:val="22"/>
          <w:szCs w:val="22"/>
        </w:rPr>
        <w:t xml:space="preserve">L3/L4 access policy</w:t>
      </w:r>
      <w:r>
        <w:rPr>
          <w:rFonts w:ascii="Times New Roman" w:cs="Times New Roman" w:eastAsia="Times New Roman" w:hAnsi="Times New Roman"/>
          <w:sz w:val="22"/>
          <w:szCs w:val="22"/>
        </w:rPr>
        <w:t xml:space="preserve"> — the </w:t>
      </w:r>
      <w:r>
        <w:rPr>
          <w:rFonts w:ascii="Times New Roman" w:cs="Times New Roman" w:eastAsia="Times New Roman" w:hAnsi="Times New Roman"/>
          <w:i/>
          <w:iCs/>
          <w:sz w:val="22"/>
          <w:szCs w:val="22"/>
        </w:rPr>
        <w:t xml:space="preserve">which application can reach which application on which ports</w:t>
      </w:r>
      <w:r>
        <w:rPr>
          <w:rFonts w:ascii="Times New Roman" w:cs="Times New Roman" w:eastAsia="Times New Roman" w:hAnsi="Times New Roman"/>
          <w:sz w:val="22"/>
          <w:szCs w:val="22"/>
        </w:rPr>
        <w:t xml:space="preserve"> surface. This is the largest, most accumulated, and most operationally painful layer of the CVS firewall estate, and therefore the right place to start.</w:t>
      </w:r>
    </w:p>
    <w:p>
      <w:pPr>
        <w:spacing w:after="120" w:before="0" w:line="276" w:lineRule="exact"/>
        <w:jc w:val="both"/>
      </w:pPr>
      <w:r>
        <w:rPr>
          <w:rFonts w:ascii="Times New Roman" w:cs="Times New Roman" w:eastAsia="Times New Roman" w:hAnsi="Times New Roman"/>
          <w:sz w:val="22"/>
          <w:szCs w:val="22"/>
        </w:rPr>
        <w:t xml:space="preserve">MPE does </w:t>
      </w:r>
      <w:r>
        <w:rPr>
          <w:rFonts w:ascii="Times New Roman" w:cs="Times New Roman" w:eastAsia="Times New Roman" w:hAnsi="Times New Roman"/>
          <w:b/>
          <w:bCs/>
          <w:sz w:val="22"/>
          <w:szCs w:val="22"/>
        </w:rPr>
        <w:t xml:space="preserve">not currently express intent at Layer 7</w:t>
      </w:r>
      <w:r>
        <w:rPr>
          <w:rFonts w:ascii="Times New Roman" w:cs="Times New Roman" w:eastAsia="Times New Roman" w:hAnsi="Times New Roman"/>
          <w:sz w:val="22"/>
          <w:szCs w:val="22"/>
        </w:rPr>
        <w:t xml:space="preserve"> for Application-ID classification, IDS/IPS signature policy, DLP content inspection, or general threat-protection profile management. Those surfaces are governed today by per-vendor management consoles — Cisco Secure Firewall Management Center (FMC), Cisco Multicloud Defense for App-ID and IDS/IPS profile management, Palo Alto Panorama, and analogous third-party tooling — each with its own configuration model and audit posture.</w:t>
      </w:r>
    </w:p>
    <w:p>
      <w:pPr>
        <w:spacing w:after="120" w:before="0" w:line="276" w:lineRule="exact"/>
        <w:jc w:val="both"/>
      </w:pPr>
      <w:r>
        <w:rPr>
          <w:rFonts w:ascii="Times New Roman" w:cs="Times New Roman" w:eastAsia="Times New Roman" w:hAnsi="Times New Roman"/>
          <w:sz w:val="22"/>
          <w:szCs w:val="22"/>
        </w:rPr>
        <w:t xml:space="preserve">A strategic objective of this POC is to validate MPE on its current L3/L4 scope while establishing, in a Cisco product-management conversation, the requirements and timeline for extending the MPE intent abstraction to App-ID, IDS/IPS, DLP, and threat-profile policy. The full structural benefit of intent-based policy at CVS depends on intent reaching every layer of the security control plane that today operates as an independent rule estate. L3/L4 is the necessary first step. It is not, by itself, the destination.</w:t>
      </w:r>
    </w:p>
    <w:p>
      <w:pPr>
        <w:pStyle w:val="Heading2"/>
        <w:spacing w:after="120" w:before="280"/>
        <w:jc w:val="left"/>
      </w:pPr>
      <w:r>
        <w:rPr>
          <w:rFonts w:ascii="Times New Roman" w:cs="Times New Roman" w:eastAsia="Times New Roman" w:hAnsi="Times New Roman"/>
          <w:b/>
          <w:bCs/>
          <w:sz w:val="22"/>
          <w:szCs w:val="22"/>
        </w:rPr>
        <w:t xml:space="preserve">1.4 Companion Documents</w:t>
      </w:r>
    </w:p>
    <w:p>
      <w:pPr>
        <w:spacing w:after="120" w:before="0" w:line="276" w:lineRule="exact"/>
        <w:jc w:val="both"/>
      </w:pPr>
      <w:r>
        <w:rPr>
          <w:rFonts w:ascii="Times New Roman" w:cs="Times New Roman" w:eastAsia="Times New Roman" w:hAnsi="Times New Roman"/>
          <w:sz w:val="22"/>
          <w:szCs w:val="22"/>
        </w:rPr>
        <w:t xml:space="preserve">This POC scoping document is the operational instantiation of the structural argument advanced in the two companion working papers. Where those papers are conceptual, this document is bounded, time-boxed, and measurable.</w:t>
      </w:r>
    </w:p>
    <w:p>
      <w:pPr>
        <w:pStyle w:val="ListParagraph"/>
        <w:numPr>
          <w:ilvl w:val="0"/>
          <w:numId w:val="2"/>
        </w:numPr>
        <w:spacing w:after="60" w:line="276" w:lineRule="exact"/>
        <w:jc w:val="both"/>
      </w:pPr>
      <w:r>
        <w:rPr>
          <w:rFonts w:ascii="Times New Roman" w:cs="Times New Roman" w:eastAsia="Times New Roman" w:hAnsi="Times New Roman"/>
          <w:i/>
          <w:iCs/>
          <w:sz w:val="22"/>
          <w:szCs w:val="22"/>
        </w:rPr>
        <w:t xml:space="preserve">The Bill Comes Due: Why AI Just Made Your Technical Debt a Security Crisis</w:t>
      </w:r>
      <w:r>
        <w:rPr>
          <w:rFonts w:ascii="Times New Roman" w:cs="Times New Roman" w:eastAsia="Times New Roman" w:hAnsi="Times New Roman"/>
          <w:sz w:val="22"/>
          <w:szCs w:val="22"/>
        </w:rPr>
        <w:t xml:space="preserve"> (working paper v0.4, May 2026). Establishes why the rule-based control plane has become an acute rather than chronic problem.</w:t>
      </w:r>
    </w:p>
    <w:p>
      <w:pPr>
        <w:pStyle w:val="ListParagraph"/>
        <w:numPr>
          <w:ilvl w:val="0"/>
          <w:numId w:val="2"/>
        </w:numPr>
        <w:spacing w:after="60" w:line="276" w:lineRule="exact"/>
        <w:jc w:val="both"/>
      </w:pPr>
      <w:r>
        <w:rPr>
          <w:rFonts w:ascii="Times New Roman" w:cs="Times New Roman" w:eastAsia="Times New Roman" w:hAnsi="Times New Roman"/>
          <w:i/>
          <w:iCs/>
          <w:sz w:val="22"/>
          <w:szCs w:val="22"/>
        </w:rPr>
        <w:t xml:space="preserve">Intent-Based Security Policy: Declaring Outcomes Instead of Enumerating Rules</w:t>
      </w:r>
      <w:r>
        <w:rPr>
          <w:rFonts w:ascii="Times New Roman" w:cs="Times New Roman" w:eastAsia="Times New Roman" w:hAnsi="Times New Roman"/>
          <w:sz w:val="22"/>
          <w:szCs w:val="22"/>
        </w:rPr>
        <w:t xml:space="preserve"> (working paper v0.2, May 2026). Establishes the structural alternative and surveys the category.</w:t>
      </w:r>
    </w:p>
    <w:p>
      <w:pPr>
        <w:pStyle w:val="Heading1"/>
        <w:spacing w:after="160" w:before="360"/>
        <w:jc w:val="left"/>
      </w:pPr>
      <w:r>
        <w:rPr>
          <w:rFonts w:ascii="Times New Roman" w:cs="Times New Roman" w:eastAsia="Times New Roman" w:hAnsi="Times New Roman"/>
          <w:b/>
          <w:bCs/>
          <w:caps/>
          <w:sz w:val="26"/>
          <w:szCs w:val="26"/>
        </w:rPr>
        <w:t xml:space="preserve">2. POC OBJECTIVES</w:t>
      </w:r>
    </w:p>
    <w:p>
      <w:pPr>
        <w:spacing w:after="120" w:before="0" w:line="276" w:lineRule="exact"/>
        <w:jc w:val="both"/>
      </w:pPr>
      <w:r>
        <w:rPr>
          <w:rFonts w:ascii="Times New Roman" w:cs="Times New Roman" w:eastAsia="Times New Roman" w:hAnsi="Times New Roman"/>
          <w:sz w:val="22"/>
          <w:szCs w:val="22"/>
        </w:rPr>
        <w:t xml:space="preserve">The POC has five primary objectives, each with measurable acceptance criteria defined in §4.</w:t>
      </w:r>
    </w:p>
    <w:p>
      <w:pPr>
        <w:pStyle w:val="Heading2"/>
        <w:spacing w:after="120" w:before="280"/>
        <w:jc w:val="left"/>
      </w:pPr>
      <w:r>
        <w:rPr>
          <w:rFonts w:ascii="Times New Roman" w:cs="Times New Roman" w:eastAsia="Times New Roman" w:hAnsi="Times New Roman"/>
          <w:b/>
          <w:bCs/>
          <w:sz w:val="22"/>
          <w:szCs w:val="22"/>
        </w:rPr>
        <w:t xml:space="preserve">2.1 Validate the Intent Abstraction Against Real CVS Policy</w:t>
      </w:r>
    </w:p>
    <w:p>
      <w:pPr>
        <w:spacing w:after="120" w:before="0" w:line="276" w:lineRule="exact"/>
        <w:jc w:val="both"/>
      </w:pPr>
      <w:r>
        <w:rPr>
          <w:rFonts w:ascii="Times New Roman" w:cs="Times New Roman" w:eastAsia="Times New Roman" w:hAnsi="Times New Roman"/>
          <w:sz w:val="22"/>
          <w:szCs w:val="22"/>
        </w:rPr>
        <w:t xml:space="preserve">Take a representative slice of the existing CVS firewall rule set — see §3 for the proposed scope — and re-express the access it currently grants as MPE intent statements. Confirm that the intent abstraction is </w:t>
      </w:r>
      <w:r>
        <w:rPr>
          <w:rFonts w:ascii="Times New Roman" w:cs="Times New Roman" w:eastAsia="Times New Roman" w:hAnsi="Times New Roman"/>
          <w:b/>
          <w:bCs/>
          <w:sz w:val="22"/>
          <w:szCs w:val="22"/>
        </w:rPr>
        <w:t xml:space="preserve">expressively sufficient</w:t>
      </w:r>
      <w:r>
        <w:rPr>
          <w:rFonts w:ascii="Times New Roman" w:cs="Times New Roman" w:eastAsia="Times New Roman" w:hAnsi="Times New Roman"/>
          <w:sz w:val="22"/>
          <w:szCs w:val="22"/>
        </w:rPr>
        <w:t xml:space="preserve"> to represent the legitimate access patterns in scope, and document any cases where current production access cannot be cleanly expressed as intent.</w:t>
      </w:r>
    </w:p>
    <w:p>
      <w:pPr>
        <w:pStyle w:val="Heading2"/>
        <w:spacing w:after="120" w:before="280"/>
        <w:jc w:val="left"/>
      </w:pPr>
      <w:r>
        <w:rPr>
          <w:rFonts w:ascii="Times New Roman" w:cs="Times New Roman" w:eastAsia="Times New Roman" w:hAnsi="Times New Roman"/>
          <w:b/>
          <w:bCs/>
          <w:sz w:val="22"/>
          <w:szCs w:val="22"/>
        </w:rPr>
        <w:t xml:space="preserve">2.2 Validate Multi-Vendor Generation</w:t>
      </w:r>
    </w:p>
    <w:p>
      <w:pPr>
        <w:spacing w:after="120" w:before="0" w:line="276" w:lineRule="exact"/>
        <w:jc w:val="both"/>
      </w:pPr>
      <w:r>
        <w:rPr>
          <w:rFonts w:ascii="Times New Roman" w:cs="Times New Roman" w:eastAsia="Times New Roman" w:hAnsi="Times New Roman"/>
          <w:sz w:val="22"/>
          <w:szCs w:val="22"/>
        </w:rPr>
        <w:t xml:space="preserve">For at least one Cisco-enforced path and one Palo Alto-enforced path within the POC scope, confirm that MPE generates the appropriate vendor-specific rule artifacts (Cisco Secure Firewall ACP rules and Palo Alto security policy rules) from a single intent declaration, and that the generated rules deploy successfully without manual intervention or hand-editing.</w:t>
      </w:r>
    </w:p>
    <w:p>
      <w:pPr>
        <w:pStyle w:val="Heading2"/>
        <w:spacing w:after="120" w:before="280"/>
        <w:jc w:val="left"/>
      </w:pPr>
      <w:r>
        <w:rPr>
          <w:rFonts w:ascii="Times New Roman" w:cs="Times New Roman" w:eastAsia="Times New Roman" w:hAnsi="Times New Roman"/>
          <w:b/>
          <w:bCs/>
          <w:sz w:val="22"/>
          <w:szCs w:val="22"/>
        </w:rPr>
        <w:t xml:space="preserve">2.3 Measure Redundant-Rule and Object Reduction</w:t>
      </w:r>
    </w:p>
    <w:p>
      <w:pPr>
        <w:spacing w:after="120" w:before="0" w:line="276" w:lineRule="exact"/>
        <w:jc w:val="both"/>
      </w:pPr>
      <w:r>
        <w:rPr>
          <w:rFonts w:ascii="Times New Roman" w:cs="Times New Roman" w:eastAsia="Times New Roman" w:hAnsi="Times New Roman"/>
          <w:sz w:val="22"/>
          <w:szCs w:val="22"/>
        </w:rPr>
        <w:t xml:space="preserve">Quantify the redundant-rule and object-reduction achieved on the in-scope rule set after MPE ingestion and consolidation. Cisco public messaging reports up to 80% rule reduction and 35% object reduction. The POC will measure the actual reduction on CVS rule data and report it against those claims.</w:t>
      </w:r>
    </w:p>
    <w:p>
      <w:pPr>
        <w:pStyle w:val="Heading2"/>
        <w:spacing w:after="120" w:before="280"/>
        <w:jc w:val="left"/>
      </w:pPr>
      <w:r>
        <w:rPr>
          <w:rFonts w:ascii="Times New Roman" w:cs="Times New Roman" w:eastAsia="Times New Roman" w:hAnsi="Times New Roman"/>
          <w:b/>
          <w:bCs/>
          <w:sz w:val="22"/>
          <w:szCs w:val="22"/>
        </w:rPr>
        <w:t xml:space="preserve">2.4 Validate the Operational Model</w:t>
      </w:r>
    </w:p>
    <w:p>
      <w:pPr>
        <w:spacing w:after="120" w:before="0" w:line="276" w:lineRule="exact"/>
        <w:jc w:val="both"/>
      </w:pPr>
      <w:r>
        <w:rPr>
          <w:rFonts w:ascii="Times New Roman" w:cs="Times New Roman" w:eastAsia="Times New Roman" w:hAnsi="Times New Roman"/>
          <w:sz w:val="22"/>
          <w:szCs w:val="22"/>
        </w:rPr>
        <w:t xml:space="preserve">Exercise the day-to-day operational workflow that MPE implies: intent authoring, review, deployment, monitoring, drift detection, intent revision, and intent retirement. Confirm that the workflow is operable by CVS staff (network, security operations, security architecture) without requiring a single-point Cisco-expert chokepoint. Document the training, runbook, and access-model changes that production adoption would require.</w:t>
      </w:r>
    </w:p>
    <w:p>
      <w:pPr>
        <w:pStyle w:val="Heading2"/>
        <w:spacing w:after="120" w:before="280"/>
        <w:jc w:val="left"/>
      </w:pPr>
      <w:r>
        <w:rPr>
          <w:rFonts w:ascii="Times New Roman" w:cs="Times New Roman" w:eastAsia="Times New Roman" w:hAnsi="Times New Roman"/>
          <w:b/>
          <w:bCs/>
          <w:sz w:val="22"/>
          <w:szCs w:val="22"/>
        </w:rPr>
        <w:t xml:space="preserve">2.5 Establish the L7 Roadmap Conversation</w:t>
      </w:r>
    </w:p>
    <w:p>
      <w:pPr>
        <w:spacing w:after="120" w:before="0" w:line="276" w:lineRule="exact"/>
        <w:jc w:val="both"/>
      </w:pPr>
      <w:r>
        <w:rPr>
          <w:rFonts w:ascii="Times New Roman" w:cs="Times New Roman" w:eastAsia="Times New Roman" w:hAnsi="Times New Roman"/>
          <w:sz w:val="22"/>
          <w:szCs w:val="22"/>
        </w:rPr>
        <w:t xml:space="preserve">Use the POC engagement to establish a structured product-management conversation with Cisco on extending the MPE intent model to App-ID classification, IDS/IPS profile assignment, DLP content rules, and threat-protection profiles. The output is not a commitment from Cisco. The output is a documented joint understanding of which extensions are on the Cisco roadmap, which are gaps, and which require CVS-specific feature requests.</w:t>
      </w:r>
    </w:p>
    <w:p>
      <w:pPr>
        <w:pStyle w:val="Heading1"/>
        <w:spacing w:after="160" w:before="360"/>
        <w:jc w:val="left"/>
      </w:pPr>
      <w:r>
        <w:rPr>
          <w:rFonts w:ascii="Times New Roman" w:cs="Times New Roman" w:eastAsia="Times New Roman" w:hAnsi="Times New Roman"/>
          <w:b/>
          <w:bCs/>
          <w:caps/>
          <w:sz w:val="26"/>
          <w:szCs w:val="26"/>
        </w:rPr>
        <w:t xml:space="preserve">3. SCOPE</w:t>
      </w:r>
    </w:p>
    <w:p>
      <w:pPr>
        <w:pStyle w:val="Heading2"/>
        <w:spacing w:after="120" w:before="280"/>
        <w:jc w:val="left"/>
      </w:pPr>
      <w:r>
        <w:rPr>
          <w:rFonts w:ascii="Times New Roman" w:cs="Times New Roman" w:eastAsia="Times New Roman" w:hAnsi="Times New Roman"/>
          <w:b/>
          <w:bCs/>
          <w:sz w:val="22"/>
          <w:szCs w:val="22"/>
        </w:rPr>
        <w:t xml:space="preserve">3.1 In-Scope Environment</w:t>
      </w:r>
    </w:p>
    <w:p>
      <w:pPr>
        <w:spacing w:after="120" w:before="0" w:line="276" w:lineRule="exact"/>
        <w:jc w:val="both"/>
      </w:pPr>
      <w:r>
        <w:rPr>
          <w:rFonts w:ascii="Times New Roman" w:cs="Times New Roman" w:eastAsia="Times New Roman" w:hAnsi="Times New Roman"/>
          <w:sz w:val="22"/>
          <w:szCs w:val="22"/>
        </w:rPr>
        <w:t xml:space="preserve">The POC will be conducted in a bounded segment of the CVS firewall estate selected to meet four criteria: (a) heterogeneous vendor coverage so that the multi-vendor claim is exercised, (b) sufficient rule volume to make the reduction measurement statistically meaningful, (c) a clearly bounded set of applications so that intent authoring is tractable, and (d) low enough blast radius that a misconfiguration during the POC does not threaten production availability.</w:t>
      </w:r>
    </w:p>
    <w:p>
      <w:pPr>
        <w:spacing w:after="120" w:before="0" w:line="276" w:lineRule="exact"/>
        <w:jc w:val="both"/>
      </w:pPr>
      <w:r>
        <w:rPr>
          <w:rFonts w:ascii="Times New Roman" w:cs="Times New Roman" w:eastAsia="Times New Roman" w:hAnsi="Times New Roman"/>
          <w:sz w:val="22"/>
          <w:szCs w:val="22"/>
        </w:rPr>
        <w:t xml:space="preserve">The proposed scope is summarized in Table 1 and is subject to refinement during POC kickoff.</w:t>
      </w:r>
    </w:p>
    <w:p>
      <w:pPr>
        <w:spacing w:after="80" w:before="120"/>
        <w:jc w:val="center"/>
      </w:pPr>
      <w:r>
        <w:rPr>
          <w:rFonts w:ascii="Times New Roman" w:cs="Times New Roman" w:eastAsia="Times New Roman" w:hAnsi="Times New Roman"/>
          <w:i/>
          <w:iCs/>
          <w:sz w:val="20"/>
          <w:szCs w:val="20"/>
        </w:rPr>
        <w:t xml:space="preserve">Table 1. Proposed POC environment scope.</w:t>
      </w:r>
    </w:p>
    <w:tbl>
      <w:tblPr>
        <w:tblW w:type="dxa" w:w="8928"/>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cantSplit/>
          <w:tblHeader/>
        </w:trPr>
        <w:tc>
          <w:tcPr>
            <w:tcW w:type="dxa" w:w="22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bCs/>
                <w:sz w:val="19"/>
                <w:szCs w:val="19"/>
              </w:rPr>
              <w:t xml:space="preserve">Element</w:t>
            </w:r>
          </w:p>
        </w:tc>
        <w:tc>
          <w:tcPr>
            <w:tcW w:type="dxa" w:w="29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bCs/>
                <w:sz w:val="19"/>
                <w:szCs w:val="19"/>
              </w:rPr>
              <w:t xml:space="preserve">Selection</w:t>
            </w:r>
          </w:p>
        </w:tc>
        <w:tc>
          <w:tcPr>
            <w:tcW w:type="dxa" w:w="382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bCs/>
                <w:sz w:val="19"/>
                <w:szCs w:val="19"/>
              </w:rPr>
              <w:t xml:space="preserve">Rationale</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Firewall vendors</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Cisco Secure Firewall + Palo Alto Networks</w:t>
            </w:r>
          </w:p>
        </w:tc>
        <w:tc>
          <w:tcPr>
            <w:tcW w:type="dxa" w:w="3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Exercises the multi-vendor abstraction; both vendors are present in CVS production today</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Number of enforcement points</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4–8 firewall instances</w:t>
            </w:r>
          </w:p>
        </w:tc>
        <w:tc>
          <w:tcPr>
            <w:tcW w:type="dxa" w:w="3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Sufficient path heterogeneity without scale management overhead</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Application population</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8–12 named applications</w:t>
            </w:r>
          </w:p>
        </w:tc>
        <w:tc>
          <w:tcPr>
            <w:tcW w:type="dxa" w:w="3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Tractable for intent authoring; meaningful for path coverage</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Rule volume</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2,000–5,000 existing rules</w:t>
            </w:r>
          </w:p>
        </w:tc>
        <w:tc>
          <w:tcPr>
            <w:tcW w:type="dxa" w:w="3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Statistically meaningful for the reduction measurement</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Environment classification</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Non-production or low-criticality production</w:t>
            </w:r>
          </w:p>
        </w:tc>
        <w:tc>
          <w:tcPr>
            <w:tcW w:type="dxa" w:w="3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Bounded blast radius for misconfiguration</w:t>
            </w:r>
          </w:p>
        </w:tc>
      </w:tr>
      <w:tr>
        <w:trPr>
          <w:cantSplit/>
        </w:trPr>
        <w:tc>
          <w:tcPr>
            <w:tcW w:type="dxa" w:w="22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Network zones</w:t>
            </w:r>
          </w:p>
        </w:tc>
        <w:tc>
          <w:tcPr>
            <w:tcW w:type="dxa" w:w="29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At least 2 distinct security zones</w:t>
            </w:r>
          </w:p>
        </w:tc>
        <w:tc>
          <w:tcPr>
            <w:tcW w:type="dxa" w:w="38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Exercises cross-zone intent and inter-zone path computation</w:t>
            </w:r>
          </w:p>
        </w:tc>
      </w:tr>
    </w:tbl>
    <w:p>
      <w:pPr>
        <w:pStyle w:val="Heading2"/>
        <w:spacing w:after="120" w:before="280"/>
        <w:jc w:val="left"/>
      </w:pPr>
      <w:r>
        <w:rPr>
          <w:rFonts w:ascii="Times New Roman" w:cs="Times New Roman" w:eastAsia="Times New Roman" w:hAnsi="Times New Roman"/>
          <w:b/>
          <w:bCs/>
          <w:sz w:val="22"/>
          <w:szCs w:val="22"/>
        </w:rPr>
        <w:t xml:space="preserve">3.2 Out of Scope</w:t>
      </w:r>
    </w:p>
    <w:p>
      <w:pPr>
        <w:spacing w:after="120" w:before="0" w:line="276" w:lineRule="exact"/>
        <w:jc w:val="both"/>
      </w:pPr>
      <w:r>
        <w:rPr>
          <w:rFonts w:ascii="Times New Roman" w:cs="Times New Roman" w:eastAsia="Times New Roman" w:hAnsi="Times New Roman"/>
          <w:sz w:val="22"/>
          <w:szCs w:val="22"/>
        </w:rPr>
        <w:t xml:space="preserve">The following are explicitly out of scope for this POC and will be addressed, if at all, in subsequent work.</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Workload-level microsegmentation</w:t>
      </w:r>
      <w:r>
        <w:rPr>
          <w:rFonts w:ascii="Times New Roman" w:cs="Times New Roman" w:eastAsia="Times New Roman" w:hAnsi="Times New Roman"/>
          <w:sz w:val="22"/>
          <w:szCs w:val="22"/>
        </w:rPr>
        <w:t xml:space="preserve"> (Cisco Secure Workload, Illumio, Akamai Guardicore). MPE governs network firewalls. Host-level segmentation is a separate control surface.</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Cloud-native policy</w:t>
      </w:r>
      <w:r>
        <w:rPr>
          <w:rFonts w:ascii="Times New Roman" w:cs="Times New Roman" w:eastAsia="Times New Roman" w:hAnsi="Times New Roman"/>
          <w:sz w:val="22"/>
          <w:szCs w:val="22"/>
        </w:rPr>
        <w:t xml:space="preserve"> (AWS Security Groups, Azure NSGs, GCP firewall rules). MPE has roadmap relevance here but the GA scope is on-premises and hybrid firewalls.</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Identity-aware ZTNA</w:t>
      </w:r>
      <w:r>
        <w:rPr>
          <w:rFonts w:ascii="Times New Roman" w:cs="Times New Roman" w:eastAsia="Times New Roman" w:hAnsi="Times New Roman"/>
          <w:sz w:val="22"/>
          <w:szCs w:val="22"/>
        </w:rPr>
        <w:t xml:space="preserve"> (Cisco Secure Access, Zscaler Private Access, Cloudflare Access). User-to-application access is a separate control surface.</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Service mesh authorization</w:t>
      </w:r>
      <w:r>
        <w:rPr>
          <w:rFonts w:ascii="Times New Roman" w:cs="Times New Roman" w:eastAsia="Times New Roman" w:hAnsi="Times New Roman"/>
          <w:sz w:val="22"/>
          <w:szCs w:val="22"/>
        </w:rPr>
        <w:t xml:space="preserve"> (Istio, Cilium, Consul). Application-to-application policy </w:t>
      </w:r>
      <w:r>
        <w:rPr>
          <w:rFonts w:ascii="Times New Roman" w:cs="Times New Roman" w:eastAsia="Times New Roman" w:hAnsi="Times New Roman"/>
          <w:i/>
          <w:iCs/>
          <w:sz w:val="22"/>
          <w:szCs w:val="22"/>
        </w:rPr>
        <w:t xml:space="preserve">inside</w:t>
      </w:r>
      <w:r>
        <w:rPr>
          <w:rFonts w:ascii="Times New Roman" w:cs="Times New Roman" w:eastAsia="Times New Roman" w:hAnsi="Times New Roman"/>
          <w:sz w:val="22"/>
          <w:szCs w:val="22"/>
        </w:rPr>
        <w:t xml:space="preserve"> a Kubernetes cluster is enforced by mesh sidecars, not network firewalls.</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L7 controls</w:t>
      </w:r>
      <w:r>
        <w:rPr>
          <w:rFonts w:ascii="Times New Roman" w:cs="Times New Roman" w:eastAsia="Times New Roman" w:hAnsi="Times New Roman"/>
          <w:sz w:val="22"/>
          <w:szCs w:val="22"/>
        </w:rPr>
        <w:t xml:space="preserve"> (App-ID, IDS/IPS, DLP, threat protection). In scope for the roadmap conversation per §2.5; </w:t>
      </w:r>
      <w:r>
        <w:rPr>
          <w:rFonts w:ascii="Times New Roman" w:cs="Times New Roman" w:eastAsia="Times New Roman" w:hAnsi="Times New Roman"/>
          <w:b/>
          <w:bCs/>
          <w:sz w:val="22"/>
          <w:szCs w:val="22"/>
        </w:rPr>
        <w:t xml:space="preserve">not</w:t>
      </w:r>
      <w:r>
        <w:rPr>
          <w:rFonts w:ascii="Times New Roman" w:cs="Times New Roman" w:eastAsia="Times New Roman" w:hAnsi="Times New Roman"/>
          <w:sz w:val="22"/>
          <w:szCs w:val="22"/>
        </w:rPr>
        <w:t xml:space="preserve"> in scope for hands-on validation in this POC.</w:t>
      </w:r>
    </w:p>
    <w:p>
      <w:pPr>
        <w:spacing w:after="120" w:before="0" w:line="276" w:lineRule="exact"/>
        <w:jc w:val="both"/>
      </w:pPr>
      <w:r>
        <w:rPr>
          <w:rFonts w:ascii="Times New Roman" w:cs="Times New Roman" w:eastAsia="Times New Roman" w:hAnsi="Times New Roman"/>
          <w:sz w:val="22"/>
          <w:szCs w:val="22"/>
        </w:rPr>
        <w:t xml:space="preserve">The boundary between MPE and Cisco Secure Workload is particularly important to maintain. Both are intent-based control products from the same vendor, both reduce attack surface through declared policy, and both will likely appear in any longer-term CVS intent architecture. They operate on different control surfaces (network firewall vs. host workload), generate different enforcement artifacts (firewall rules vs. host firewall / overlay enforcement), and require different operational models. This POC validates only MPE.</w:t>
      </w:r>
    </w:p>
    <w:p>
      <w:pPr>
        <w:pStyle w:val="Heading2"/>
        <w:spacing w:after="120" w:before="240"/>
        <w:jc w:val="left"/>
      </w:pPr>
      <w:r>
        <w:rPr>
          <w:rFonts w:ascii="Times New Roman" w:cs="Times New Roman" w:eastAsia="Times New Roman" w:hAnsi="Times New Roman"/>
          <w:b/>
          <w:bCs/>
          <w:sz w:val="24"/>
          <w:szCs w:val="24"/>
        </w:rPr>
        <w:t xml:space="preserve">3.3 Prerequisites for Production Deployment</w:t>
      </w:r>
    </w:p>
    <w:p>
      <w:pPr>
        <w:spacing w:after="120" w:before="0" w:line="276" w:lineRule="exact"/>
        <w:jc w:val="both"/>
      </w:pPr>
      <w:r>
        <w:rPr>
          <w:rFonts w:ascii="Times New Roman" w:cs="Times New Roman" w:eastAsia="Times New Roman" w:hAnsi="Times New Roman"/>
          <w:sz w:val="22"/>
          <w:szCs w:val="22"/>
        </w:rPr>
        <w:t xml:space="preserve">The MPE POC validates the intent abstraction, multi-vendor rule generation, and operational workflow against a bounded slice of the CVS firewall estate. It does not, by itself, constitute a production operating model. Two parallel workstreams are required before MPE deployment can be extended to the broader CVS estate, and both must reach completion as explicit deliverables. The POC and these workstreams may proceed in parallel, but production expansion of MPE is gated on both being complete.</w:t>
      </w:r>
    </w:p>
    <w:p>
      <w:pPr>
        <w:pStyle w:val="Heading3"/>
        <w:spacing w:after="80" w:before="160"/>
        <w:jc w:val="left"/>
      </w:pPr>
      <w:r>
        <w:rPr>
          <w:rFonts w:ascii="Times New Roman" w:cs="Times New Roman" w:eastAsia="Times New Roman" w:hAnsi="Times New Roman"/>
          <w:b/>
          <w:bCs/>
          <w:sz w:val="22"/>
          <w:szCs w:val="22"/>
        </w:rPr>
        <w:t xml:space="preserve">3.3.1  Application Object Library</w:t>
      </w:r>
    </w:p>
    <w:p>
      <w:pPr>
        <w:spacing w:after="120" w:before="0" w:line="276" w:lineRule="exact"/>
        <w:jc w:val="both"/>
      </w:pPr>
      <w:r>
        <w:rPr>
          <w:rFonts w:ascii="Times New Roman" w:cs="Times New Roman" w:eastAsia="Times New Roman" w:hAnsi="Times New Roman"/>
          <w:sz w:val="22"/>
          <w:szCs w:val="22"/>
        </w:rPr>
        <w:t xml:space="preserve">MPE intent statements are authored against named application objects. In the POC, application objects for the 8–12 in-scope applications will be defined during Phase 1 discovery. For production deployment across the broader CVS estate, a complete and maintained Application Object Library is required before intent can be authored at scale.</w:t>
      </w:r>
    </w:p>
    <w:p>
      <w:pPr>
        <w:spacing w:after="120" w:before="0" w:line="276" w:lineRule="exact"/>
        <w:jc w:val="both"/>
      </w:pPr>
      <w:r>
        <w:rPr>
          <w:rFonts w:ascii="Times New Roman" w:cs="Times New Roman" w:eastAsia="Times New Roman" w:hAnsi="Times New Roman"/>
          <w:sz w:val="22"/>
          <w:szCs w:val="22"/>
        </w:rPr>
        <w:t xml:space="preserve">The Object Library must define four object classes for every application in scope: (1) </w:t>
      </w:r>
      <w:r>
        <w:rPr>
          <w:rFonts w:ascii="Times New Roman" w:cs="Times New Roman" w:eastAsia="Times New Roman" w:hAnsi="Times New Roman"/>
          <w:b/>
          <w:bCs/>
          <w:sz w:val="22"/>
          <w:szCs w:val="22"/>
        </w:rPr>
        <w:t xml:space="preserve">APP Objects</w:t>
      </w:r>
      <w:r>
        <w:rPr>
          <w:rFonts w:ascii="Times New Roman" w:cs="Times New Roman" w:eastAsia="Times New Roman" w:hAnsi="Times New Roman"/>
          <w:sz w:val="22"/>
          <w:szCs w:val="22"/>
        </w:rPr>
        <w:t xml:space="preserve"> — the complete network identity of each internal application, including server IPs, VIPs, and SNAT/PAT translated addresses as the application appears at each routing-domain boundary; (2) </w:t>
      </w:r>
      <w:r>
        <w:rPr>
          <w:rFonts w:ascii="Times New Roman" w:cs="Times New Roman" w:eastAsia="Times New Roman" w:hAnsi="Times New Roman"/>
          <w:b/>
          <w:bCs/>
          <w:sz w:val="22"/>
          <w:szCs w:val="22"/>
        </w:rPr>
        <w:t xml:space="preserve">Infrastructure Service Objects</w:t>
      </w:r>
      <w:r>
        <w:rPr>
          <w:rFonts w:ascii="Times New Roman" w:cs="Times New Roman" w:eastAsia="Times New Roman" w:hAnsi="Times New Roman"/>
          <w:sz w:val="22"/>
          <w:szCs w:val="22"/>
        </w:rPr>
        <w:t xml:space="preserve"> — shared platform dependencies (Active Directory, DNS, Splunk, SAML brokers, proxies, platform management) defined once and consumed as policy primitives by all applications; (3) </w:t>
      </w:r>
      <w:r>
        <w:rPr>
          <w:rFonts w:ascii="Times New Roman" w:cs="Times New Roman" w:eastAsia="Times New Roman" w:hAnsi="Times New Roman"/>
          <w:b/>
          <w:bCs/>
          <w:sz w:val="22"/>
          <w:szCs w:val="22"/>
        </w:rPr>
        <w:t xml:space="preserve">External Application and Service Objects</w:t>
      </w:r>
      <w:r>
        <w:rPr>
          <w:rFonts w:ascii="Times New Roman" w:cs="Times New Roman" w:eastAsia="Times New Roman" w:hAnsi="Times New Roman"/>
          <w:sz w:val="22"/>
          <w:szCs w:val="22"/>
        </w:rPr>
        <w:t xml:space="preserve"> — off-premises endpoints (external identity providers, SaaS APIs, cloud provider control planes, partner APIs) that on-premises applications communicate with; and (4) a </w:t>
      </w:r>
      <w:r>
        <w:rPr>
          <w:rFonts w:ascii="Times New Roman" w:cs="Times New Roman" w:eastAsia="Times New Roman" w:hAnsi="Times New Roman"/>
          <w:b/>
          <w:bCs/>
          <w:sz w:val="22"/>
          <w:szCs w:val="22"/>
        </w:rPr>
        <w:t xml:space="preserve">Path Logic Model</w:t>
      </w:r>
      <w:r>
        <w:rPr>
          <w:rFonts w:ascii="Times New Roman" w:cs="Times New Roman" w:eastAsia="Times New Roman" w:hAnsi="Times New Roman"/>
          <w:sz w:val="22"/>
          <w:szCs w:val="22"/>
        </w:rPr>
        <w:t xml:space="preserve"> — a topology graph encoding CVS’s three routing domains (CVS-Enterprise, Aetna/HCB, CVS Retail), their cloud peering paths (domain-specific Equinix Direct Connect and ExpressRoute), the firewall device groups at each domain boundary, and the primary/backup site pairs that must receive identical policy. The Path Logic Model is what allows the policy engine to determine, without human intervention, which firewall device groups are in scope for a given intent declaration and which address representation of each APP object applies at each enforcement point.</w:t>
      </w:r>
    </w:p>
    <w:p>
      <w:pPr>
        <w:spacing w:after="120" w:before="0" w:line="276" w:lineRule="exact"/>
        <w:jc w:val="both"/>
      </w:pPr>
      <w:r>
        <w:rPr>
          <w:rFonts w:ascii="Times New Roman" w:cs="Times New Roman" w:eastAsia="Times New Roman" w:hAnsi="Times New Roman"/>
          <w:sz w:val="22"/>
          <w:szCs w:val="22"/>
        </w:rPr>
        <w:t xml:space="preserve">The Object Library is sourced from the CVS CCD (Cyber &amp; Compliance Data) Platform — specifically the IPAM dataset, enterprise host master, and firewall enrichment pipeline, which are currently mining device configurations to reconstruct application IP identities, SNAT/PAT mappings, and external dependency catalogs. The Object Library deliverable (§8) formalizes this analytical output as a maintained, versioned operational data source that the intent workflow depends on at runtime. Without a complete and current Object Library, intent authoring at production scale is not operationally sustainable.</w:t>
      </w:r>
    </w:p>
    <w:p>
      <w:pPr>
        <w:pStyle w:val="Heading3"/>
        <w:spacing w:after="80" w:before="160"/>
        <w:jc w:val="left"/>
      </w:pPr>
      <w:r>
        <w:rPr>
          <w:rFonts w:ascii="Times New Roman" w:cs="Times New Roman" w:eastAsia="Times New Roman" w:hAnsi="Times New Roman"/>
          <w:b/>
          <w:bCs/>
          <w:sz w:val="22"/>
          <w:szCs w:val="22"/>
        </w:rPr>
        <w:t xml:space="preserve">3.3.2  ServiceNow Intake Redesign</w:t>
      </w:r>
    </w:p>
    <w:p>
      <w:pPr>
        <w:spacing w:after="120" w:before="0" w:line="276" w:lineRule="exact"/>
        <w:jc w:val="both"/>
      </w:pPr>
      <w:r>
        <w:rPr>
          <w:rFonts w:ascii="Times New Roman" w:cs="Times New Roman" w:eastAsia="Times New Roman" w:hAnsi="Times New Roman"/>
          <w:sz w:val="22"/>
          <w:szCs w:val="22"/>
        </w:rPr>
        <w:t xml:space="preserve">The current SNOW firewall change request form requires requestors to specify source IP addresses, destination IP addresses, and ports. This intake model is structurally incompatible with intent-based policy management: it forces requestors to perform the network-to-application translation that the intent model is designed to eliminate, produces rules with no application context, and provides no mechanism to associate a security content profile group with a rule at the time of creation.</w:t>
      </w:r>
    </w:p>
    <w:p>
      <w:pPr>
        <w:spacing w:after="120" w:before="0" w:line="276" w:lineRule="exact"/>
        <w:jc w:val="both"/>
      </w:pPr>
      <w:r>
        <w:rPr>
          <w:rFonts w:ascii="Times New Roman" w:cs="Times New Roman" w:eastAsia="Times New Roman" w:hAnsi="Times New Roman"/>
          <w:sz w:val="22"/>
          <w:szCs w:val="22"/>
        </w:rPr>
        <w:t xml:space="preserve">The redesigned intake replaces the IP/port form with an application-level intent declaration: the requestor selects source and destination from the Object Library (APP object, Infrastructure Service, or External object), selects a security content profile tier (enforcing by default; alert-only as a documented exception), provides a business justification, and specifies a rule expiry date. The form derives firewall device group scope automatically via the Path Logic Model — the requestor does not specify which firewalls to target.</w:t>
      </w:r>
    </w:p>
    <w:p>
      <w:pPr>
        <w:spacing w:after="120" w:before="0" w:line="276" w:lineRule="exact"/>
        <w:jc w:val="both"/>
      </w:pPr>
      <w:r>
        <w:rPr>
          <w:rFonts w:ascii="Times New Roman" w:cs="Times New Roman" w:eastAsia="Times New Roman" w:hAnsi="Times New Roman"/>
          <w:sz w:val="22"/>
          <w:szCs w:val="22"/>
        </w:rPr>
        <w:t xml:space="preserve">The SNOW redesign is a CVS-internal workstream and is not part of the joint CVS/Cisco MPE engagement. It is listed here because it is a hard dependency for production deployment: MPE can generate and deploy correct rules from an intent set authored during the POC, but if the operational intake that generates new rules post-POC remains IP/port-based, the intent model does not become the operating model — it becomes a parallel track that diverges from production practice over time. The SNOW Intake Redesign deliverable (§8) is the gate between POC completion and production adoption.</w:t>
      </w:r>
    </w:p>
    <w:p>
      <w:pPr>
        <w:pStyle w:val="Heading1"/>
        <w:spacing w:after="160" w:before="360"/>
        <w:jc w:val="left"/>
      </w:pPr>
      <w:r>
        <w:rPr>
          <w:rFonts w:ascii="Times New Roman" w:cs="Times New Roman" w:eastAsia="Times New Roman" w:hAnsi="Times New Roman"/>
          <w:b/>
          <w:bCs/>
          <w:caps/>
          <w:sz w:val="26"/>
          <w:szCs w:val="26"/>
        </w:rPr>
        <w:t xml:space="preserve">4. SUCCESS CRITERIA</w:t>
      </w:r>
    </w:p>
    <w:p>
      <w:pPr>
        <w:spacing w:after="120" w:before="0" w:line="276" w:lineRule="exact"/>
        <w:jc w:val="both"/>
      </w:pPr>
      <w:r>
        <w:rPr>
          <w:rFonts w:ascii="Times New Roman" w:cs="Times New Roman" w:eastAsia="Times New Roman" w:hAnsi="Times New Roman"/>
          <w:sz w:val="22"/>
          <w:szCs w:val="22"/>
        </w:rPr>
        <w:t xml:space="preserve">The POC will be assessed against eight measurable success criteria. Each is a pass/fail determination with explicit measurement methodology.</w:t>
      </w:r>
    </w:p>
    <w:p>
      <w:pPr>
        <w:spacing w:after="80" w:before="120"/>
        <w:jc w:val="center"/>
      </w:pPr>
      <w:r>
        <w:rPr>
          <w:rFonts w:ascii="Times New Roman" w:cs="Times New Roman" w:eastAsia="Times New Roman" w:hAnsi="Times New Roman"/>
          <w:i/>
          <w:iCs/>
          <w:sz w:val="20"/>
          <w:szCs w:val="20"/>
        </w:rPr>
        <w:t xml:space="preserve">Table 2. POC success criteria.</w:t>
      </w:r>
    </w:p>
    <w:tbl>
      <w:tblPr>
        <w:tblW w:type="dxa" w:w="8928"/>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tblHeader/>
        </w:trPr>
        <w:tc>
          <w:tcPr>
            <w:tcW w:type="dxa" w:w="5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bCs/>
                <w:sz w:val="19"/>
                <w:szCs w:val="19"/>
              </w:rPr>
              <w:t xml:space="preserve">#</w:t>
            </w:r>
          </w:p>
        </w:tc>
        <w:tc>
          <w:tcPr>
            <w:tcW w:type="dxa" w:w="20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bCs/>
                <w:sz w:val="19"/>
                <w:szCs w:val="19"/>
              </w:rPr>
              <w:t xml:space="preserve">Criterion</w:t>
            </w:r>
          </w:p>
        </w:tc>
        <w:tc>
          <w:tcPr>
            <w:tcW w:type="dxa" w:w="34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bCs/>
                <w:sz w:val="19"/>
                <w:szCs w:val="19"/>
              </w:rPr>
              <w:t xml:space="preserve">Threshold</w:t>
            </w:r>
          </w:p>
        </w:tc>
        <w:tc>
          <w:tcPr>
            <w:tcW w:type="dxa" w:w="302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bCs/>
                <w:sz w:val="19"/>
                <w:szCs w:val="19"/>
              </w:rPr>
              <w:t xml:space="preserve">Measurement</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1</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Intent expressiveness</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 95% of in-scope production access expressible as MPE intent without manual exceptions</w:t>
            </w:r>
          </w:p>
        </w:tc>
        <w:tc>
          <w:tcPr>
            <w:tcW w:type="dxa" w:w="30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Count of access patterns / count expressible</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2</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Multi-vendor generation</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100% of generated rules deploy successfully to Cisco and Palo Alto enforcement points without hand-editing</w:t>
            </w:r>
          </w:p>
        </w:tc>
        <w:tc>
          <w:tcPr>
            <w:tcW w:type="dxa" w:w="30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Deployment success rate per generated rule</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3</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Rule reduction</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 50% reduction in active rule count after MPE consolidation</w:t>
            </w:r>
          </w:p>
        </w:tc>
        <w:tc>
          <w:tcPr>
            <w:tcW w:type="dxa" w:w="30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Pre-MPE count vs. post-MPE count, in-scope rule set</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4</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Object reduction</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 20% reduction in firewall object count</w:t>
            </w:r>
          </w:p>
        </w:tc>
        <w:tc>
          <w:tcPr>
            <w:tcW w:type="dxa" w:w="30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Pre-MPE count vs. post-MPE count, in-scope object set</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5</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Drift detection</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100% of out-of-band rule changes flagged within 24 hours</w:t>
            </w:r>
          </w:p>
        </w:tc>
        <w:tc>
          <w:tcPr>
            <w:tcW w:type="dxa" w:w="30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Injection of test changes; measure detection latency</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6</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Operator workflow</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CVS network operators complete representative tasks (new intent, modify intent, retire intent, investigate violation) within documented runbook</w:t>
            </w:r>
          </w:p>
        </w:tc>
        <w:tc>
          <w:tcPr>
            <w:tcW w:type="dxa" w:w="30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Task completion by CVS staff without Cisco assistance</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7</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Audit posture</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Audit query "who can reach customer-PII-application from which sources" answerable from MPE alone in &lt; 5 minutes</w:t>
            </w:r>
          </w:p>
        </w:tc>
        <w:tc>
          <w:tcPr>
            <w:tcW w:type="dxa" w:w="30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Timed exercise with audit-representative query set</w:t>
            </w:r>
          </w:p>
        </w:tc>
      </w:tr>
      <w:tr>
        <w:trPr>
          <w:cantSplit/>
        </w:trPr>
        <w:tc>
          <w:tcPr>
            <w:tcW w:type="dxa" w:w="5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8</w:t>
            </w:r>
          </w:p>
        </w:tc>
        <w:tc>
          <w:tcPr>
            <w:tcW w:type="dxa" w:w="20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L7 roadmap output</w:t>
            </w:r>
          </w:p>
        </w:tc>
        <w:tc>
          <w:tcPr>
            <w:tcW w:type="dxa" w:w="34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Documented Cisco–CVS joint position on App-ID, IDS/IPS, DLP, threat-policy intent extension</w:t>
            </w:r>
          </w:p>
        </w:tc>
        <w:tc>
          <w:tcPr>
            <w:tcW w:type="dxa" w:w="30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Written document signed off by both sides</w:t>
            </w:r>
          </w:p>
        </w:tc>
      </w:tr>
    </w:tbl>
    <w:p>
      <w:pPr>
        <w:spacing w:after="120" w:before="0" w:line="276" w:lineRule="exact"/>
        <w:jc w:val="both"/>
      </w:pPr>
      <w:r>
        <w:rPr>
          <w:rFonts w:ascii="Times New Roman" w:cs="Times New Roman" w:eastAsia="Times New Roman" w:hAnsi="Times New Roman"/>
          <w:sz w:val="22"/>
          <w:szCs w:val="22"/>
        </w:rPr>
        <w:t xml:space="preserve">Criteria 1–7 are quantitative and measured against the production data in scope. Criterion 8 is qualitative and is a deliverable of the engagement itself.</w:t>
      </w:r>
    </w:p>
    <w:p>
      <w:pPr>
        <w:spacing w:after="120" w:before="0" w:line="276" w:lineRule="exact"/>
        <w:jc w:val="both"/>
      </w:pPr>
      <w:r>
        <w:rPr>
          <w:rFonts w:ascii="Times New Roman" w:cs="Times New Roman" w:eastAsia="Times New Roman" w:hAnsi="Times New Roman"/>
          <w:sz w:val="22"/>
          <w:szCs w:val="22"/>
        </w:rPr>
        <w:t xml:space="preserve">Failure of any single criterion is not automatically disqualifying. The POC report will identify which criteria failed, the root cause, and whether the gap is a product limitation, a scope-selection issue, or an operational-readiness issue at CVS. The acceptance decision will weight the criteria collectively rather than apply each as a hard gate.</w:t>
      </w:r>
    </w:p>
    <w:p>
      <w:pPr>
        <w:pStyle w:val="Heading1"/>
        <w:spacing w:after="160" w:before="360"/>
        <w:jc w:val="left"/>
      </w:pPr>
      <w:r>
        <w:rPr>
          <w:rFonts w:ascii="Times New Roman" w:cs="Times New Roman" w:eastAsia="Times New Roman" w:hAnsi="Times New Roman"/>
          <w:b/>
          <w:bCs/>
          <w:caps/>
          <w:sz w:val="26"/>
          <w:szCs w:val="26"/>
        </w:rPr>
        <w:t xml:space="preserve">5. APPROACH AND METHODOLOGY</w:t>
      </w:r>
    </w:p>
    <w:p>
      <w:pPr>
        <w:pStyle w:val="Heading2"/>
        <w:spacing w:after="120" w:before="280"/>
        <w:jc w:val="left"/>
      </w:pPr>
      <w:r>
        <w:rPr>
          <w:rFonts w:ascii="Times New Roman" w:cs="Times New Roman" w:eastAsia="Times New Roman" w:hAnsi="Times New Roman"/>
          <w:b/>
          <w:bCs/>
          <w:sz w:val="22"/>
          <w:szCs w:val="22"/>
        </w:rPr>
        <w:t xml:space="preserve">5.1 Phase Structure</w:t>
      </w:r>
    </w:p>
    <w:p>
      <w:pPr>
        <w:spacing w:after="120" w:before="0" w:line="276" w:lineRule="exact"/>
        <w:jc w:val="both"/>
      </w:pPr>
      <w:r>
        <w:rPr>
          <w:rFonts w:ascii="Times New Roman" w:cs="Times New Roman" w:eastAsia="Times New Roman" w:hAnsi="Times New Roman"/>
          <w:sz w:val="22"/>
          <w:szCs w:val="22"/>
        </w:rPr>
        <w:t xml:space="preserve">The POC is structured as four phases over an eight-to-twelve week window. Phases are sequenced; no phase begins until the previous phase has met its exit criteria.</w:t>
      </w:r>
    </w:p>
    <w:p>
      <w:pPr>
        <w:spacing w:after="80" w:before="120"/>
        <w:jc w:val="center"/>
      </w:pPr>
      <w:r>
        <w:rPr>
          <w:rFonts w:ascii="Times New Roman" w:cs="Times New Roman" w:eastAsia="Times New Roman" w:hAnsi="Times New Roman"/>
          <w:i/>
          <w:iCs/>
          <w:sz w:val="20"/>
          <w:szCs w:val="20"/>
        </w:rPr>
        <w:t xml:space="preserve">Table 3. POC phase structure.</w:t>
      </w:r>
    </w:p>
    <w:tbl>
      <w:tblPr>
        <w:tblW w:type="dxa" w:w="8928"/>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tblHeader/>
        </w:trPr>
        <w:tc>
          <w:tcPr>
            <w:tcW w:type="dxa" w:w="18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bCs/>
                <w:sz w:val="19"/>
                <w:szCs w:val="19"/>
              </w:rPr>
              <w:t xml:space="preserve">Phase</w:t>
            </w:r>
          </w:p>
        </w:tc>
        <w:tc>
          <w:tcPr>
            <w:tcW w:type="dxa" w:w="8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bCs/>
                <w:sz w:val="19"/>
                <w:szCs w:val="19"/>
              </w:rPr>
              <w:t xml:space="preserve">Weeks</w:t>
            </w:r>
          </w:p>
        </w:tc>
        <w:tc>
          <w:tcPr>
            <w:tcW w:type="dxa" w:w="33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bCs/>
                <w:sz w:val="19"/>
                <w:szCs w:val="19"/>
              </w:rPr>
              <w:t xml:space="preserve">Activity</w:t>
            </w:r>
          </w:p>
        </w:tc>
        <w:tc>
          <w:tcPr>
            <w:tcW w:type="dxa" w:w="302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bCs/>
                <w:sz w:val="19"/>
                <w:szCs w:val="19"/>
              </w:rPr>
              <w:t xml:space="preserve">Exit Criteria</w:t>
            </w:r>
          </w:p>
        </w:tc>
      </w:tr>
      <w:tr>
        <w:trPr>
          <w:cantSplit/>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1. Discovery</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1–2</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Environment characterization, rule export, intent surface mapping</w:t>
            </w:r>
          </w:p>
        </w:tc>
        <w:tc>
          <w:tcPr>
            <w:tcW w:type="dxa" w:w="30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Documented baseline; rule export complete</w:t>
            </w:r>
          </w:p>
        </w:tc>
      </w:tr>
      <w:tr>
        <w:trPr>
          <w:cantSplit/>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2. Intent Authoring</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2–4</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Re-express in-scope access as MPE intent; review with application owners</w:t>
            </w:r>
          </w:p>
        </w:tc>
        <w:tc>
          <w:tcPr>
            <w:tcW w:type="dxa" w:w="30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Intent set covers ≥ 95% of in-scope access</w:t>
            </w:r>
          </w:p>
        </w:tc>
      </w:tr>
      <w:tr>
        <w:trPr>
          <w:cantSplit/>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3. Generation and Deployment</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4–8</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MPE generates and deploys rules; observe in audit mode before enforcement</w:t>
            </w:r>
          </w:p>
        </w:tc>
        <w:tc>
          <w:tcPr>
            <w:tcW w:type="dxa" w:w="30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All generated rules deployed; drift detection live</w:t>
            </w:r>
          </w:p>
        </w:tc>
      </w:tr>
      <w:tr>
        <w:trPr>
          <w:cantSplit/>
        </w:trPr>
        <w:tc>
          <w:tcPr>
            <w:tcW w:type="dxa" w:w="18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4. Validation and Reporting</w:t>
            </w:r>
          </w:p>
        </w:tc>
        <w:tc>
          <w:tcPr>
            <w:tcW w:type="dxa" w:w="8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8–12</w:t>
            </w:r>
          </w:p>
        </w:tc>
        <w:tc>
          <w:tcPr>
            <w:tcW w:type="dxa" w:w="33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Measure success criteria; conduct operator workflow exercises; document roadmap conversation</w:t>
            </w:r>
          </w:p>
        </w:tc>
        <w:tc>
          <w:tcPr>
            <w:tcW w:type="dxa" w:w="30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POC report signed off by CVS and Cisco</w:t>
            </w:r>
          </w:p>
        </w:tc>
      </w:tr>
    </w:tbl>
    <w:p>
      <w:pPr>
        <w:pStyle w:val="Heading2"/>
        <w:spacing w:after="120" w:before="280"/>
        <w:jc w:val="left"/>
      </w:pPr>
      <w:r>
        <w:rPr>
          <w:rFonts w:ascii="Times New Roman" w:cs="Times New Roman" w:eastAsia="Times New Roman" w:hAnsi="Times New Roman"/>
          <w:b/>
          <w:bCs/>
          <w:sz w:val="22"/>
          <w:szCs w:val="22"/>
        </w:rPr>
        <w:t xml:space="preserve">5.2 Discovery (Phase 1)</w:t>
      </w:r>
    </w:p>
    <w:p>
      <w:pPr>
        <w:spacing w:after="120" w:before="0" w:line="276" w:lineRule="exact"/>
        <w:jc w:val="both"/>
      </w:pPr>
      <w:r>
        <w:rPr>
          <w:rFonts w:ascii="Times New Roman" w:cs="Times New Roman" w:eastAsia="Times New Roman" w:hAnsi="Times New Roman"/>
          <w:sz w:val="22"/>
          <w:szCs w:val="22"/>
        </w:rPr>
        <w:t xml:space="preserve">The discovery phase extracts the current production rule set for the in-scope firewalls, classifies rules by purpose and provenance, and identifies the application-to-application access patterns that the rules collectively grant. The output is a baseline characterization document that serves as the </w:t>
      </w:r>
      <w:r>
        <w:rPr>
          <w:rFonts w:ascii="Times New Roman" w:cs="Times New Roman" w:eastAsia="Times New Roman" w:hAnsi="Times New Roman"/>
          <w:i/>
          <w:iCs/>
          <w:sz w:val="22"/>
          <w:szCs w:val="22"/>
        </w:rPr>
        <w:t xml:space="preserve">before</w:t>
      </w:r>
      <w:r>
        <w:rPr>
          <w:rFonts w:ascii="Times New Roman" w:cs="Times New Roman" w:eastAsia="Times New Roman" w:hAnsi="Times New Roman"/>
          <w:sz w:val="22"/>
          <w:szCs w:val="22"/>
        </w:rPr>
        <w:t xml:space="preserve"> state for the reduction measurement and as the input to Phase 2 intent authoring.</w:t>
      </w:r>
    </w:p>
    <w:p>
      <w:pPr>
        <w:spacing w:after="120" w:before="0" w:line="276" w:lineRule="exact"/>
        <w:jc w:val="both"/>
      </w:pPr>
      <w:r>
        <w:rPr>
          <w:rFonts w:ascii="Times New Roman" w:cs="Times New Roman" w:eastAsia="Times New Roman" w:hAnsi="Times New Roman"/>
          <w:sz w:val="22"/>
          <w:szCs w:val="22"/>
        </w:rPr>
        <w:t xml:space="preserve">Cisco MPE supports policy ingestion from Cisco Secure Firewall Management Center and from third-party firewall management consoles. The discovery phase will exercise this ingestion path on the in-scope rule set and validate that the ingested representation faithfully reflects the source policy.</w:t>
      </w:r>
    </w:p>
    <w:p>
      <w:pPr>
        <w:pStyle w:val="Heading2"/>
        <w:spacing w:after="120" w:before="280"/>
        <w:jc w:val="left"/>
      </w:pPr>
      <w:r>
        <w:rPr>
          <w:rFonts w:ascii="Times New Roman" w:cs="Times New Roman" w:eastAsia="Times New Roman" w:hAnsi="Times New Roman"/>
          <w:b/>
          <w:bCs/>
          <w:sz w:val="22"/>
          <w:szCs w:val="22"/>
        </w:rPr>
        <w:t xml:space="preserve">5.3 Intent Authoring (Phase 2)</w:t>
      </w:r>
    </w:p>
    <w:p>
      <w:pPr>
        <w:spacing w:after="120" w:before="0" w:line="276" w:lineRule="exact"/>
        <w:jc w:val="both"/>
      </w:pPr>
      <w:r>
        <w:rPr>
          <w:rFonts w:ascii="Times New Roman" w:cs="Times New Roman" w:eastAsia="Times New Roman" w:hAnsi="Times New Roman"/>
          <w:sz w:val="22"/>
          <w:szCs w:val="22"/>
        </w:rPr>
        <w:t xml:space="preserve">Application owners and the CVS security architecture function jointly author intent statements for each in-scope application. The intent is expressed in MPE's intent language: </w:t>
      </w:r>
      <w:r>
        <w:rPr>
          <w:rFonts w:ascii="Times New Roman" w:cs="Times New Roman" w:eastAsia="Times New Roman" w:hAnsi="Times New Roman"/>
          <w:i/>
          <w:iCs/>
          <w:sz w:val="22"/>
          <w:szCs w:val="22"/>
        </w:rPr>
        <w:t xml:space="preserve">application A may communicate with application B on the following ports and protocols, in the following direction</w:t>
      </w:r>
      <w:r>
        <w:rPr>
          <w:rFonts w:ascii="Times New Roman" w:cs="Times New Roman" w:eastAsia="Times New Roman" w:hAnsi="Times New Roman"/>
          <w:sz w:val="22"/>
          <w:szCs w:val="22"/>
        </w:rPr>
        <w:t xml:space="preserve">. Each intent statement is reviewed for completeness, least-privilege adherence, and consistency with adjacent intents. Cases where the current production access cannot be cleanly expressed as intent are documented as exceptions, and the underlying access is examined to determine whether it represents legitimate-but-irregular access (which deserves an intent extension) or accumulated-but-unnecessary access (which deserves retirement rather than re-expression).</w:t>
      </w:r>
    </w:p>
    <w:p>
      <w:pPr>
        <w:spacing w:after="120" w:before="0" w:line="276" w:lineRule="exact"/>
        <w:jc w:val="both"/>
      </w:pPr>
      <w:r>
        <w:rPr>
          <w:rFonts w:ascii="Times New Roman" w:cs="Times New Roman" w:eastAsia="Times New Roman" w:hAnsi="Times New Roman"/>
          <w:sz w:val="22"/>
          <w:szCs w:val="22"/>
        </w:rPr>
        <w:t xml:space="preserve">This phase is intentionally the longest. The intent set is the product of the POC; the generated firewall rules are a byproduct.</w:t>
      </w:r>
    </w:p>
    <w:p>
      <w:pPr>
        <w:pStyle w:val="Heading2"/>
        <w:spacing w:after="120" w:before="280"/>
        <w:jc w:val="left"/>
      </w:pPr>
      <w:r>
        <w:rPr>
          <w:rFonts w:ascii="Times New Roman" w:cs="Times New Roman" w:eastAsia="Times New Roman" w:hAnsi="Times New Roman"/>
          <w:b/>
          <w:bCs/>
          <w:sz w:val="22"/>
          <w:szCs w:val="22"/>
        </w:rPr>
        <w:t xml:space="preserve">5.4 Generation and Deployment (Phase 3)</w:t>
      </w:r>
    </w:p>
    <w:p>
      <w:pPr>
        <w:spacing w:after="120" w:before="0" w:line="276" w:lineRule="exact"/>
        <w:jc w:val="both"/>
      </w:pPr>
      <w:r>
        <w:rPr>
          <w:rFonts w:ascii="Times New Roman" w:cs="Times New Roman" w:eastAsia="Times New Roman" w:hAnsi="Times New Roman"/>
          <w:sz w:val="22"/>
          <w:szCs w:val="22"/>
        </w:rPr>
        <w:t xml:space="preserve">MPE generates the corresponding L3/L4 enforcement rules from the authored intent and deploys them to the in-scope firewalls. Initial deployment runs in </w:t>
      </w:r>
      <w:r>
        <w:rPr>
          <w:rFonts w:ascii="Times New Roman" w:cs="Times New Roman" w:eastAsia="Times New Roman" w:hAnsi="Times New Roman"/>
          <w:b/>
          <w:bCs/>
          <w:sz w:val="22"/>
          <w:szCs w:val="22"/>
        </w:rPr>
        <w:t xml:space="preserve">audit mode</w:t>
      </w:r>
      <w:r>
        <w:rPr>
          <w:rFonts w:ascii="Times New Roman" w:cs="Times New Roman" w:eastAsia="Times New Roman" w:hAnsi="Times New Roman"/>
          <w:sz w:val="22"/>
          <w:szCs w:val="22"/>
        </w:rPr>
        <w:t xml:space="preserve"> in parallel with the existing rule set: the new rules log allow/deny decisions but the original rules remain the source of enforcement. Audit-mode operation generates the dataset required to validate that intent-generated rules match production behavior before the original rules are retired.</w:t>
      </w:r>
    </w:p>
    <w:p>
      <w:pPr>
        <w:spacing w:after="120" w:before="0" w:line="276" w:lineRule="exact"/>
        <w:jc w:val="both"/>
      </w:pPr>
      <w:r>
        <w:rPr>
          <w:rFonts w:ascii="Times New Roman" w:cs="Times New Roman" w:eastAsia="Times New Roman" w:hAnsi="Times New Roman"/>
          <w:sz w:val="22"/>
          <w:szCs w:val="22"/>
        </w:rPr>
        <w:t xml:space="preserve">After at least two weeks of clean audit-mode operation, in-scope firewalls cut over to MPE-generated rules as the source of enforcement. The original rules are archived rather than deleted, in case rollback is required.</w:t>
      </w:r>
    </w:p>
    <w:p>
      <w:pPr>
        <w:pStyle w:val="Heading2"/>
        <w:spacing w:after="120" w:before="280"/>
        <w:jc w:val="left"/>
      </w:pPr>
      <w:r>
        <w:rPr>
          <w:rFonts w:ascii="Times New Roman" w:cs="Times New Roman" w:eastAsia="Times New Roman" w:hAnsi="Times New Roman"/>
          <w:b/>
          <w:bCs/>
          <w:sz w:val="22"/>
          <w:szCs w:val="22"/>
        </w:rPr>
        <w:t xml:space="preserve">5.5 Validation and Reporting (Phase 4)</w:t>
      </w:r>
    </w:p>
    <w:p>
      <w:pPr>
        <w:spacing w:after="120" w:before="0" w:line="276" w:lineRule="exact"/>
        <w:jc w:val="both"/>
      </w:pPr>
      <w:r>
        <w:rPr>
          <w:rFonts w:ascii="Times New Roman" w:cs="Times New Roman" w:eastAsia="Times New Roman" w:hAnsi="Times New Roman"/>
          <w:sz w:val="22"/>
          <w:szCs w:val="22"/>
        </w:rPr>
        <w:t xml:space="preserve">Phase 4 measures the success criteria defined in §4, conducts the operator workflow exercises documented in Criterion 6, and produces the POC report. The report covers what worked, what did not, the measured outcomes against each criterion, an operator-readiness assessment, and a documented joint position with Cisco on L7 intent extension.</w:t>
      </w:r>
    </w:p>
    <w:p>
      <w:pPr>
        <w:pStyle w:val="Heading1"/>
        <w:spacing w:after="160" w:before="360"/>
        <w:jc w:val="left"/>
      </w:pPr>
      <w:r>
        <w:rPr>
          <w:rFonts w:ascii="Times New Roman" w:cs="Times New Roman" w:eastAsia="Times New Roman" w:hAnsi="Times New Roman"/>
          <w:b/>
          <w:bCs/>
          <w:caps/>
          <w:sz w:val="26"/>
          <w:szCs w:val="26"/>
        </w:rPr>
        <w:t xml:space="preserve">6. ENVIRONMENT AND RESOURCING</w:t>
      </w:r>
    </w:p>
    <w:p>
      <w:pPr>
        <w:pStyle w:val="Heading2"/>
        <w:spacing w:after="120" w:before="280"/>
        <w:jc w:val="left"/>
      </w:pPr>
      <w:r>
        <w:rPr>
          <w:rFonts w:ascii="Times New Roman" w:cs="Times New Roman" w:eastAsia="Times New Roman" w:hAnsi="Times New Roman"/>
          <w:b/>
          <w:bCs/>
          <w:sz w:val="22"/>
          <w:szCs w:val="22"/>
        </w:rPr>
        <w:t xml:space="preserve">6.1 Cisco-Provided</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Cisco Security Cloud Control tenant configured for CVS, with MPE enabled.</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MPE license entitlement for the duration of the POC.</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Designated Cisco solutions architect for technical engagement during all four phases.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Designated Cisco product manager for the L7 roadmap conversation per Criterion 8.</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Engineering escalation path for issues that require Cisco code-level resolution.</w:t>
      </w:r>
    </w:p>
    <w:p>
      <w:pPr>
        <w:pStyle w:val="Heading2"/>
        <w:spacing w:after="120" w:before="280"/>
        <w:jc w:val="left"/>
      </w:pPr>
      <w:r>
        <w:rPr>
          <w:rFonts w:ascii="Times New Roman" w:cs="Times New Roman" w:eastAsia="Times New Roman" w:hAnsi="Times New Roman"/>
          <w:b/>
          <w:bCs/>
          <w:sz w:val="22"/>
          <w:szCs w:val="22"/>
        </w:rPr>
        <w:t xml:space="preserve">6.2 CVS-Provided</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Read access to the in-scope firewall management consoles (Cisco FMC, Palo Alto Panorama, or successor) for MPE ingestion.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Network connectivity from MPE to the in-scope firewall management plane.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Designated network engineering, security operations, and security architecture representatives.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Application-owner representatives for the 8–12 in-scope applications.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Audit liaison to participate in the audit-posture validation per Criterion 7.</w:t>
      </w:r>
    </w:p>
    <w:p>
      <w:pPr>
        <w:pStyle w:val="Heading2"/>
        <w:spacing w:after="120" w:before="280"/>
        <w:jc w:val="left"/>
      </w:pPr>
      <w:r>
        <w:rPr>
          <w:rFonts w:ascii="Times New Roman" w:cs="Times New Roman" w:eastAsia="Times New Roman" w:hAnsi="Times New Roman"/>
          <w:b/>
          <w:bCs/>
          <w:sz w:val="22"/>
          <w:szCs w:val="22"/>
        </w:rPr>
        <w:t xml:space="preserve">6.3 Joint Working Cadence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Weekly POC status meeting (CVS + Cisco).</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Bi-weekly executive checkpoint (CVS Information Security leadership + Cisco account team).</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Phase-gate review at the end of each phase with explicit go/no-go decision.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Dedicated Slack or Webex channel for day-to-day technical coordination.</w:t>
      </w:r>
    </w:p>
    <w:p>
      <w:pPr>
        <w:pStyle w:val="Heading1"/>
        <w:spacing w:after="160" w:before="360"/>
        <w:jc w:val="left"/>
      </w:pPr>
      <w:r>
        <w:rPr>
          <w:rFonts w:ascii="Times New Roman" w:cs="Times New Roman" w:eastAsia="Times New Roman" w:hAnsi="Times New Roman"/>
          <w:b/>
          <w:bCs/>
          <w:caps/>
          <w:sz w:val="26"/>
          <w:szCs w:val="26"/>
        </w:rPr>
        <w:t xml:space="preserve">7. RISKS AND MITIGATIONS</w:t>
      </w:r>
    </w:p>
    <w:p>
      <w:pPr>
        <w:spacing w:after="120" w:before="0" w:line="276" w:lineRule="exact"/>
        <w:jc w:val="both"/>
      </w:pPr>
      <w:r>
        <w:rPr>
          <w:rFonts w:ascii="Times New Roman" w:cs="Times New Roman" w:eastAsia="Times New Roman" w:hAnsi="Times New Roman"/>
          <w:sz w:val="22"/>
          <w:szCs w:val="22"/>
        </w:rPr>
        <w:t xml:space="preserve">The principal risks to a successful POC are operational rather than technical. The product exists, is shipping, and has documented customers. The risks below are about whether the POC produces a clean decision signal at the end.</w:t>
      </w:r>
    </w:p>
    <w:p>
      <w:pPr>
        <w:spacing w:after="80" w:before="120"/>
        <w:jc w:val="center"/>
      </w:pPr>
      <w:r>
        <w:rPr>
          <w:rFonts w:ascii="Times New Roman" w:cs="Times New Roman" w:eastAsia="Times New Roman" w:hAnsi="Times New Roman"/>
          <w:i/>
          <w:iCs/>
          <w:sz w:val="20"/>
          <w:szCs w:val="20"/>
        </w:rPr>
        <w:t xml:space="preserve">Table 4. POC risks and mitigations.</w:t>
      </w:r>
    </w:p>
    <w:tbl>
      <w:tblPr>
        <w:tblW w:type="dxa" w:w="8928"/>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tblHeader/>
        </w:trPr>
        <w:tc>
          <w:tcPr>
            <w:tcW w:type="dxa" w:w="30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bCs/>
                <w:sz w:val="19"/>
                <w:szCs w:val="19"/>
              </w:rPr>
              <w:t xml:space="preserve">Risk</w:t>
            </w:r>
          </w:p>
        </w:tc>
        <w:tc>
          <w:tcPr>
            <w:tcW w:type="dxa" w:w="11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bCs/>
                <w:sz w:val="19"/>
                <w:szCs w:val="19"/>
              </w:rPr>
              <w:t xml:space="preserve">Likelihood</w:t>
            </w:r>
          </w:p>
        </w:tc>
        <w:tc>
          <w:tcPr>
            <w:tcW w:type="dxa" w:w="8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bCs/>
                <w:sz w:val="19"/>
                <w:szCs w:val="19"/>
              </w:rPr>
              <w:t xml:space="preserve">Impact</w:t>
            </w:r>
          </w:p>
        </w:tc>
        <w:tc>
          <w:tcPr>
            <w:tcW w:type="dxa" w:w="402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bCs/>
                <w:sz w:val="19"/>
                <w:szCs w:val="19"/>
              </w:rPr>
              <w:t xml:space="preserve">Mitigation</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In-scope rule set is unrepresentative of broader CVS estate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Medium</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High</w:t>
            </w:r>
          </w:p>
        </w:tc>
        <w:tc>
          <w:tcPr>
            <w:tcW w:type="dxa" w:w="40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Stratified scope selection; explicit acknowledgment in report of generalization limits</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Application owners unavailable for intent review</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Medium</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High</w:t>
            </w:r>
          </w:p>
        </w:tc>
        <w:tc>
          <w:tcPr>
            <w:tcW w:type="dxa" w:w="40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Pre-commit application owner participation in scope kickoff; escalate via leadership if needed</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Audit-mode comparison surfaces previously unknown access</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High</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Medium</w:t>
            </w:r>
          </w:p>
        </w:tc>
        <w:tc>
          <w:tcPr>
            <w:tcW w:type="dxa" w:w="40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Treat as expected outcome; document each case; do not cut to enforcement until investigated</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MPE ingestion fidelity is incomplete for some Palo Alto constructs</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Medium</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Medium</w:t>
            </w:r>
          </w:p>
        </w:tc>
        <w:tc>
          <w:tcPr>
            <w:tcW w:type="dxa" w:w="40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Cisco SA engagement during Phase 1; document gaps for product-management feedback</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Operator workflow exercises reveal CVS readiness gaps rather than product gaps</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Medium</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Medium</w:t>
            </w:r>
          </w:p>
        </w:tc>
        <w:tc>
          <w:tcPr>
            <w:tcW w:type="dxa" w:w="40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Separate the two in the report; product readiness and operational readiness are distinct decisions</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L7 roadmap conversation produces vague Cisco commitments</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Medium</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High</w:t>
            </w:r>
          </w:p>
        </w:tc>
        <w:tc>
          <w:tcPr>
            <w:tcW w:type="dxa" w:w="40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Pre-agree the format of the Criterion 8 output before Phase 1 begins; written joint position, not generic roadmap slides</w:t>
            </w:r>
          </w:p>
        </w:tc>
      </w:tr>
      <w:tr>
        <w:trPr>
          <w:cantSplit/>
        </w:trPr>
        <w:tc>
          <w:tcPr>
            <w:tcW w:type="dxa" w:w="30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POC scope creep into microsegmentation or ZTNA</w:t>
            </w:r>
          </w:p>
        </w:tc>
        <w:tc>
          <w:tcPr>
            <w:tcW w:type="dxa" w:w="11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Low</w:t>
            </w:r>
          </w:p>
        </w:tc>
        <w:tc>
          <w:tcPr>
            <w:tcW w:type="dxa" w:w="8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Medium</w:t>
            </w:r>
          </w:p>
        </w:tc>
        <w:tc>
          <w:tcPr>
            <w:tcW w:type="dxa" w:w="40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Explicit out-of-scope statement in §3.2; phase-gate reviews enforce boundary</w:t>
            </w:r>
          </w:p>
        </w:tc>
      </w:tr>
    </w:tbl>
    <w:p>
      <w:pPr>
        <w:spacing w:after="120" w:before="0" w:line="276" w:lineRule="exact"/>
        <w:jc w:val="both"/>
      </w:pPr>
      <w:r>
        <w:rPr>
          <w:rFonts w:ascii="Times New Roman" w:cs="Times New Roman" w:eastAsia="Times New Roman" w:hAnsi="Times New Roman"/>
          <w:sz w:val="22"/>
          <w:szCs w:val="22"/>
        </w:rPr>
        <w:t xml:space="preserve">The high-likelihood / medium-impact risk — audit-mode comparison surfacing unknown access — is treated as the expected outcome rather than an adverse one. The whole point of intent-based reconstruction is to surface the cases where current production access does not match anyone’s declared intent. Those cases are findings, not defects.</w:t>
      </w:r>
    </w:p>
    <w:p>
      <w:pPr>
        <w:pStyle w:val="Heading1"/>
        <w:spacing w:after="160" w:before="360"/>
        <w:jc w:val="left"/>
      </w:pPr>
      <w:r>
        <w:rPr>
          <w:rFonts w:ascii="Times New Roman" w:cs="Times New Roman" w:eastAsia="Times New Roman" w:hAnsi="Times New Roman"/>
          <w:b/>
          <w:bCs/>
          <w:caps/>
          <w:sz w:val="26"/>
          <w:szCs w:val="26"/>
        </w:rPr>
        <w:t xml:space="preserve">8. DELIVERABLES</w:t>
      </w:r>
    </w:p>
    <w:p>
      <w:pPr>
        <w:spacing w:after="120" w:before="0" w:line="276" w:lineRule="exact"/>
        <w:jc w:val="both"/>
      </w:pPr>
      <w:r>
        <w:rPr>
          <w:rFonts w:ascii="Times New Roman" w:cs="Times New Roman" w:eastAsia="Times New Roman" w:hAnsi="Times New Roman"/>
          <w:sz w:val="22"/>
          <w:szCs w:val="22"/>
        </w:rPr>
        <w:t xml:space="preserve">The POC produces eight concrete deliverables. Six are owned jointly by CVS and Cisco and are outputs of the MPE engagement itself. Two are CVS-internal prerequisite deliverables required before production deployment of MPE beyond the POC scope; these are CVS-owned workstreams that run in parallel with the POC and gate the Expand decision in §9.</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Application Object Library</w:t>
      </w:r>
      <w:r>
        <w:rPr>
          <w:rFonts w:ascii="Times New Roman" w:cs="Times New Roman" w:eastAsia="Times New Roman" w:hAnsi="Times New Roman"/>
          <w:sz w:val="22"/>
          <w:szCs w:val="22"/>
        </w:rPr>
        <w:t xml:space="preserve"> (CVS prerequisite deliverable — see §3.3.1). A versioned, maintained catalog of APP Objects (including per-routing-domain SNAT/PAT address maps), Infrastructure Service Objects, External Application and Service Objects, and the Path Logic Model encoding CVS’s routing domains, cloud peering paths, and firewall device group topology. Sourced from the CCD Platform IPAM and firewall enrichment datasets. Required before production-scale intent authoring is operationally sustainable. </w:t>
      </w:r>
      <w:r>
        <w:rPr>
          <w:rFonts w:ascii="Times New Roman" w:cs="Times New Roman" w:eastAsia="Times New Roman" w:hAnsi="Times New Roman"/>
          <w:b/>
          <w:bCs/>
          <w:i/>
          <w:iCs/>
          <w:sz w:val="22"/>
          <w:szCs w:val="22"/>
        </w:rPr>
        <w:t xml:space="preserve">CVS-owned. Gates production Expand decision.</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ServiceNow Intake Redesign</w:t>
      </w:r>
      <w:r>
        <w:rPr>
          <w:rFonts w:ascii="Times New Roman" w:cs="Times New Roman" w:eastAsia="Times New Roman" w:hAnsi="Times New Roman"/>
          <w:sz w:val="22"/>
          <w:szCs w:val="22"/>
        </w:rPr>
        <w:t xml:space="preserve"> (CVS prerequisite deliverable — see §3.3.2). A redesigned SNOW firewall change request form replacing the IP/port intake model with an application-level intent declaration: Object Library picker for source and destination, required security content profile tier selection, mandatory business justification and rule expiry date, and automatic firewall device group scoping via the Path Logic Model. Includes the API integration between SNOW and the CCD Platform Object Library, and updated approval workflow and training materials for security operations. </w:t>
      </w:r>
      <w:r>
        <w:rPr>
          <w:rFonts w:ascii="Times New Roman" w:cs="Times New Roman" w:eastAsia="Times New Roman" w:hAnsi="Times New Roman"/>
          <w:b/>
          <w:bCs/>
          <w:i/>
          <w:iCs/>
          <w:sz w:val="22"/>
          <w:szCs w:val="22"/>
        </w:rPr>
        <w:t xml:space="preserve">CVS-owned. Gates production Expand decision.</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Discovery baseline document</w:t>
      </w:r>
      <w:r>
        <w:rPr>
          <w:rFonts w:ascii="Times New Roman" w:cs="Times New Roman" w:eastAsia="Times New Roman" w:hAnsi="Times New Roman"/>
          <w:sz w:val="22"/>
          <w:szCs w:val="22"/>
        </w:rPr>
        <w:t xml:space="preserve"> (Phase 1 output). In-scope rule and object inventory, application-access map, vendor distribution, environmental characterization.</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Intent specification</w:t>
      </w:r>
      <w:r>
        <w:rPr>
          <w:rFonts w:ascii="Times New Roman" w:cs="Times New Roman" w:eastAsia="Times New Roman" w:hAnsi="Times New Roman"/>
          <w:sz w:val="22"/>
          <w:szCs w:val="22"/>
        </w:rPr>
        <w:t xml:space="preserve"> (Phase 2 output). The authored MPE intent set covering the in-scope applications. This is the production artifact that survives the POC if CVS proceeds.</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Audit-mode comparison report</w:t>
      </w:r>
      <w:r>
        <w:rPr>
          <w:rFonts w:ascii="Times New Roman" w:cs="Times New Roman" w:eastAsia="Times New Roman" w:hAnsi="Times New Roman"/>
          <w:sz w:val="22"/>
          <w:szCs w:val="22"/>
        </w:rPr>
        <w:t xml:space="preserve"> (Phase 3 output). Differences between intent-generated rules and existing production rules; documented findings.</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Operator runbook</w:t>
      </w:r>
      <w:r>
        <w:rPr>
          <w:rFonts w:ascii="Times New Roman" w:cs="Times New Roman" w:eastAsia="Times New Roman" w:hAnsi="Times New Roman"/>
          <w:sz w:val="22"/>
          <w:szCs w:val="22"/>
        </w:rPr>
        <w:t xml:space="preserve"> (Phase 3 output). Step-by-step operational procedures for intent authoring, modification, retirement, drift response, and incident-time intent revision.</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POC final report</w:t>
      </w:r>
      <w:r>
        <w:rPr>
          <w:rFonts w:ascii="Times New Roman" w:cs="Times New Roman" w:eastAsia="Times New Roman" w:hAnsi="Times New Roman"/>
          <w:sz w:val="22"/>
          <w:szCs w:val="22"/>
        </w:rPr>
        <w:t xml:space="preserve"> (Phase 4 output). Measured outcomes against the eight success criteria; operator-readiness assessment; product limitations encountered; gap analysis against the L7 expansion goal.</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Joint CVS–Cisco position on L7 intent extension</w:t>
      </w:r>
      <w:r>
        <w:rPr>
          <w:rFonts w:ascii="Times New Roman" w:cs="Times New Roman" w:eastAsia="Times New Roman" w:hAnsi="Times New Roman"/>
          <w:sz w:val="22"/>
          <w:szCs w:val="22"/>
        </w:rPr>
        <w:t xml:space="preserve"> (Criterion 8 output). Written, signed-off joint document on App-ID, IDS/IPS, DLP, and threat-policy intent extension — what is on the Cisco roadmap, what is gap, what requires CVS-specific feature request.</w:t>
      </w:r>
    </w:p>
    <w:p>
      <w:pPr>
        <w:spacing w:after="120" w:before="0" w:line="276" w:lineRule="exact"/>
        <w:jc w:val="both"/>
      </w:pPr>
      <w:r>
        <w:rPr>
          <w:rFonts w:ascii="Times New Roman" w:cs="Times New Roman" w:eastAsia="Times New Roman" w:hAnsi="Times New Roman"/>
          <w:sz w:val="22"/>
          <w:szCs w:val="22"/>
        </w:rPr>
        <w:t xml:space="preserve">Deliverables 1 and 2 are CVS-internal prerequisite workstreams that gate the production Expand decision. Deliverables 3, 5, 6, and 7 are CVS-internal documents produced by the MPE engagement. Deliverable 4 is a production artifact that survives the POC. Deliverable 8 is jointly owned and may inform subsequent Cisco product direction.</w:t>
      </w:r>
    </w:p>
    <w:p>
      <w:pPr>
        <w:pStyle w:val="Heading1"/>
        <w:spacing w:after="160" w:before="360"/>
        <w:jc w:val="left"/>
      </w:pPr>
      <w:r>
        <w:rPr>
          <w:rFonts w:ascii="Times New Roman" w:cs="Times New Roman" w:eastAsia="Times New Roman" w:hAnsi="Times New Roman"/>
          <w:b/>
          <w:bCs/>
          <w:caps/>
          <w:sz w:val="26"/>
          <w:szCs w:val="26"/>
        </w:rPr>
        <w:t xml:space="preserve">9. DECISION FRAMEWORK</w:t>
      </w:r>
    </w:p>
    <w:p>
      <w:pPr>
        <w:spacing w:after="120" w:before="0" w:line="276" w:lineRule="exact"/>
        <w:jc w:val="both"/>
      </w:pPr>
      <w:r>
        <w:rPr>
          <w:rFonts w:ascii="Times New Roman" w:cs="Times New Roman" w:eastAsia="Times New Roman" w:hAnsi="Times New Roman"/>
          <w:sz w:val="22"/>
          <w:szCs w:val="22"/>
        </w:rPr>
        <w:t xml:space="preserve">At the end of Phase 4, CVS will make one of four decisions based on the POC report and the success-criteria outcomes.</w:t>
      </w:r>
    </w:p>
    <w:p>
      <w:pPr>
        <w:spacing w:after="120" w:before="0" w:line="276" w:lineRule="exact"/>
        <w:jc w:val="both"/>
      </w:pPr>
      <w:r>
        <w:rPr>
          <w:rFonts w:ascii="Times New Roman" w:cs="Times New Roman" w:eastAsia="Times New Roman" w:hAnsi="Times New Roman"/>
          <w:b/>
          <w:bCs/>
          <w:sz w:val="22"/>
          <w:szCs w:val="22"/>
        </w:rPr>
        <w:t xml:space="preserve">Expand.</w:t>
      </w:r>
      <w:r>
        <w:rPr>
          <w:rFonts w:ascii="Times New Roman" w:cs="Times New Roman" w:eastAsia="Times New Roman" w:hAnsi="Times New Roman"/>
          <w:sz w:val="22"/>
          <w:szCs w:val="22"/>
        </w:rPr>
        <w:t xml:space="preserve"> If six or more of the eight success criteria pass cleanly, and Criterion 8 produces a Cisco roadmap commitment on L7 extension that aligns with CVS timeline expectations, expand MPE deployment to additional firewall populations on a tiered schedule following the adoption sequence in §6 of the </w:t>
      </w:r>
      <w:r>
        <w:rPr>
          <w:rFonts w:ascii="Times New Roman" w:cs="Times New Roman" w:eastAsia="Times New Roman" w:hAnsi="Times New Roman"/>
          <w:i/>
          <w:iCs/>
          <w:sz w:val="22"/>
          <w:szCs w:val="22"/>
        </w:rPr>
        <w:t xml:space="preserve">Intent-Based Security Policy</w:t>
      </w:r>
      <w:r>
        <w:rPr>
          <w:rFonts w:ascii="Times New Roman" w:cs="Times New Roman" w:eastAsia="Times New Roman" w:hAnsi="Times New Roman"/>
          <w:sz w:val="22"/>
          <w:szCs w:val="22"/>
        </w:rPr>
        <w:t xml:space="preserve"> working paper. The Expand decision is additionally gated on completion of both CVS prerequisite deliverables: the Application Object Library (§3.3.1) must be complete and operational as a maintained data source, and the ServiceNow Intake Redesign (§3.3.2) must be deployed as the sole intake path for new firewall change requests. Expansion before either prerequisite is complete replicates the structural problems the intent model is designed to eliminate.</w:t>
      </w:r>
    </w:p>
    <w:p>
      <w:pPr>
        <w:spacing w:after="120" w:before="0" w:line="276" w:lineRule="exact"/>
        <w:jc w:val="both"/>
      </w:pPr>
      <w:r>
        <w:rPr>
          <w:rFonts w:ascii="Times New Roman" w:cs="Times New Roman" w:eastAsia="Times New Roman" w:hAnsi="Times New Roman"/>
          <w:b/>
          <w:bCs/>
          <w:sz w:val="22"/>
          <w:szCs w:val="22"/>
        </w:rPr>
        <w:t xml:space="preserve">Narrow.</w:t>
      </w:r>
      <w:r>
        <w:rPr>
          <w:rFonts w:ascii="Times New Roman" w:cs="Times New Roman" w:eastAsia="Times New Roman" w:hAnsi="Times New Roman"/>
          <w:sz w:val="22"/>
          <w:szCs w:val="22"/>
        </w:rPr>
        <w:t xml:space="preserve"> If four or five criteria pass, but specific use cases produced strong results while others did not, deploy MPE in production for the use cases where it succeeded and defer the others. The most likely narrow-deployment pattern is </w:t>
      </w:r>
      <w:r>
        <w:rPr>
          <w:rFonts w:ascii="Times New Roman" w:cs="Times New Roman" w:eastAsia="Times New Roman" w:hAnsi="Times New Roman"/>
          <w:i/>
          <w:iCs/>
          <w:sz w:val="22"/>
          <w:szCs w:val="22"/>
        </w:rPr>
        <w:t xml:space="preserve">MPE for new applications and new firewall deployments, legacy estate retained on existing tooling</w:t>
      </w:r>
      <w:r>
        <w:rPr>
          <w:rFonts w:ascii="Times New Roman" w:cs="Times New Roman" w:eastAsia="Times New Roman" w:hAnsi="Times New Roman"/>
          <w:sz w:val="22"/>
          <w:szCs w:val="22"/>
        </w:rPr>
        <w:t xml:space="preserve">.</w:t>
      </w:r>
    </w:p>
    <w:p>
      <w:pPr>
        <w:spacing w:after="120" w:before="0" w:line="276" w:lineRule="exact"/>
        <w:jc w:val="both"/>
      </w:pPr>
      <w:r>
        <w:rPr>
          <w:rFonts w:ascii="Times New Roman" w:cs="Times New Roman" w:eastAsia="Times New Roman" w:hAnsi="Times New Roman"/>
          <w:b/>
          <w:bCs/>
          <w:sz w:val="22"/>
          <w:szCs w:val="22"/>
        </w:rPr>
        <w:t xml:space="preserve">Defer.</w:t>
      </w:r>
      <w:r>
        <w:rPr>
          <w:rFonts w:ascii="Times New Roman" w:cs="Times New Roman" w:eastAsia="Times New Roman" w:hAnsi="Times New Roman"/>
          <w:sz w:val="22"/>
          <w:szCs w:val="22"/>
        </w:rPr>
        <w:t xml:space="preserve"> If three or fewer criteria pass, or if the L7 roadmap conversation produces no Cisco commitment, do not proceed to broader deployment. Reassess in six to twelve months based on Cisco product evolution and CVS organizational readiness.</w:t>
      </w:r>
    </w:p>
    <w:p>
      <w:pPr>
        <w:spacing w:after="120" w:before="0" w:line="276" w:lineRule="exact"/>
        <w:jc w:val="both"/>
      </w:pPr>
      <w:r>
        <w:rPr>
          <w:rFonts w:ascii="Times New Roman" w:cs="Times New Roman" w:eastAsia="Times New Roman" w:hAnsi="Times New Roman"/>
          <w:b/>
          <w:bCs/>
          <w:sz w:val="22"/>
          <w:szCs w:val="22"/>
        </w:rPr>
        <w:t xml:space="preserve">Decline.</w:t>
      </w:r>
      <w:r>
        <w:rPr>
          <w:rFonts w:ascii="Times New Roman" w:cs="Times New Roman" w:eastAsia="Times New Roman" w:hAnsi="Times New Roman"/>
          <w:sz w:val="22"/>
          <w:szCs w:val="22"/>
        </w:rPr>
        <w:t xml:space="preserve"> If the POC reveals fundamental misalignment between the MPE model and the CVS operational reality — not a fixable gap but a structural mismatch — decline expansion and document the reasoning for future reference.</w:t>
      </w:r>
    </w:p>
    <w:p>
      <w:pPr>
        <w:spacing w:after="120" w:before="0" w:line="276" w:lineRule="exact"/>
        <w:jc w:val="both"/>
      </w:pPr>
      <w:r>
        <w:rPr>
          <w:rFonts w:ascii="Times New Roman" w:cs="Times New Roman" w:eastAsia="Times New Roman" w:hAnsi="Times New Roman"/>
          <w:sz w:val="22"/>
          <w:szCs w:val="22"/>
        </w:rPr>
        <w:t xml:space="preserve">The decision framework is documented in this scoping document deliberately. The goal is to ensure that the POC produces a clean decision signal regardless of outcome, rather than concluding with an ambiguous </w:t>
      </w:r>
      <w:r>
        <w:rPr>
          <w:rFonts w:ascii="Times New Roman" w:cs="Times New Roman" w:eastAsia="Times New Roman" w:hAnsi="Times New Roman"/>
          <w:i/>
          <w:iCs/>
          <w:sz w:val="22"/>
          <w:szCs w:val="22"/>
        </w:rPr>
        <w:t xml:space="preserve">promising; deserves further investment</w:t>
      </w:r>
      <w:r>
        <w:rPr>
          <w:rFonts w:ascii="Times New Roman" w:cs="Times New Roman" w:eastAsia="Times New Roman" w:hAnsi="Times New Roman"/>
          <w:sz w:val="22"/>
          <w:szCs w:val="22"/>
        </w:rPr>
        <w:t xml:space="preserve"> finding that defers the real decision.</w:t>
      </w:r>
    </w:p>
    <w:p>
      <w:pPr>
        <w:pStyle w:val="Heading1"/>
        <w:spacing w:after="160" w:before="360"/>
        <w:jc w:val="left"/>
      </w:pPr>
      <w:r>
        <w:rPr>
          <w:rFonts w:ascii="Times New Roman" w:cs="Times New Roman" w:eastAsia="Times New Roman" w:hAnsi="Times New Roman"/>
          <w:b/>
          <w:bCs/>
          <w:caps/>
          <w:sz w:val="26"/>
          <w:szCs w:val="26"/>
        </w:rPr>
        <w:t xml:space="preserve">10. THE STRATEGIC PICTURE</w:t>
      </w:r>
    </w:p>
    <w:p>
      <w:pPr>
        <w:spacing w:after="120" w:before="0" w:line="276" w:lineRule="exact"/>
        <w:jc w:val="both"/>
      </w:pPr>
      <w:r>
        <w:rPr>
          <w:rFonts w:ascii="Times New Roman" w:cs="Times New Roman" w:eastAsia="Times New Roman" w:hAnsi="Times New Roman"/>
          <w:sz w:val="22"/>
          <w:szCs w:val="22"/>
        </w:rPr>
        <w:t xml:space="preserve">This POC is one element of a larger CVS intent-based security strategy. The structural argument is documented in </w:t>
      </w:r>
      <w:r>
        <w:rPr>
          <w:rFonts w:ascii="Times New Roman" w:cs="Times New Roman" w:eastAsia="Times New Roman" w:hAnsi="Times New Roman"/>
          <w:i/>
          <w:iCs/>
          <w:sz w:val="22"/>
          <w:szCs w:val="22"/>
        </w:rPr>
        <w:t xml:space="preserve">The Bill Comes Due</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Intent-Based Security Policy</w:t>
      </w:r>
      <w:r>
        <w:rPr>
          <w:rFonts w:ascii="Times New Roman" w:cs="Times New Roman" w:eastAsia="Times New Roman" w:hAnsi="Times New Roman"/>
          <w:sz w:val="22"/>
          <w:szCs w:val="22"/>
        </w:rPr>
        <w:t xml:space="preserve">. The operating pattern is consistent across control surfaces: declare desired outcomes, let the policy engine reconcile the enforcement, monitor drift against declared baselines, retire intent and its derived artifacts together.</w:t>
      </w:r>
    </w:p>
    <w:p>
      <w:pPr>
        <w:spacing w:after="120" w:before="0" w:line="276" w:lineRule="exact"/>
        <w:jc w:val="both"/>
      </w:pPr>
      <w:r>
        <w:rPr>
          <w:rFonts w:ascii="Times New Roman" w:cs="Times New Roman" w:eastAsia="Times New Roman" w:hAnsi="Times New Roman"/>
          <w:sz w:val="22"/>
          <w:szCs w:val="22"/>
        </w:rPr>
        <w:t xml:space="preserve">MPE is the right starting point for CVS because (a) the firewall estate is where the largest accumulation of rule debt lives, (b) the multi-vendor abstraction matches the actual CVS environment, and (c) Cisco's commercial commitment to intent-based policy management is strong enough that the L7 roadmap conversation is credible.</w:t>
      </w:r>
    </w:p>
    <w:p>
      <w:pPr>
        <w:spacing w:after="120" w:before="0" w:line="276" w:lineRule="exact"/>
        <w:jc w:val="both"/>
      </w:pPr>
      <w:r>
        <w:rPr>
          <w:rFonts w:ascii="Times New Roman" w:cs="Times New Roman" w:eastAsia="Times New Roman" w:hAnsi="Times New Roman"/>
          <w:sz w:val="22"/>
          <w:szCs w:val="22"/>
        </w:rPr>
        <w:t xml:space="preserve">MPE is </w:t>
      </w:r>
      <w:r>
        <w:rPr>
          <w:rFonts w:ascii="Times New Roman" w:cs="Times New Roman" w:eastAsia="Times New Roman" w:hAnsi="Times New Roman"/>
          <w:b/>
          <w:bCs/>
          <w:sz w:val="22"/>
          <w:szCs w:val="22"/>
        </w:rPr>
        <w:t xml:space="preserve">not the destination</w:t>
      </w:r>
      <w:r>
        <w:rPr>
          <w:rFonts w:ascii="Times New Roman" w:cs="Times New Roman" w:eastAsia="Times New Roman" w:hAnsi="Times New Roman"/>
          <w:sz w:val="22"/>
          <w:szCs w:val="22"/>
        </w:rPr>
        <w:t xml:space="preserve">. Intent-based firewall policy management addresses one layer of the policy control plane. The full structural shift requires intent reaching every layer where rule debt accumulates today — Application-ID classification, intrusion prevention, DLP, threat protection, cloud control plane, Kubernetes admission, service mesh authorization, and microsegmentation. This POC validates MPE on L3/L4 today and establishes the joint conversation that, over the planning horizon documented in the companion working paper, extends the intent abstraction to the rest of the security control plane.</w:t>
      </w:r>
    </w:p>
    <w:p>
      <w:pPr>
        <w:spacing w:after="120" w:before="0" w:line="276" w:lineRule="exact"/>
        <w:jc w:val="both"/>
      </w:pPr>
      <w:r>
        <w:rPr>
          <w:rFonts w:ascii="Times New Roman" w:cs="Times New Roman" w:eastAsia="Times New Roman" w:hAnsi="Times New Roman"/>
          <w:sz w:val="22"/>
          <w:szCs w:val="22"/>
        </w:rPr>
        <w:t xml:space="preserve">The destination is a CVS Health security control plane where every rule that exists exists because an explicit intent generated it, and every rule that no longer maps to an intent is automatically retired. The POC scoped in this document is the first step on that path.</w:t>
      </w:r>
    </w:p>
    <w:p>
      <w:r>
        <w:br w:type="page"/>
      </w:r>
    </w:p>
    <w:p>
      <w:pPr>
        <w:pStyle w:val="Heading1"/>
        <w:spacing w:after="160" w:before="360"/>
        <w:jc w:val="left"/>
      </w:pPr>
      <w:r>
        <w:rPr>
          <w:rFonts w:ascii="Times New Roman" w:cs="Times New Roman" w:eastAsia="Times New Roman" w:hAnsi="Times New Roman"/>
          <w:b/>
          <w:bCs/>
          <w:caps/>
          <w:sz w:val="26"/>
          <w:szCs w:val="26"/>
        </w:rPr>
        <w:t xml:space="preserve">REFERENCES</w:t>
      </w:r>
    </w:p>
    <w:p>
      <w:pPr>
        <w:spacing w:after="60" w:line="276" w:lineRule="exact"/>
        <w:ind w:left="360" w:hanging="360"/>
        <w:jc w:val="left"/>
      </w:pPr>
      <w:r>
        <w:rPr>
          <w:rFonts w:ascii="Times New Roman" w:cs="Times New Roman" w:eastAsia="Times New Roman" w:hAnsi="Times New Roman"/>
          <w:sz w:val="20"/>
          <w:szCs w:val="20"/>
        </w:rPr>
        <w:t xml:space="preserve">[1] Cisco Systems. Introducing Intent-Based Policy Management for Cisco Hybrid Mesh Firewall. Cisco Blogs, January 2026. https://blogs.cisco.com/security/introducing-intent-based-policy-management-for-cisco-hybrid-mesh-firewall</w:t>
      </w:r>
    </w:p>
    <w:p>
      <w:pPr>
        <w:spacing w:after="60" w:line="276" w:lineRule="exact"/>
        <w:ind w:left="360" w:hanging="360"/>
        <w:jc w:val="left"/>
      </w:pPr>
      <w:r>
        <w:rPr>
          <w:rFonts w:ascii="Times New Roman" w:cs="Times New Roman" w:eastAsia="Times New Roman" w:hAnsi="Times New Roman"/>
          <w:sz w:val="20"/>
          <w:szCs w:val="20"/>
        </w:rPr>
        <w:t xml:space="preserve">[2] Cisco Systems. Mesh Policy Engine — Introduction. Cisco Security Cloud Control Documentation, April 2026. https://securitydocs.cisco.com/docs/mpe/user/167228.dita</w:t>
      </w:r>
    </w:p>
    <w:p>
      <w:pPr>
        <w:spacing w:after="60" w:line="276" w:lineRule="exact"/>
        <w:ind w:left="360" w:hanging="360"/>
        <w:jc w:val="left"/>
      </w:pPr>
      <w:r>
        <w:rPr>
          <w:rFonts w:ascii="Times New Roman" w:cs="Times New Roman" w:eastAsia="Times New Roman" w:hAnsi="Times New Roman"/>
          <w:sz w:val="20"/>
          <w:szCs w:val="20"/>
        </w:rPr>
        <w:t xml:space="preserve">[3] Cisco Systems. How Mesh Policy Engine Works with Firewalls. Cisco Security Cloud Control Documentation, April 2026. https://securitydocs.cisco.com/docs/mpe/user/108476.dita</w:t>
      </w:r>
    </w:p>
    <w:p>
      <w:pPr>
        <w:spacing w:after="60" w:line="276" w:lineRule="exact"/>
        <w:ind w:left="360" w:hanging="360"/>
        <w:jc w:val="left"/>
      </w:pPr>
      <w:r>
        <w:rPr>
          <w:rFonts w:ascii="Times New Roman" w:cs="Times New Roman" w:eastAsia="Times New Roman" w:hAnsi="Times New Roman"/>
          <w:sz w:val="20"/>
          <w:szCs w:val="20"/>
        </w:rPr>
        <w:t xml:space="preserve">[4] Cisco Systems. Firewall Management Center Policy Ingestion — Mesh Policy Engine. Cisco Security Cloud Control Documentation, February 2026. https://securitydocs.cisco.com/docs/mpe/user/167234.dita</w:t>
      </w:r>
    </w:p>
    <w:p>
      <w:pPr>
        <w:spacing w:after="60" w:line="276" w:lineRule="exact"/>
        <w:ind w:left="360" w:hanging="360"/>
        <w:jc w:val="left"/>
      </w:pPr>
      <w:r>
        <w:rPr>
          <w:rFonts w:ascii="Times New Roman" w:cs="Times New Roman" w:eastAsia="Times New Roman" w:hAnsi="Times New Roman"/>
          <w:sz w:val="20"/>
          <w:szCs w:val="20"/>
        </w:rPr>
        <w:t xml:space="preserve">[5] Network World. Cisco adds intelligent policy enforcement to mesh firewall family. January 2026. https://www.networkworld.com/article/4124600/cisco-adds-intelligent-policy-enforcement-to-mesh-firewall-family.html</w:t>
      </w:r>
    </w:p>
    <w:p>
      <w:pPr>
        <w:spacing w:after="60" w:line="276" w:lineRule="exact"/>
        <w:ind w:left="360" w:hanging="360"/>
        <w:jc w:val="left"/>
      </w:pPr>
      <w:r>
        <w:rPr>
          <w:rFonts w:ascii="Times New Roman" w:cs="Times New Roman" w:eastAsia="Times New Roman" w:hAnsi="Times New Roman"/>
          <w:sz w:val="20"/>
          <w:szCs w:val="20"/>
        </w:rPr>
        <w:t xml:space="preserve">[6] Cisco Systems. Cisco Hybrid Mesh Firewall: Better Enforcement Points, Smarter Segmentation, Multi-Vendor Policy. Cisco Blogs, June 2025. https://blogs.cisco.com/security/cisco-hybrid-mesh-firewall-better-enforcement-points-smarter-segmentation-multi-vendor-policy</w:t>
      </w:r>
    </w:p>
    <w:p>
      <w:pPr>
        <w:spacing w:after="60" w:line="276" w:lineRule="exact"/>
        <w:ind w:left="360" w:hanging="360"/>
        <w:jc w:val="left"/>
      </w:pPr>
      <w:r>
        <w:rPr>
          <w:rFonts w:ascii="Times New Roman" w:cs="Times New Roman" w:eastAsia="Times New Roman" w:hAnsi="Times New Roman"/>
          <w:sz w:val="20"/>
          <w:szCs w:val="20"/>
        </w:rPr>
        <w:t xml:space="preserve">[7] Cisco Systems. Hybrid Mesh Firewall — AI Unified Management. https://www.cisco.com/site/us/en/solutions/security/hybrid-mesh-firewall/index.html</w:t>
      </w:r>
    </w:p>
    <w:p>
      <w:pPr>
        <w:spacing w:after="60" w:line="276" w:lineRule="exact"/>
        <w:ind w:left="360" w:hanging="360"/>
        <w:jc w:val="left"/>
      </w:pPr>
      <w:r>
        <w:rPr>
          <w:rFonts w:ascii="Times New Roman" w:cs="Times New Roman" w:eastAsia="Times New Roman" w:hAnsi="Times New Roman"/>
          <w:sz w:val="20"/>
          <w:szCs w:val="20"/>
        </w:rPr>
        <w:t xml:space="preserve">[8] Cisco Systems. Security Cloud Control At a Glance. https://www.cisco.com/c/en/us/products/collateral/security/security-cloud/security-cloud-control-aag.html</w:t>
      </w:r>
    </w:p>
    <w:p>
      <w:pPr>
        <w:spacing w:after="60" w:line="276" w:lineRule="exact"/>
        <w:ind w:left="360" w:hanging="360"/>
        <w:jc w:val="left"/>
      </w:pPr>
      <w:r>
        <w:rPr>
          <w:rFonts w:ascii="Times New Roman" w:cs="Times New Roman" w:eastAsia="Times New Roman" w:hAnsi="Times New Roman"/>
          <w:sz w:val="20"/>
          <w:szCs w:val="20"/>
        </w:rPr>
        <w:t xml:space="preserve">[9] Cisco Systems. Application ID — Cisco Multicloud Defense User Guide. https://www.cisco.com/c/en/us/td/docs/security/cdo/multicloud-defense/user-guide/cisco-multicloud-defense-user-guide/m-application-id.pdf</w:t>
      </w:r>
    </w:p>
    <w:p>
      <w:pPr>
        <w:spacing w:after="60" w:line="276" w:lineRule="exact"/>
        <w:ind w:left="360" w:hanging="360"/>
        <w:jc w:val="left"/>
      </w:pPr>
      <w:r>
        <w:rPr>
          <w:rFonts w:ascii="Times New Roman" w:cs="Times New Roman" w:eastAsia="Times New Roman" w:hAnsi="Times New Roman"/>
          <w:sz w:val="20"/>
          <w:szCs w:val="20"/>
        </w:rPr>
        <w:t xml:space="preserve">[10] Cisco Systems. Application detection — Cisco Secure Firewall Management Center, Device Configuration Guide, v7.7. https://www.cisco.com/c/en/us/td/docs/security/secure-firewall/management-center/device-config/770/management-center-device-config-77/discovery-app-detection.html</w:t>
      </w:r>
    </w:p>
    <w:p>
      <w:pPr>
        <w:spacing w:after="60" w:line="276" w:lineRule="exact"/>
        <w:ind w:left="360" w:hanging="360"/>
        <w:jc w:val="left"/>
      </w:pPr>
      <w:r>
        <w:rPr>
          <w:rFonts w:ascii="Times New Roman" w:cs="Times New Roman" w:eastAsia="Times New Roman" w:hAnsi="Times New Roman"/>
          <w:sz w:val="20"/>
          <w:szCs w:val="20"/>
        </w:rPr>
        <w:t xml:space="preserve">[11] NIST. Zero Trust Architecture. NIST Special Publication 800-207, August 2020. https://nvlpubs.nist.gov/nistpubs/specialpublications/NIST.SP.800-207.pdf</w:t>
      </w:r>
    </w:p>
    <w:p>
      <w:pPr>
        <w:spacing w:after="60" w:line="276" w:lineRule="exact"/>
        <w:ind w:left="360" w:hanging="360"/>
        <w:jc w:val="left"/>
      </w:pPr>
      <w:r>
        <w:rPr>
          <w:rFonts w:ascii="Times New Roman" w:cs="Times New Roman" w:eastAsia="Times New Roman" w:hAnsi="Times New Roman"/>
          <w:sz w:val="20"/>
          <w:szCs w:val="20"/>
        </w:rPr>
        <w:t xml:space="preserve">[12] Martin, Michael J. The Bill Comes Due: Why AI Just Made Your Technical Debt a Security Crisis. Working paper v0.4, May 2026. (Companion document.)</w:t>
      </w:r>
    </w:p>
    <w:p>
      <w:pPr>
        <w:spacing w:after="60" w:line="276" w:lineRule="exact"/>
        <w:ind w:left="360" w:hanging="360"/>
        <w:jc w:val="left"/>
      </w:pPr>
      <w:r>
        <w:rPr>
          <w:rFonts w:ascii="Times New Roman" w:cs="Times New Roman" w:eastAsia="Times New Roman" w:hAnsi="Times New Roman"/>
          <w:sz w:val="20"/>
          <w:szCs w:val="20"/>
        </w:rPr>
        <w:t xml:space="preserve">[13] Martin, Michael J. Intent-Based Security Policy: Declaring Outcomes Instead of Enumerating Rules. Working paper v0.2, May 2026. (Companion document.)</w:t>
      </w:r>
    </w:p>
    <w:p>
      <w:pPr>
        <w:spacing w:before="240"/>
        <w:jc w:val="center"/>
      </w:pPr>
      <w:r>
        <w:rPr>
          <w:rFonts w:ascii="Times New Roman" w:cs="Times New Roman" w:eastAsia="Times New Roman" w:hAnsi="Times New Roman"/>
          <w:i/>
          <w:iCs/>
          <w:sz w:val="20"/>
          <w:szCs w:val="20"/>
        </w:rPr>
        <w:t xml:space="preserve">End of working draft v0.1.</w:t>
      </w:r>
    </w:p>
    <w:sectPr>
      <w:headerReference w:type="default" r:id="rId7"/>
      <w:pgSz w:w="12240" w:h="15840"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Times New Roman" w:cs="Times New Roman" w:eastAsia="Times New Roman" w:hAnsi="Times New Roman"/>
        <w:i/>
        <w:iCs/>
        <w:color w:val="888888"/>
        <w:sz w:val="16"/>
        <w:szCs w:val="16"/>
      </w:rPr>
      <w:t xml:space="preserve">Cisco MPE POC Scoping — v0.1</w:t>
    </w:r>
    <w:r>
      <w:rPr>
        <w:rFonts w:ascii="Times New Roman" w:cs="Times New Roman" w:eastAsia="Times New Roman" w:hAnsi="Times New Roman"/>
        <w:i/>
        <w:iCs/>
        <w:color w:val="888888"/>
        <w:sz w:val="16"/>
        <w:szCs w:val="16"/>
      </w:rPr>
      <w:t xml:space="preserve">		Page </w:t>
    </w:r>
    <w:r>
      <w:rPr>
        <w:rFonts w:ascii="Times New Roman" w:cs="Times New Roman" w:eastAsia="Times New Roman" w:hAnsi="Times New Roman"/>
        <w:i/>
        <w:iCs/>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i/>
        <w:iCs/>
        <w:color w:val="888888"/>
        <w:sz w:val="16"/>
        <w:szCs w:val="16"/>
      </w:rPr>
      <w:t xml:space="preserve"> of </w:t>
    </w:r>
    <w:r>
      <w:rPr>
        <w:rFonts w:ascii="Times New Roman" w:cs="Times New Roman" w:eastAsia="Times New Roman" w:hAnsi="Times New Roman"/>
        <w:i/>
        <w:iCs/>
        <w:color w:val="888888"/>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exact"/>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left"/>
      <w:outlineLvl w:val="0"/>
    </w:pPr>
    <w:rPr>
      <w:rFonts w:ascii="Times New Roman" w:cs="Times New Roman" w:eastAsia="Times New Roman" w:hAnsi="Times New Roman"/>
      <w:b/>
      <w:bCs/>
      <w:caps/>
      <w:sz w:val="26"/>
      <w:szCs w:val="26"/>
    </w:rPr>
  </w:style>
  <w:style w:type="paragraph" w:styleId="Heading2">
    <w:name w:val="Heading 2"/>
    <w:basedOn w:val="Normal"/>
    <w:next w:val="Normal"/>
    <w:qFormat/>
    <w:pPr>
      <w:spacing w:after="120" w:before="280"/>
      <w:jc w:val="left"/>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Mesh Policy Engine — POC Scoping</dc:title>
  <dc:creator>Michael J. Martin</dc:creator>
  <cp:lastModifiedBy>Un-named</cp:lastModifiedBy>
  <cp:revision>1</cp:revision>
  <dcterms:created xsi:type="dcterms:W3CDTF">2026-05-11T17:56:22.317Z</dcterms:created>
  <dcterms:modified xsi:type="dcterms:W3CDTF">2026-05-11T17:56:22.317Z</dcterms:modified>
</cp:coreProperties>
</file>

<file path=docProps/custom.xml><?xml version="1.0" encoding="utf-8"?>
<Properties xmlns="http://schemas.openxmlformats.org/officeDocument/2006/custom-properties" xmlns:vt="http://schemas.openxmlformats.org/officeDocument/2006/docPropsVTypes"/>
</file>