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Intent-Based Security Policy</w:t>
      </w:r>
    </w:p>
    <w:p>
      <w:pPr>
        <w:spacing w:after="240" w:before="0"/>
        <w:jc w:val="center"/>
      </w:pPr>
      <w:r>
        <w:rPr>
          <w:rFonts w:ascii="Times New Roman" w:cs="Times New Roman" w:eastAsia="Times New Roman" w:hAnsi="Times New Roman"/>
          <w:sz w:val="26"/>
          <w:szCs w:val="26"/>
        </w:rPr>
        <w:t xml:space="preserve">Declaring Outcomes Instead of Enumerating Rules</w:t>
      </w:r>
    </w:p>
    <w:p>
      <w:pPr>
        <w:spacing w:after="0" w:before="0"/>
        <w:jc w:val="center"/>
      </w:pPr>
      <w:r>
        <w:rPr>
          <w:rFonts w:ascii="Times New Roman" w:cs="Times New Roman" w:eastAsia="Times New Roman" w:hAnsi="Times New Roman"/>
          <w:sz w:val="22"/>
          <w:szCs w:val="22"/>
        </w:rPr>
        <w:t xml:space="preserve">Michael J. Martin</w:t>
      </w:r>
    </w:p>
    <w:p>
      <w:pPr>
        <w:spacing w:after="0" w:before="0"/>
        <w:jc w:val="center"/>
      </w:pPr>
      <w:r>
        <w:rPr>
          <w:rFonts w:ascii="Times New Roman" w:cs="Times New Roman" w:eastAsia="Times New Roman" w:hAnsi="Times New Roman"/>
          <w:sz w:val="22"/>
          <w:szCs w:val="22"/>
        </w:rPr>
        <w:t xml:space="preserve">Lead Director, Information Security</w:t>
      </w:r>
    </w:p>
    <w:p>
      <w:pPr>
        <w:spacing w:after="120" w:before="0"/>
        <w:jc w:val="center"/>
      </w:pPr>
      <w:r>
        <w:rPr>
          <w:rFonts w:ascii="Times New Roman" w:cs="Times New Roman" w:eastAsia="Times New Roman" w:hAnsi="Times New Roman"/>
          <w:sz w:val="22"/>
          <w:szCs w:val="22"/>
        </w:rPr>
        <w:t xml:space="preserve">CVS Health</w:t>
      </w:r>
    </w:p>
    <w:p>
      <w:pPr>
        <w:spacing w:after="60" w:before="0"/>
        <w:jc w:val="center"/>
      </w:pPr>
      <w:r>
        <w:rPr>
          <w:rFonts w:ascii="Times New Roman" w:cs="Times New Roman" w:eastAsia="Times New Roman" w:hAnsi="Times New Roman"/>
          <w:i/>
          <w:iCs/>
          <w:sz w:val="20"/>
          <w:szCs w:val="20"/>
        </w:rPr>
        <w:t xml:space="preserve">Draft v0.2 — May 2026</w:t>
      </w:r>
    </w:p>
    <w:p>
      <w:pPr>
        <w:spacing w:after="120" w:before="0"/>
        <w:jc w:val="center"/>
      </w:pPr>
      <w:r>
        <w:rPr>
          <w:rFonts w:ascii="Times New Roman" w:cs="Times New Roman" w:eastAsia="Times New Roman" w:hAnsi="Times New Roman"/>
          <w:b/>
          <w:bCs/>
          <w:sz w:val="20"/>
          <w:szCs w:val="20"/>
        </w:rPr>
        <w:t xml:space="preserve">WORKING PAPER — NOT FOR DISTRIBUTION</w:t>
      </w:r>
    </w:p>
    <w:p>
      <w:pPr>
        <w:spacing w:after="240"/>
        <w:jc w:val="center"/>
      </w:pPr>
      <w:r>
        <w:rPr>
          <w:rFonts w:ascii="Times New Roman" w:cs="Times New Roman" w:eastAsia="Times New Roman" w:hAnsi="Times New Roman"/>
          <w:i/>
          <w:iCs/>
          <w:sz w:val="20"/>
          <w:szCs w:val="20"/>
        </w:rPr>
        <w:t xml:space="preserve">Companion piece to </w:t>
      </w:r>
      <w:r>
        <w:rPr>
          <w:rFonts w:ascii="Times New Roman" w:cs="Times New Roman" w:eastAsia="Times New Roman" w:hAnsi="Times New Roman"/>
          <w:i/>
          <w:iCs/>
          <w:sz w:val="20"/>
          <w:szCs w:val="20"/>
        </w:rPr>
        <w:t xml:space="preserve">The Bill Comes Due: Why AI Just Made Your Technical Debt a Security Crisis</w:t>
      </w:r>
      <w:r>
        <w:rPr>
          <w:rFonts w:ascii="Times New Roman" w:cs="Times New Roman" w:eastAsia="Times New Roman" w:hAnsi="Times New Roman"/>
          <w:i/>
          <w:iCs/>
          <w:sz w:val="20"/>
          <w:szCs w:val="20"/>
        </w:rPr>
        <w:t xml:space="preserve">.</w:t>
      </w:r>
    </w:p>
    <w:p>
      <w:pPr>
        <w:spacing w:after="120" w:before="240"/>
        <w:jc w:val="center"/>
      </w:pPr>
      <w:r>
        <w:rPr>
          <w:rFonts w:ascii="Times New Roman" w:cs="Times New Roman" w:eastAsia="Times New Roman" w:hAnsi="Times New Roman"/>
          <w:b/>
          <w:bCs/>
          <w:sz w:val="22"/>
          <w:szCs w:val="22"/>
        </w:rPr>
        <w:t xml:space="preserve">Executive Summary</w:t>
      </w:r>
    </w:p>
    <w:p>
      <w:pPr>
        <w:spacing w:after="120" w:line="276" w:lineRule="exact"/>
        <w:ind w:left="360" w:right="360"/>
        <w:jc w:val="both"/>
      </w:pPr>
      <w:r>
        <w:rPr>
          <w:rFonts w:ascii="Times New Roman" w:cs="Times New Roman" w:eastAsia="Times New Roman" w:hAnsi="Times New Roman"/>
          <w:sz w:val="20"/>
          <w:szCs w:val="20"/>
        </w:rPr>
        <w:t xml:space="preserve">Enterprise security policy today is overwhelmingly </w:t>
      </w:r>
      <w:r>
        <w:rPr>
          <w:rFonts w:ascii="Times New Roman" w:cs="Times New Roman" w:eastAsia="Times New Roman" w:hAnsi="Times New Roman"/>
          <w:b/>
          <w:bCs/>
          <w:sz w:val="20"/>
          <w:szCs w:val="20"/>
        </w:rPr>
        <w:t xml:space="preserve">rule-based</w:t>
      </w:r>
      <w:r>
        <w:rPr>
          <w:rFonts w:ascii="Times New Roman" w:cs="Times New Roman" w:eastAsia="Times New Roman" w:hAnsi="Times New Roman"/>
          <w:sz w:val="20"/>
          <w:szCs w:val="20"/>
        </w:rPr>
        <w:t xml:space="preserve">. Humans write tens of thousands of firewall rules, ACLs, IAM bindings, detection signatures, and admission policies that collectively — and unreadably — imply a security posture. Nobody on the security team can read the aggregate and tell you what it actually means. Nobody on the audit team can verify it without sampling. Nobody on the application team can predict whether a new deployment will be blocked, allowed, or silently misrouted.</w:t>
      </w:r>
    </w:p>
    <w:p>
      <w:pPr>
        <w:spacing w:after="120" w:line="276" w:lineRule="exact"/>
        <w:ind w:left="360" w:right="360"/>
        <w:jc w:val="both"/>
      </w:pPr>
      <w:r>
        <w:rPr>
          <w:rFonts w:ascii="Times New Roman" w:cs="Times New Roman" w:eastAsia="Times New Roman" w:hAnsi="Times New Roman"/>
          <w:b/>
          <w:bCs/>
          <w:sz w:val="20"/>
          <w:szCs w:val="20"/>
        </w:rPr>
        <w:t xml:space="preserve">Intent-based security policy</w:t>
      </w:r>
      <w:r>
        <w:rPr>
          <w:rFonts w:ascii="Times New Roman" w:cs="Times New Roman" w:eastAsia="Times New Roman" w:hAnsi="Times New Roman"/>
          <w:sz w:val="20"/>
          <w:szCs w:val="20"/>
        </w:rPr>
        <w:t xml:space="preserve"> inverts this model. The security architect declares the </w:t>
      </w:r>
      <w:r>
        <w:rPr>
          <w:rFonts w:ascii="Times New Roman" w:cs="Times New Roman" w:eastAsia="Times New Roman" w:hAnsi="Times New Roman"/>
          <w:i/>
          <w:iCs/>
          <w:sz w:val="20"/>
          <w:szCs w:val="20"/>
        </w:rPr>
        <w:t xml:space="preserve">desired outcome</w:t>
      </w:r>
      <w:r>
        <w:rPr>
          <w:rFonts w:ascii="Times New Roman" w:cs="Times New Roman" w:eastAsia="Times New Roman" w:hAnsi="Times New Roman"/>
          <w:sz w:val="20"/>
          <w:szCs w:val="20"/>
        </w:rPr>
        <w:t xml:space="preserve"> — for example, "the payments service may only talk to the customer database and the fraud service" — and a policy engine generates and continuously reconciles the specific enforcement artifacts required to achieve that outcome across whatever heterogeneous infrastructure is in scope.</w:t>
      </w:r>
    </w:p>
    <w:p>
      <w:pPr>
        <w:spacing w:after="120" w:line="276" w:lineRule="exact"/>
        <w:ind w:left="360" w:right="360"/>
        <w:jc w:val="both"/>
      </w:pPr>
      <w:r>
        <w:rPr>
          <w:rFonts w:ascii="Times New Roman" w:cs="Times New Roman" w:eastAsia="Times New Roman" w:hAnsi="Times New Roman"/>
          <w:sz w:val="20"/>
          <w:szCs w:val="20"/>
        </w:rPr>
        <w:t xml:space="preserve">The shift is structurally analogous to three transitions the technology industry has already completed: from imperative to declarative programming, from manual server administration to infrastructure-as-code, and from package-by-package patching to immutable OS images. Each transition traded fine-grained manual control for higher-level governance and verifiable end state. Intent-based security policy is the same transition applied to the security control plane.</w:t>
      </w:r>
    </w:p>
    <w:p>
      <w:pPr>
        <w:spacing w:after="120" w:line="276" w:lineRule="exact"/>
        <w:ind w:left="360" w:right="360"/>
        <w:jc w:val="both"/>
      </w:pPr>
      <w:r>
        <w:rPr>
          <w:rFonts w:ascii="Times New Roman" w:cs="Times New Roman" w:eastAsia="Times New Roman" w:hAnsi="Times New Roman"/>
          <w:sz w:val="20"/>
          <w:szCs w:val="20"/>
        </w:rPr>
        <w:t xml:space="preserve">This paper argues that intent-based policy is not a single product category but a design pattern now appearing — under different names — across service mesh authorization, Kubernetes admission control, microsegmentation, Zero Trust Network Access, and policy-as-code IAM frameworks. The pattern is the right structural complement to the minimal-OS-build thesis advanced in the companion paper </w:t>
      </w:r>
      <w:r>
        <w:rPr>
          <w:rFonts w:ascii="Times New Roman" w:cs="Times New Roman" w:eastAsia="Times New Roman" w:hAnsi="Times New Roman"/>
          <w:i/>
          <w:iCs/>
          <w:sz w:val="20"/>
          <w:szCs w:val="20"/>
        </w:rPr>
        <w:t xml:space="preserve">The Bill Comes Due</w:t>
      </w:r>
      <w:r>
        <w:rPr>
          <w:rFonts w:ascii="Times New Roman" w:cs="Times New Roman" w:eastAsia="Times New Roman" w:hAnsi="Times New Roman"/>
          <w:sz w:val="20"/>
          <w:szCs w:val="20"/>
        </w:rPr>
        <w:t xml:space="preserve">. The OS-layer answer is </w:t>
      </w:r>
      <w:r>
        <w:rPr>
          <w:rFonts w:ascii="Times New Roman" w:cs="Times New Roman" w:eastAsia="Times New Roman" w:hAnsi="Times New Roman"/>
          <w:i/>
          <w:iCs/>
          <w:sz w:val="20"/>
          <w:szCs w:val="20"/>
        </w:rPr>
        <w:t xml:space="preserve">do not run what you do not need.</w:t>
      </w:r>
      <w:r>
        <w:rPr>
          <w:rFonts w:ascii="Times New Roman" w:cs="Times New Roman" w:eastAsia="Times New Roman" w:hAnsi="Times New Roman"/>
          <w:sz w:val="20"/>
          <w:szCs w:val="20"/>
        </w:rPr>
        <w:t xml:space="preserve"> The policy-layer answer is </w:t>
      </w:r>
      <w:r>
        <w:rPr>
          <w:rFonts w:ascii="Times New Roman" w:cs="Times New Roman" w:eastAsia="Times New Roman" w:hAnsi="Times New Roman"/>
          <w:i/>
          <w:iCs/>
          <w:sz w:val="20"/>
          <w:szCs w:val="20"/>
        </w:rPr>
        <w:t xml:space="preserve">do not allow what you have not declared.</w:t>
      </w:r>
    </w:p>
    <w:p>
      <w:pPr>
        <w:spacing w:after="120" w:line="276" w:lineRule="exact"/>
        <w:ind w:left="360" w:right="360"/>
        <w:jc w:val="both"/>
      </w:pPr>
      <w:r>
        <w:rPr>
          <w:rFonts w:ascii="Times New Roman" w:cs="Times New Roman" w:eastAsia="Times New Roman" w:hAnsi="Times New Roman"/>
          <w:sz w:val="20"/>
          <w:szCs w:val="20"/>
        </w:rPr>
        <w:t xml:space="preserve">The paper also addresses the conditions under which intent-based policy fails. The policy engine becomes critical infrastructure. Declarative expression has real limits. Brownfield migration is hard. Vendor lock-in is a present, not a future, concern. Licensing and operational cost are non-trivial. None of these invalidates the structural argument. All of them are required reading before procurement.</w:t>
      </w:r>
    </w:p>
    <w:p>
      <w:pPr>
        <w:spacing w:after="240" w:before="120" w:line="276" w:lineRule="exact"/>
        <w:ind w:left="360" w:right="36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intent-based security, declarative policy, policy-as-code, Zero Trust, service mesh authorization, microsegmentation, admission control, policy decision point, policy enforcement point, structural defense.</w:t>
      </w:r>
    </w:p>
    <w:p>
      <w:r>
        <w:br w:type="page"/>
      </w:r>
    </w:p>
    <w:p>
      <w:pPr>
        <w:pStyle w:val="Heading1"/>
        <w:spacing w:after="160" w:before="360"/>
        <w:jc w:val="left"/>
      </w:pPr>
      <w:r>
        <w:rPr>
          <w:rFonts w:ascii="Times New Roman" w:cs="Times New Roman" w:eastAsia="Times New Roman" w:hAnsi="Times New Roman"/>
          <w:b/>
          <w:bCs/>
          <w:caps/>
          <w:sz w:val="26"/>
          <w:szCs w:val="26"/>
        </w:rPr>
        <w:t xml:space="preserve">1. THE FAILURE MODES OF RULE-BASED SECURITY</w:t>
      </w:r>
    </w:p>
    <w:p>
      <w:pPr>
        <w:pStyle w:val="Heading2"/>
        <w:spacing w:after="120" w:before="280"/>
        <w:jc w:val="left"/>
      </w:pPr>
      <w:r>
        <w:rPr>
          <w:rFonts w:ascii="Times New Roman" w:cs="Times New Roman" w:eastAsia="Times New Roman" w:hAnsi="Times New Roman"/>
          <w:b/>
          <w:bCs/>
          <w:sz w:val="22"/>
          <w:szCs w:val="22"/>
        </w:rPr>
        <w:t xml:space="preserve">1.1 What Aggregate Rule Sets Look Like at Enterprise Scale</w:t>
      </w:r>
    </w:p>
    <w:p>
      <w:pPr>
        <w:spacing w:after="120" w:before="0" w:line="276" w:lineRule="exact"/>
        <w:jc w:val="both"/>
      </w:pPr>
      <w:r>
        <w:rPr>
          <w:rFonts w:ascii="Times New Roman" w:cs="Times New Roman" w:eastAsia="Times New Roman" w:hAnsi="Times New Roman"/>
          <w:sz w:val="22"/>
          <w:szCs w:val="22"/>
        </w:rPr>
        <w:t xml:space="preserve">A typical large enterprise security control plane contains, in aggregate:</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Tens of thousands of firewall rules accumulated across multiple firewall vendors, multiple network zones, and multiple decades of organizational history.</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Hundreds to thousands of IAM roles, each with its own policy document, frequently granting permissions that the role's nominal owner does not know about.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Dozens of cloud security groups per account, often duplicating or contradicting on-premises firewall rules.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Kubernetes NetworkPolicies, AdmissionControllers, PodSecurityPolicies, and RBAC bindings, each maintained by a different team.</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WAF rules, DLP policies, EDR exclusions, SIEM correlation rules, each independently authored and rarely cross-referenced.</w:t>
      </w:r>
    </w:p>
    <w:p>
      <w:pPr>
        <w:spacing w:after="120" w:before="0" w:line="276" w:lineRule="exact"/>
        <w:jc w:val="both"/>
      </w:pPr>
      <w:r>
        <w:rPr>
          <w:rFonts w:ascii="Times New Roman" w:cs="Times New Roman" w:eastAsia="Times New Roman" w:hAnsi="Times New Roman"/>
          <w:sz w:val="22"/>
          <w:szCs w:val="22"/>
        </w:rPr>
        <w:t xml:space="preserve">The aggregate has three structural properties that make it indefensible.</w:t>
      </w:r>
    </w:p>
    <w:p>
      <w:pPr>
        <w:spacing w:after="120" w:before="0" w:line="276" w:lineRule="exact"/>
        <w:jc w:val="both"/>
      </w:pPr>
      <w:r>
        <w:rPr>
          <w:rFonts w:ascii="Times New Roman" w:cs="Times New Roman" w:eastAsia="Times New Roman" w:hAnsi="Times New Roman"/>
          <w:b/>
          <w:bCs/>
          <w:sz w:val="22"/>
          <w:szCs w:val="22"/>
        </w:rPr>
        <w:t xml:space="preserve">It is not auditable in any meaningful sense.</w:t>
      </w:r>
      <w:r>
        <w:rPr>
          <w:rFonts w:ascii="Times New Roman" w:cs="Times New Roman" w:eastAsia="Times New Roman" w:hAnsi="Times New Roman"/>
          <w:sz w:val="22"/>
          <w:szCs w:val="22"/>
        </w:rPr>
        <w:t xml:space="preserve"> Auditors sample. They do not — because they cannot — read the full rule set and verify that it implements the intended security posture. The audit reports a pass when the sampled rules satisfy the framework being audited. The remainder of the rule set is, in practice, unverified.</w:t>
      </w:r>
    </w:p>
    <w:p>
      <w:pPr>
        <w:spacing w:after="120" w:before="0" w:line="276" w:lineRule="exact"/>
        <w:jc w:val="both"/>
      </w:pPr>
      <w:r>
        <w:rPr>
          <w:rFonts w:ascii="Times New Roman" w:cs="Times New Roman" w:eastAsia="Times New Roman" w:hAnsi="Times New Roman"/>
          <w:b/>
          <w:bCs/>
          <w:sz w:val="22"/>
          <w:szCs w:val="22"/>
        </w:rPr>
        <w:t xml:space="preserve">It is not maintainable.</w:t>
      </w:r>
      <w:r>
        <w:rPr>
          <w:rFonts w:ascii="Times New Roman" w:cs="Times New Roman" w:eastAsia="Times New Roman" w:hAnsi="Times New Roman"/>
          <w:sz w:val="22"/>
          <w:szCs w:val="22"/>
        </w:rPr>
        <w:t xml:space="preserve"> Rules accumulate but rarely retire. The original author leaves. The application the rule was created for is decommissioned. The rule remains, in case removing it breaks something nobody remembers. Industry analyses of enterprise firewall estates routinely find a substantial fraction of rules unused, shadowed by other rules, or contradicting other rules — FireMon, for example, reports that nearly 60% of firewalls fail at least one high-severity check during audits, with overly permissive rules, shadowed rules, and rules tied to applications that no longer exist as common findings. The same pattern holds for IAM policies, where the average enterprise role grants permissions far in excess of those actually exercised by the principals assuming it.</w:t>
      </w:r>
    </w:p>
    <w:p>
      <w:pPr>
        <w:spacing w:after="120" w:before="0" w:line="276" w:lineRule="exact"/>
        <w:jc w:val="both"/>
      </w:pPr>
      <w:r>
        <w:rPr>
          <w:rFonts w:ascii="Times New Roman" w:cs="Times New Roman" w:eastAsia="Times New Roman" w:hAnsi="Times New Roman"/>
          <w:b/>
          <w:bCs/>
          <w:sz w:val="22"/>
          <w:szCs w:val="22"/>
        </w:rPr>
        <w:t xml:space="preserve">It is not legible to the people responsible for the systems it protects.</w:t>
      </w:r>
      <w:r>
        <w:rPr>
          <w:rFonts w:ascii="Times New Roman" w:cs="Times New Roman" w:eastAsia="Times New Roman" w:hAnsi="Times New Roman"/>
          <w:sz w:val="22"/>
          <w:szCs w:val="22"/>
        </w:rPr>
        <w:t xml:space="preserve"> An application developer cannot read the firewall and IAM configuration governing their service and predict its security behavior. A security analyst investigating an incident cannot reconstruct the policy state at the time of the event. A risk officer asking </w:t>
      </w:r>
      <w:r>
        <w:rPr>
          <w:rFonts w:ascii="Times New Roman" w:cs="Times New Roman" w:eastAsia="Times New Roman" w:hAnsi="Times New Roman"/>
          <w:i/>
          <w:iCs/>
          <w:sz w:val="22"/>
          <w:szCs w:val="22"/>
        </w:rPr>
        <w:t xml:space="preserve">can the marketing analytics platform reach customer PII</w:t>
      </w:r>
      <w:r>
        <w:rPr>
          <w:rFonts w:ascii="Times New Roman" w:cs="Times New Roman" w:eastAsia="Times New Roman" w:hAnsi="Times New Roman"/>
          <w:sz w:val="22"/>
          <w:szCs w:val="22"/>
        </w:rPr>
        <w:t xml:space="preserve"> cannot get a confident answer from the rule set; they get an answer from someone’s institutional memory.</w:t>
      </w:r>
    </w:p>
    <w:p>
      <w:pPr>
        <w:spacing w:after="120" w:before="0" w:line="276" w:lineRule="exact"/>
        <w:jc w:val="both"/>
      </w:pPr>
      <w:r>
        <w:rPr>
          <w:rFonts w:ascii="Times New Roman" w:cs="Times New Roman" w:eastAsia="Times New Roman" w:hAnsi="Times New Roman"/>
          <w:sz w:val="22"/>
          <w:szCs w:val="22"/>
        </w:rPr>
        <w:t xml:space="preserve">The aggregate, in other words, is a system that nobody fully understands but that nonetheless governs every transaction in the enterprise. This is the same structural pathology — accumulated debt nobody can see all of, exposed surface nobody can fully inventory — described at the kernel and API layers in </w:t>
      </w: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The policy control plane is the third layer of the same problem.</w:t>
      </w:r>
    </w:p>
    <w:p>
      <w:pPr>
        <w:pStyle w:val="Heading2"/>
        <w:spacing w:after="120" w:before="280"/>
        <w:jc w:val="left"/>
      </w:pPr>
      <w:r>
        <w:rPr>
          <w:rFonts w:ascii="Times New Roman" w:cs="Times New Roman" w:eastAsia="Times New Roman" w:hAnsi="Times New Roman"/>
          <w:b/>
          <w:bCs/>
          <w:sz w:val="22"/>
          <w:szCs w:val="22"/>
        </w:rPr>
        <w:t xml:space="preserve">1.2 What That Looks Like in Day-to-Day Operations</w:t>
      </w:r>
    </w:p>
    <w:p>
      <w:pPr>
        <w:spacing w:after="120" w:before="0" w:line="276" w:lineRule="exact"/>
        <w:jc w:val="both"/>
      </w:pPr>
      <w:r>
        <w:rPr>
          <w:rFonts w:ascii="Times New Roman" w:cs="Times New Roman" w:eastAsia="Times New Roman" w:hAnsi="Times New Roman"/>
          <w:sz w:val="22"/>
          <w:szCs w:val="22"/>
        </w:rPr>
        <w:t xml:space="preserve">The three structural properties above manifest as five predictable operational failure modes.</w:t>
      </w:r>
    </w:p>
    <w:p>
      <w:pPr>
        <w:spacing w:after="120" w:before="0" w:line="276" w:lineRule="exact"/>
        <w:jc w:val="both"/>
      </w:pPr>
      <w:r>
        <w:rPr>
          <w:rFonts w:ascii="Times New Roman" w:cs="Times New Roman" w:eastAsia="Times New Roman" w:hAnsi="Times New Roman"/>
          <w:b/>
          <w:bCs/>
          <w:sz w:val="22"/>
          <w:szCs w:val="22"/>
        </w:rPr>
        <w:t xml:space="preserve">Permissions accrue, they do not contract.</w:t>
      </w:r>
      <w:r>
        <w:rPr>
          <w:rFonts w:ascii="Times New Roman" w:cs="Times New Roman" w:eastAsia="Times New Roman" w:hAnsi="Times New Roman"/>
          <w:sz w:val="22"/>
          <w:szCs w:val="22"/>
        </w:rPr>
        <w:t xml:space="preserve"> Every new requirement adds a rule. Almost no operational process removes one. The result is monotonic expansion of allowed behavior over time, with no corresponding contraction when the original requirement disappears.</w:t>
      </w:r>
    </w:p>
    <w:p>
      <w:pPr>
        <w:spacing w:after="120" w:before="0" w:line="276" w:lineRule="exact"/>
        <w:jc w:val="both"/>
      </w:pPr>
      <w:r>
        <w:rPr>
          <w:rFonts w:ascii="Times New Roman" w:cs="Times New Roman" w:eastAsia="Times New Roman" w:hAnsi="Times New Roman"/>
          <w:b/>
          <w:bCs/>
          <w:sz w:val="22"/>
          <w:szCs w:val="22"/>
        </w:rPr>
        <w:t xml:space="preserve">Exceptions become permanent.</w:t>
      </w:r>
      <w:r>
        <w:rPr>
          <w:rFonts w:ascii="Times New Roman" w:cs="Times New Roman" w:eastAsia="Times New Roman" w:hAnsi="Times New Roman"/>
          <w:sz w:val="22"/>
          <w:szCs w:val="22"/>
        </w:rPr>
        <w:t xml:space="preserve"> A temporary exception granted to ship a project becomes part of the baseline. After six months, nobody remembers it was temporary. After two years, removing it requires a project of its own.</w:t>
      </w:r>
    </w:p>
    <w:p>
      <w:pPr>
        <w:spacing w:after="120" w:before="0" w:line="276" w:lineRule="exact"/>
        <w:jc w:val="both"/>
      </w:pPr>
      <w:r>
        <w:rPr>
          <w:rFonts w:ascii="Times New Roman" w:cs="Times New Roman" w:eastAsia="Times New Roman" w:hAnsi="Times New Roman"/>
          <w:b/>
          <w:bCs/>
          <w:sz w:val="22"/>
          <w:szCs w:val="22"/>
        </w:rPr>
        <w:t xml:space="preserve">Lateral movement paths emerge without being designed.</w:t>
      </w:r>
      <w:r>
        <w:rPr>
          <w:rFonts w:ascii="Times New Roman" w:cs="Times New Roman" w:eastAsia="Times New Roman" w:hAnsi="Times New Roman"/>
          <w:sz w:val="22"/>
          <w:szCs w:val="22"/>
        </w:rPr>
        <w:t xml:space="preserve"> No single rule grants an attacker access to a sensitive system. The composition of dozens of individually reasonable rules does. Because nobody reads the composition, nobody sees the path until an incident exposes it.</w:t>
      </w:r>
    </w:p>
    <w:p>
      <w:pPr>
        <w:spacing w:after="120" w:before="0" w:line="276" w:lineRule="exact"/>
        <w:jc w:val="both"/>
      </w:pPr>
      <w:r>
        <w:rPr>
          <w:rFonts w:ascii="Times New Roman" w:cs="Times New Roman" w:eastAsia="Times New Roman" w:hAnsi="Times New Roman"/>
          <w:b/>
          <w:bCs/>
          <w:sz w:val="22"/>
          <w:szCs w:val="22"/>
        </w:rPr>
        <w:t xml:space="preserve">Compliance posture is decoupled from security posture.</w:t>
      </w:r>
      <w:r>
        <w:rPr>
          <w:rFonts w:ascii="Times New Roman" w:cs="Times New Roman" w:eastAsia="Times New Roman" w:hAnsi="Times New Roman"/>
          <w:sz w:val="22"/>
          <w:szCs w:val="22"/>
        </w:rPr>
        <w:t xml:space="preserve"> The auditor’s sample passes. The control framework is satisfied. The attack path remains. This is the </w:t>
      </w:r>
      <w:r>
        <w:rPr>
          <w:rFonts w:ascii="Times New Roman" w:cs="Times New Roman" w:eastAsia="Times New Roman" w:hAnsi="Times New Roman"/>
          <w:i/>
          <w:iCs/>
          <w:sz w:val="22"/>
          <w:szCs w:val="22"/>
        </w:rPr>
        <w:t xml:space="preserve">compliance theater</w:t>
      </w:r>
      <w:r>
        <w:rPr>
          <w:rFonts w:ascii="Times New Roman" w:cs="Times New Roman" w:eastAsia="Times New Roman" w:hAnsi="Times New Roman"/>
          <w:sz w:val="22"/>
          <w:szCs w:val="22"/>
        </w:rPr>
        <w:t xml:space="preserve"> pattern described in §5 of </w:t>
      </w: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manifesting specifically at the policy layer.</w:t>
      </w:r>
    </w:p>
    <w:p>
      <w:pPr>
        <w:spacing w:after="120" w:before="0" w:line="276" w:lineRule="exact"/>
        <w:jc w:val="both"/>
      </w:pPr>
      <w:r>
        <w:rPr>
          <w:rFonts w:ascii="Times New Roman" w:cs="Times New Roman" w:eastAsia="Times New Roman" w:hAnsi="Times New Roman"/>
          <w:b/>
          <w:bCs/>
          <w:sz w:val="22"/>
          <w:szCs w:val="22"/>
        </w:rPr>
        <w:t xml:space="preserve">Security teams become bottlenecks for development velocity.</w:t>
      </w:r>
      <w:r>
        <w:rPr>
          <w:rFonts w:ascii="Times New Roman" w:cs="Times New Roman" w:eastAsia="Times New Roman" w:hAnsi="Times New Roman"/>
          <w:sz w:val="22"/>
          <w:szCs w:val="22"/>
        </w:rPr>
        <w:t xml:space="preserve"> Every new deployment requires a security review to determine which rules need to be added. The review queue grows. The pressure to short-circuit it grows. The exceptions process becomes the actual approval process.</w:t>
      </w:r>
    </w:p>
    <w:p>
      <w:pPr>
        <w:spacing w:after="120" w:before="0" w:line="276" w:lineRule="exact"/>
        <w:jc w:val="both"/>
      </w:pPr>
      <w:r>
        <w:rPr>
          <w:rFonts w:ascii="Times New Roman" w:cs="Times New Roman" w:eastAsia="Times New Roman" w:hAnsi="Times New Roman"/>
          <w:sz w:val="22"/>
          <w:szCs w:val="22"/>
        </w:rPr>
        <w:t xml:space="preserve">These failure modes are not the result of individual incompetence. They are the structural consequence of trying to manage a high-dimensional declarative outcome — </w:t>
      </w:r>
      <w:r>
        <w:rPr>
          <w:rFonts w:ascii="Times New Roman" w:cs="Times New Roman" w:eastAsia="Times New Roman" w:hAnsi="Times New Roman"/>
          <w:i/>
          <w:iCs/>
          <w:sz w:val="22"/>
          <w:szCs w:val="22"/>
        </w:rPr>
        <w:t xml:space="preserve">the enterprise is secure</w:t>
      </w:r>
      <w:r>
        <w:rPr>
          <w:rFonts w:ascii="Times New Roman" w:cs="Times New Roman" w:eastAsia="Times New Roman" w:hAnsi="Times New Roman"/>
          <w:sz w:val="22"/>
          <w:szCs w:val="22"/>
        </w:rPr>
        <w:t xml:space="preserve"> — through a low-dimensional imperative interface. Every architectural decision is forced into a series of point edits in a control plane that does not represent the architecture in any direct way.</w:t>
      </w:r>
    </w:p>
    <w:p>
      <w:pPr>
        <w:pStyle w:val="Heading1"/>
        <w:spacing w:after="160" w:before="360"/>
        <w:jc w:val="left"/>
      </w:pPr>
      <w:r>
        <w:rPr>
          <w:rFonts w:ascii="Times New Roman" w:cs="Times New Roman" w:eastAsia="Times New Roman" w:hAnsi="Times New Roman"/>
          <w:b/>
          <w:bCs/>
          <w:caps/>
          <w:sz w:val="26"/>
          <w:szCs w:val="26"/>
        </w:rPr>
        <w:t xml:space="preserve">2. THE INTENT-BASED ALTERNATIVE</w:t>
      </w:r>
    </w:p>
    <w:p>
      <w:pPr>
        <w:pStyle w:val="Heading2"/>
        <w:spacing w:after="120" w:before="280"/>
        <w:jc w:val="left"/>
      </w:pPr>
      <w:r>
        <w:rPr>
          <w:rFonts w:ascii="Times New Roman" w:cs="Times New Roman" w:eastAsia="Times New Roman" w:hAnsi="Times New Roman"/>
          <w:b/>
          <w:bCs/>
          <w:sz w:val="22"/>
          <w:szCs w:val="22"/>
        </w:rPr>
        <w:t xml:space="preserve">2.1 Core Idea</w:t>
      </w:r>
    </w:p>
    <w:p>
      <w:pPr>
        <w:spacing w:after="120" w:before="0" w:line="276" w:lineRule="exact"/>
        <w:jc w:val="both"/>
      </w:pPr>
      <w:r>
        <w:rPr>
          <w:rFonts w:ascii="Times New Roman" w:cs="Times New Roman" w:eastAsia="Times New Roman" w:hAnsi="Times New Roman"/>
          <w:sz w:val="22"/>
          <w:szCs w:val="22"/>
        </w:rPr>
        <w:t xml:space="preserve">Intent-based security policy starts from the inverse design principle. The policy author declares </w:t>
      </w:r>
      <w:r>
        <w:rPr>
          <w:rFonts w:ascii="Times New Roman" w:cs="Times New Roman" w:eastAsia="Times New Roman" w:hAnsi="Times New Roman"/>
          <w:i/>
          <w:iCs/>
          <w:sz w:val="22"/>
          <w:szCs w:val="22"/>
        </w:rPr>
        <w:t xml:space="preserve">what outcome the system should produce</w:t>
      </w:r>
      <w:r>
        <w:rPr>
          <w:rFonts w:ascii="Times New Roman" w:cs="Times New Roman" w:eastAsia="Times New Roman" w:hAnsi="Times New Roman"/>
          <w:sz w:val="22"/>
          <w:szCs w:val="22"/>
        </w:rPr>
        <w:t xml:space="preserve">, and a policy engine generates, deploys, and continuously reconciles the specific enforcement artifacts required to produce that outcome.</w:t>
      </w:r>
    </w:p>
    <w:p>
      <w:pPr>
        <w:spacing w:after="120" w:before="0" w:line="276" w:lineRule="exact"/>
        <w:jc w:val="both"/>
      </w:pPr>
      <w:r>
        <w:rPr>
          <w:rFonts w:ascii="Times New Roman" w:cs="Times New Roman" w:eastAsia="Times New Roman" w:hAnsi="Times New Roman"/>
          <w:sz w:val="22"/>
          <w:szCs w:val="22"/>
        </w:rPr>
        <w:t xml:space="preserve">The declaration is expressed in terms a human reader can understand and an auditor can verify. The enforcement is expressed in whatever low-level artifacts the underlying infrastructure requires: firewall rules, IAM policies, NetworkPolicies, mesh authorization rules, admission controller logic. The policy engine generates these from the declaration.</w:t>
      </w:r>
    </w:p>
    <w:p>
      <w:pPr>
        <w:spacing w:after="120" w:before="0" w:line="276" w:lineRule="exact"/>
        <w:jc w:val="both"/>
      </w:pPr>
      <w:r>
        <w:rPr>
          <w:rFonts w:ascii="Times New Roman" w:cs="Times New Roman" w:eastAsia="Times New Roman" w:hAnsi="Times New Roman"/>
          <w:sz w:val="22"/>
          <w:szCs w:val="22"/>
        </w:rPr>
        <w:t xml:space="preserve">A representative intent statement might read:</w:t>
      </w:r>
    </w:p>
    <w:p>
      <w:pPr>
        <w:spacing w:after="120" w:before="60" w:line="276" w:lineRule="exact"/>
        <w:ind w:left="720" w:right="720"/>
        <w:jc w:val="both"/>
      </w:pPr>
      <w:r>
        <w:rPr>
          <w:rFonts w:ascii="Times New Roman" w:cs="Times New Roman" w:eastAsia="Times New Roman" w:hAnsi="Times New Roman"/>
          <w:i/>
          <w:iCs/>
          <w:sz w:val="22"/>
          <w:szCs w:val="22"/>
        </w:rPr>
        <w:t xml:space="preserve">The payments-api service may receive requests from the web-frontend and mobile-gateway services. It may make requests to the customer-db, fraud-scoring, and audit-log services. It may not communicate with any other service. It may not egress to the public internet. Its service account may not assume any role outside the payments namespace.</w:t>
      </w:r>
    </w:p>
    <w:p>
      <w:pPr>
        <w:spacing w:after="120" w:before="0" w:line="276" w:lineRule="exact"/>
        <w:jc w:val="both"/>
      </w:pPr>
      <w:r>
        <w:rPr>
          <w:rFonts w:ascii="Times New Roman" w:cs="Times New Roman" w:eastAsia="Times New Roman" w:hAnsi="Times New Roman"/>
          <w:sz w:val="22"/>
          <w:szCs w:val="22"/>
        </w:rPr>
        <w:t xml:space="preserve">That single declaration, in a real intent-based platform, compiles to:</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 service mesh AuthorizationPolicy permitting inbound calls only from the two named principals.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 NetworkPolicy restricting egress to the three named services.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An egress firewall rule blocking general internet egress from pods carrying the payments-api label.</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An IAM trust policy preventing cross-namespace role assumption.</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 SIEM correlation rule that fires when the service generates traffic outside its declared envelope.</w:t>
      </w:r>
    </w:p>
    <w:p>
      <w:pPr>
        <w:spacing w:after="120" w:before="0" w:line="276" w:lineRule="exact"/>
        <w:jc w:val="both"/>
      </w:pPr>
      <w:r>
        <w:rPr>
          <w:rFonts w:ascii="Times New Roman" w:cs="Times New Roman" w:eastAsia="Times New Roman" w:hAnsi="Times New Roman"/>
          <w:sz w:val="22"/>
          <w:szCs w:val="22"/>
        </w:rPr>
        <w:t xml:space="preserve">A second example illustrates the same pattern applied to user access:</w:t>
      </w:r>
    </w:p>
    <w:p>
      <w:pPr>
        <w:spacing w:after="120" w:before="60" w:line="276" w:lineRule="exact"/>
        <w:ind w:left="720" w:right="720"/>
        <w:jc w:val="both"/>
      </w:pPr>
      <w:r>
        <w:rPr>
          <w:rFonts w:ascii="Times New Roman" w:cs="Times New Roman" w:eastAsia="Times New Roman" w:hAnsi="Times New Roman"/>
          <w:i/>
          <w:iCs/>
          <w:sz w:val="22"/>
          <w:szCs w:val="22"/>
        </w:rPr>
        <w:t xml:space="preserve">The expense-portal web application may be accessed by members of the finance-users and finance-admins identity groups, from managed devices in healthy posture, during business hours from approved geographic regions. The finance-admins group may additionally access the administrative endpoints. Session tokens are valid for eight hours and require re-authentication for sensitive operations.</w:t>
      </w:r>
    </w:p>
    <w:p>
      <w:pPr>
        <w:spacing w:after="120" w:before="0" w:line="276" w:lineRule="exact"/>
        <w:jc w:val="both"/>
      </w:pPr>
      <w:r>
        <w:rPr>
          <w:rFonts w:ascii="Times New Roman" w:cs="Times New Roman" w:eastAsia="Times New Roman" w:hAnsi="Times New Roman"/>
          <w:sz w:val="22"/>
          <w:szCs w:val="22"/>
        </w:rPr>
        <w:t xml:space="preserve">That declaration compiles to:</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 ZTNA gateway policy enforcing identity, device posture, time-of-day, and geographic conditions per request.</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 session policy enforcing token lifetime and step-up authentication for sensitive operations.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 SIEM telemetry rule capturing session establishment, posture-failure denials, and step-up events as discrete signals.</w:t>
      </w:r>
    </w:p>
    <w:p>
      <w:pPr>
        <w:pStyle w:val="ListParagraph"/>
        <w:numPr>
          <w:ilvl w:val="0"/>
          <w:numId w:val="2"/>
        </w:numPr>
        <w:spacing w:after="60" w:line="276" w:lineRule="exact"/>
        <w:jc w:val="both"/>
      </w:pPr>
      <w:r>
        <w:rPr>
          <w:rFonts w:ascii="Times New Roman" w:cs="Times New Roman" w:eastAsia="Times New Roman" w:hAnsi="Times New Roman"/>
          <w:sz w:val="22"/>
          <w:szCs w:val="22"/>
        </w:rPr>
        <w:t xml:space="preserve">An IAM mapping translating identity-group membership to per-endpoint access decisions.</w:t>
      </w:r>
    </w:p>
    <w:p>
      <w:pPr>
        <w:spacing w:after="120" w:before="0" w:line="276" w:lineRule="exact"/>
        <w:jc w:val="both"/>
      </w:pPr>
      <w:r>
        <w:rPr>
          <w:rFonts w:ascii="Times New Roman" w:cs="Times New Roman" w:eastAsia="Times New Roman" w:hAnsi="Times New Roman"/>
          <w:sz w:val="22"/>
          <w:szCs w:val="22"/>
        </w:rPr>
        <w:t xml:space="preserve">The author of either intent does not write the downstream artifacts. They write the intent. The platform generates the rest, validates that the generated rules are internally consistent, deploys them, and monitors actual behavior against declared intent for drift.</w:t>
      </w:r>
    </w:p>
    <w:p>
      <w:pPr>
        <w:pStyle w:val="Heading2"/>
        <w:spacing w:after="120" w:before="280"/>
        <w:jc w:val="left"/>
      </w:pPr>
      <w:r>
        <w:rPr>
          <w:rFonts w:ascii="Times New Roman" w:cs="Times New Roman" w:eastAsia="Times New Roman" w:hAnsi="Times New Roman"/>
          <w:b/>
          <w:bCs/>
          <w:sz w:val="22"/>
          <w:szCs w:val="22"/>
        </w:rPr>
        <w:t xml:space="preserve">2.2 Defining Properties</w:t>
      </w:r>
    </w:p>
    <w:p>
      <w:pPr>
        <w:spacing w:after="120" w:before="0" w:line="276" w:lineRule="exact"/>
        <w:jc w:val="both"/>
      </w:pPr>
      <w:r>
        <w:rPr>
          <w:rFonts w:ascii="Times New Roman" w:cs="Times New Roman" w:eastAsia="Times New Roman" w:hAnsi="Times New Roman"/>
          <w:sz w:val="22"/>
          <w:szCs w:val="22"/>
        </w:rPr>
        <w:t xml:space="preserve">Intent-based policy systems share five defining properties.</w:t>
      </w:r>
    </w:p>
    <w:p>
      <w:pPr>
        <w:spacing w:after="120" w:before="0" w:line="276" w:lineRule="exact"/>
        <w:jc w:val="both"/>
      </w:pPr>
      <w:r>
        <w:rPr>
          <w:rFonts w:ascii="Times New Roman" w:cs="Times New Roman" w:eastAsia="Times New Roman" w:hAnsi="Times New Roman"/>
          <w:b/>
          <w:bCs/>
          <w:sz w:val="22"/>
          <w:szCs w:val="22"/>
        </w:rPr>
        <w:t xml:space="preserve">Declarative, not imperative.</w:t>
      </w:r>
      <w:r>
        <w:rPr>
          <w:rFonts w:ascii="Times New Roman" w:cs="Times New Roman" w:eastAsia="Times New Roman" w:hAnsi="Times New Roman"/>
          <w:sz w:val="22"/>
          <w:szCs w:val="22"/>
        </w:rPr>
        <w:t xml:space="preserve"> The policy author describes the desired end state. The system determines the path to that state. The difference is the same difference as between apt-get install nginx and a Kubernetes Deployment manifest, or between a hand-edited firewall and a Terraform module. The declarative form expresses intent that survives changes in underlying implementation.</w:t>
      </w:r>
    </w:p>
    <w:p>
      <w:pPr>
        <w:spacing w:after="120" w:before="0" w:line="276" w:lineRule="exact"/>
        <w:jc w:val="both"/>
      </w:pPr>
      <w:r>
        <w:rPr>
          <w:rFonts w:ascii="Times New Roman" w:cs="Times New Roman" w:eastAsia="Times New Roman" w:hAnsi="Times New Roman"/>
          <w:b/>
          <w:bCs/>
          <w:sz w:val="22"/>
          <w:szCs w:val="22"/>
        </w:rPr>
        <w:t xml:space="preserve">Abstraction over heterogeneous enforcement substrates.</w:t>
      </w:r>
      <w:r>
        <w:rPr>
          <w:rFonts w:ascii="Times New Roman" w:cs="Times New Roman" w:eastAsia="Times New Roman" w:hAnsi="Times New Roman"/>
          <w:sz w:val="22"/>
          <w:szCs w:val="22"/>
        </w:rPr>
        <w:t xml:space="preserve"> The same intent compiles to AWS Security Groups, Azure Network Security Groups, on-premises firewall rules, Kubernetes NetworkPolicies, service mesh authorization, and Zero Trust gateway policies. The author writes one statement of intent. The platform handles the per-substrate translation. This is critical because real enterprise environments are heterogeneous and getting more so.</w:t>
      </w:r>
    </w:p>
    <w:p>
      <w:pPr>
        <w:spacing w:after="120" w:before="0" w:line="276" w:lineRule="exact"/>
        <w:jc w:val="both"/>
      </w:pPr>
      <w:r>
        <w:rPr>
          <w:rFonts w:ascii="Times New Roman" w:cs="Times New Roman" w:eastAsia="Times New Roman" w:hAnsi="Times New Roman"/>
          <w:b/>
          <w:bCs/>
          <w:sz w:val="22"/>
          <w:szCs w:val="22"/>
        </w:rPr>
        <w:t xml:space="preserve">Continuous reconciliation between declared and actual state.</w:t>
      </w:r>
      <w:r>
        <w:rPr>
          <w:rFonts w:ascii="Times New Roman" w:cs="Times New Roman" w:eastAsia="Times New Roman" w:hAnsi="Times New Roman"/>
          <w:sz w:val="22"/>
          <w:szCs w:val="22"/>
        </w:rPr>
        <w:t xml:space="preserve"> The system does not deploy once and stop. It continuously compares the policies actually in force in the environment to the policies the intent specification requires, and either remediates the drift automatically or generates a high-signal alert for human investigation. Drift becomes a first-class operational signal rather than a periodic audit finding.</w:t>
      </w:r>
    </w:p>
    <w:p>
      <w:pPr>
        <w:spacing w:after="120" w:before="0" w:line="276" w:lineRule="exact"/>
        <w:jc w:val="both"/>
      </w:pPr>
      <w:r>
        <w:rPr>
          <w:rFonts w:ascii="Times New Roman" w:cs="Times New Roman" w:eastAsia="Times New Roman" w:hAnsi="Times New Roman"/>
          <w:b/>
          <w:bCs/>
          <w:sz w:val="22"/>
          <w:szCs w:val="22"/>
        </w:rPr>
        <w:t xml:space="preserve">Identity- and context-aware, not topology-aware.</w:t>
      </w:r>
      <w:r>
        <w:rPr>
          <w:rFonts w:ascii="Times New Roman" w:cs="Times New Roman" w:eastAsia="Times New Roman" w:hAnsi="Times New Roman"/>
          <w:sz w:val="22"/>
          <w:szCs w:val="22"/>
        </w:rPr>
        <w:t xml:space="preserve"> Intent is expressed in terms of </w:t>
      </w:r>
      <w:r>
        <w:rPr>
          <w:rFonts w:ascii="Times New Roman" w:cs="Times New Roman" w:eastAsia="Times New Roman" w:hAnsi="Times New Roman"/>
          <w:i/>
          <w:iCs/>
          <w:sz w:val="22"/>
          <w:szCs w:val="22"/>
        </w:rPr>
        <w:t xml:space="preserve">who</w:t>
      </w:r>
      <w:r>
        <w:rPr>
          <w:rFonts w:ascii="Times New Roman" w:cs="Times New Roman" w:eastAsia="Times New Roman" w:hAnsi="Times New Roman"/>
          <w:sz w:val="22"/>
          <w:szCs w:val="22"/>
        </w:rPr>
        <w:t xml:space="preserve"> (workload identity, service identity, user role) and </w:t>
      </w:r>
      <w:r>
        <w:rPr>
          <w:rFonts w:ascii="Times New Roman" w:cs="Times New Roman" w:eastAsia="Times New Roman" w:hAnsi="Times New Roman"/>
          <w:i/>
          <w:iCs/>
          <w:sz w:val="22"/>
          <w:szCs w:val="22"/>
        </w:rPr>
        <w:t xml:space="preserve">what</w:t>
      </w:r>
      <w:r>
        <w:rPr>
          <w:rFonts w:ascii="Times New Roman" w:cs="Times New Roman" w:eastAsia="Times New Roman" w:hAnsi="Times New Roman"/>
          <w:sz w:val="22"/>
          <w:szCs w:val="22"/>
        </w:rPr>
        <w:t xml:space="preserve"> (data classification, environment, sensitivity), not </w:t>
      </w:r>
      <w:r>
        <w:rPr>
          <w:rFonts w:ascii="Times New Roman" w:cs="Times New Roman" w:eastAsia="Times New Roman" w:hAnsi="Times New Roman"/>
          <w:i/>
          <w:iCs/>
          <w:sz w:val="22"/>
          <w:szCs w:val="22"/>
        </w:rPr>
        <w:t xml:space="preserve">where</w:t>
      </w:r>
      <w:r>
        <w:rPr>
          <w:rFonts w:ascii="Times New Roman" w:cs="Times New Roman" w:eastAsia="Times New Roman" w:hAnsi="Times New Roman"/>
          <w:sz w:val="22"/>
          <w:szCs w:val="22"/>
        </w:rPr>
        <w:t xml:space="preserve"> (IP address, network segment, port). The enforcement artifacts are still expressed in low-level terms because firewalls and IAM systems require them, but the human-readable layer is identity-centric. This is what makes the intent legible across infrastructure transitions — moving a workload from VMs to containers to serverless does not invalidate the intent.</w:t>
      </w:r>
    </w:p>
    <w:p>
      <w:pPr>
        <w:spacing w:after="120" w:before="0" w:line="276" w:lineRule="exact"/>
        <w:jc w:val="both"/>
      </w:pPr>
      <w:r>
        <w:rPr>
          <w:rFonts w:ascii="Times New Roman" w:cs="Times New Roman" w:eastAsia="Times New Roman" w:hAnsi="Times New Roman"/>
          <w:b/>
          <w:bCs/>
          <w:sz w:val="22"/>
          <w:szCs w:val="22"/>
        </w:rPr>
        <w:t xml:space="preserve">Human-readable and auditor-verifiable.</w:t>
      </w:r>
      <w:r>
        <w:rPr>
          <w:rFonts w:ascii="Times New Roman" w:cs="Times New Roman" w:eastAsia="Times New Roman" w:hAnsi="Times New Roman"/>
          <w:sz w:val="22"/>
          <w:szCs w:val="22"/>
        </w:rPr>
        <w:t xml:space="preserve"> The intent specification is the document the security architect, the application owner, the auditor, and the executive can all read. The auditor’s question becomes </w:t>
      </w:r>
      <w:r>
        <w:rPr>
          <w:rFonts w:ascii="Times New Roman" w:cs="Times New Roman" w:eastAsia="Times New Roman" w:hAnsi="Times New Roman"/>
          <w:i/>
          <w:iCs/>
          <w:sz w:val="22"/>
          <w:szCs w:val="22"/>
        </w:rPr>
        <w:t xml:space="preserve">does the intent specification implement the required control?</w:t>
      </w:r>
      <w:r>
        <w:rPr>
          <w:rFonts w:ascii="Times New Roman" w:cs="Times New Roman" w:eastAsia="Times New Roman" w:hAnsi="Times New Roman"/>
          <w:sz w:val="22"/>
          <w:szCs w:val="22"/>
        </w:rPr>
        <w:t xml:space="preserve"> — a far more tractable question than </w:t>
      </w:r>
      <w:r>
        <w:rPr>
          <w:rFonts w:ascii="Times New Roman" w:cs="Times New Roman" w:eastAsia="Times New Roman" w:hAnsi="Times New Roman"/>
          <w:i/>
          <w:iCs/>
          <w:sz w:val="22"/>
          <w:szCs w:val="22"/>
        </w:rPr>
        <w:t xml:space="preserve">do these 47,000 firewall rules implement the required control?</w:t>
      </w:r>
    </w:p>
    <w:p>
      <w:pPr>
        <w:pStyle w:val="Heading2"/>
        <w:spacing w:after="120" w:before="280"/>
        <w:jc w:val="left"/>
      </w:pPr>
      <w:r>
        <w:rPr>
          <w:rFonts w:ascii="Times New Roman" w:cs="Times New Roman" w:eastAsia="Times New Roman" w:hAnsi="Times New Roman"/>
          <w:b/>
          <w:bCs/>
          <w:sz w:val="22"/>
          <w:szCs w:val="22"/>
        </w:rPr>
        <w:t xml:space="preserve">2.3 The Operating Model</w:t>
      </w:r>
    </w:p>
    <w:p>
      <w:pPr>
        <w:spacing w:after="120" w:before="0" w:line="276" w:lineRule="exact"/>
        <w:jc w:val="both"/>
      </w:pPr>
      <w:r>
        <w:rPr>
          <w:rFonts w:ascii="Times New Roman" w:cs="Times New Roman" w:eastAsia="Times New Roman" w:hAnsi="Times New Roman"/>
          <w:sz w:val="22"/>
          <w:szCs w:val="22"/>
        </w:rPr>
        <w:t xml:space="preserve">In an intent-based operating model, the day-to-day work of security policy management changes shape.</w:t>
      </w:r>
    </w:p>
    <w:p>
      <w:pPr>
        <w:spacing w:after="120" w:before="0" w:line="276" w:lineRule="exact"/>
        <w:jc w:val="both"/>
      </w:pPr>
      <w:r>
        <w:rPr>
          <w:rFonts w:ascii="Times New Roman" w:cs="Times New Roman" w:eastAsia="Times New Roman" w:hAnsi="Times New Roman"/>
          <w:sz w:val="22"/>
          <w:szCs w:val="22"/>
        </w:rPr>
        <w:t xml:space="preserve">The application team, deploying a new service, writes an intent declaration alongside their service manifest. The declaration states what the service legitimately needs to do: what it consumes, what it produces, what data classes it handles, which environments it should run in. The intent is reviewed by the security architecture function the way an API contract is reviewed — for completeness, for least privilege, for consistency with adjacent services.</w:t>
      </w:r>
    </w:p>
    <w:p>
      <w:pPr>
        <w:spacing w:after="120" w:before="0" w:line="276" w:lineRule="exact"/>
        <w:jc w:val="both"/>
      </w:pPr>
      <w:r>
        <w:rPr>
          <w:rFonts w:ascii="Times New Roman" w:cs="Times New Roman" w:eastAsia="Times New Roman" w:hAnsi="Times New Roman"/>
          <w:sz w:val="22"/>
          <w:szCs w:val="22"/>
        </w:rPr>
        <w:t xml:space="preserve">Once approved, the intent becomes the source of truth. The policy engine generates the concrete enforcement artifacts. The runtime monitors traffic and behavior against the intent envelope. Anomalies are evaluated against a known declared baseline rather than against a vague notion of </w:t>
      </w:r>
      <w:r>
        <w:rPr>
          <w:rFonts w:ascii="Times New Roman" w:cs="Times New Roman" w:eastAsia="Times New Roman" w:hAnsi="Times New Roman"/>
          <w:i/>
          <w:iCs/>
          <w:sz w:val="22"/>
          <w:szCs w:val="22"/>
        </w:rPr>
        <w:t xml:space="preserve">normal</w:t>
      </w:r>
      <w:r>
        <w:rPr>
          <w:rFonts w:ascii="Times New Roman" w:cs="Times New Roman" w:eastAsia="Times New Roman" w:hAnsi="Times New Roman"/>
          <w:sz w:val="22"/>
          <w:szCs w:val="22"/>
        </w:rPr>
        <w:t xml:space="preserve">. The SOC’s baseline problem — described in §5.2.2 of </w:t>
      </w: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 is structurally addressed because the baseline is explicit, versioned, and owned by the application team.</w:t>
      </w:r>
    </w:p>
    <w:p>
      <w:pPr>
        <w:spacing w:after="120" w:before="0" w:line="276" w:lineRule="exact"/>
        <w:jc w:val="both"/>
      </w:pPr>
      <w:r>
        <w:rPr>
          <w:rFonts w:ascii="Times New Roman" w:cs="Times New Roman" w:eastAsia="Times New Roman" w:hAnsi="Times New Roman"/>
          <w:sz w:val="22"/>
          <w:szCs w:val="22"/>
        </w:rPr>
        <w:t xml:space="preserve">When the application changes, the intent changes. When a service is decommissioned, its intent is removed, and every rule generated from it is automatically reaped. The accumulation problem reverses direction. Rules contract with the workloads that generated them rather than persisting indefinitely after the workload is gone.</w:t>
      </w:r>
    </w:p>
    <w:p>
      <w:pPr>
        <w:pStyle w:val="Heading2"/>
        <w:spacing w:after="120" w:before="280"/>
        <w:jc w:val="left"/>
      </w:pPr>
      <w:r>
        <w:rPr>
          <w:rFonts w:ascii="Times New Roman" w:cs="Times New Roman" w:eastAsia="Times New Roman" w:hAnsi="Times New Roman"/>
          <w:b/>
          <w:bCs/>
          <w:sz w:val="22"/>
          <w:szCs w:val="22"/>
        </w:rPr>
        <w:t xml:space="preserve">2.4 A Vocabulary Note: PDP and PEP</w:t>
      </w:r>
    </w:p>
    <w:p>
      <w:pPr>
        <w:spacing w:after="120" w:before="0" w:line="276" w:lineRule="exact"/>
        <w:jc w:val="both"/>
      </w:pPr>
      <w:r>
        <w:rPr>
          <w:rFonts w:ascii="Times New Roman" w:cs="Times New Roman" w:eastAsia="Times New Roman" w:hAnsi="Times New Roman"/>
          <w:sz w:val="22"/>
          <w:szCs w:val="22"/>
        </w:rPr>
        <w:t xml:space="preserve">This paper follows the vocabulary established in NIST SP 800-207, </w:t>
      </w:r>
      <w:r>
        <w:rPr>
          <w:rFonts w:ascii="Times New Roman" w:cs="Times New Roman" w:eastAsia="Times New Roman" w:hAnsi="Times New Roman"/>
          <w:i/>
          <w:iCs/>
          <w:sz w:val="22"/>
          <w:szCs w:val="22"/>
        </w:rPr>
        <w:t xml:space="preserve">Zero Trust Architecture</w:t>
      </w:r>
      <w:r>
        <w:rPr>
          <w:rFonts w:ascii="Times New Roman" w:cs="Times New Roman" w:eastAsia="Times New Roman" w:hAnsi="Times New Roman"/>
          <w:sz w:val="22"/>
          <w:szCs w:val="22"/>
        </w:rPr>
        <w:t xml:space="preserve">. The </w:t>
      </w:r>
      <w:r>
        <w:rPr>
          <w:rFonts w:ascii="Times New Roman" w:cs="Times New Roman" w:eastAsia="Times New Roman" w:hAnsi="Times New Roman"/>
          <w:b/>
          <w:bCs/>
          <w:sz w:val="22"/>
          <w:szCs w:val="22"/>
        </w:rPr>
        <w:t xml:space="preserve">Policy Decision Point</w:t>
      </w:r>
      <w:r>
        <w:rPr>
          <w:rFonts w:ascii="Times New Roman" w:cs="Times New Roman" w:eastAsia="Times New Roman" w:hAnsi="Times New Roman"/>
          <w:sz w:val="22"/>
          <w:szCs w:val="22"/>
        </w:rPr>
        <w:t xml:space="preserve"> (PDP) is the component that evaluates intent against context and determines whether a given request should be permitted. The </w:t>
      </w:r>
      <w:r>
        <w:rPr>
          <w:rFonts w:ascii="Times New Roman" w:cs="Times New Roman" w:eastAsia="Times New Roman" w:hAnsi="Times New Roman"/>
          <w:b/>
          <w:bCs/>
          <w:sz w:val="22"/>
          <w:szCs w:val="22"/>
        </w:rPr>
        <w:t xml:space="preserve">Policy Enforcement Point</w:t>
      </w:r>
      <w:r>
        <w:rPr>
          <w:rFonts w:ascii="Times New Roman" w:cs="Times New Roman" w:eastAsia="Times New Roman" w:hAnsi="Times New Roman"/>
          <w:sz w:val="22"/>
          <w:szCs w:val="22"/>
        </w:rPr>
        <w:t xml:space="preserve"> (PEP) is the component that actually permits or blocks the request based on the PDP’s decision. In intent-based systems, the policy engine is the PDP; the firewall, service mesh sidecar, admission controller, or ZTNA gateway is the PEP. The intent specification is the input to the PDP. The generated low-level rules are the configuration of the PEP. These terms are used consistently throughout the remainder of this paper.</w:t>
      </w:r>
    </w:p>
    <w:p>
      <w:pPr>
        <w:pStyle w:val="Heading1"/>
        <w:spacing w:after="160" w:before="360"/>
        <w:jc w:val="left"/>
      </w:pPr>
      <w:r>
        <w:rPr>
          <w:rFonts w:ascii="Times New Roman" w:cs="Times New Roman" w:eastAsia="Times New Roman" w:hAnsi="Times New Roman"/>
          <w:b/>
          <w:bCs/>
          <w:caps/>
          <w:sz w:val="26"/>
          <w:szCs w:val="26"/>
        </w:rPr>
        <w:t xml:space="preserve">3. WHERE INTENT-BASED POLICY ALREADY EXISTS</w:t>
      </w:r>
    </w:p>
    <w:p>
      <w:pPr>
        <w:spacing w:after="120" w:before="0" w:line="276" w:lineRule="exact"/>
        <w:jc w:val="both"/>
      </w:pPr>
      <w:r>
        <w:rPr>
          <w:rFonts w:ascii="Times New Roman" w:cs="Times New Roman" w:eastAsia="Times New Roman" w:hAnsi="Times New Roman"/>
          <w:sz w:val="22"/>
          <w:szCs w:val="22"/>
        </w:rPr>
        <w:t xml:space="preserve">The pattern is not theoretical. Intent-based policy systems are deployed in production today across multiple categories of security tooling, each addressing a different control surface. The category names differ. The structural pattern is the same.</w:t>
      </w:r>
    </w:p>
    <w:p>
      <w:pPr>
        <w:pStyle w:val="Heading2"/>
        <w:spacing w:after="120" w:before="280"/>
        <w:jc w:val="left"/>
      </w:pPr>
      <w:r>
        <w:rPr>
          <w:rFonts w:ascii="Times New Roman" w:cs="Times New Roman" w:eastAsia="Times New Roman" w:hAnsi="Times New Roman"/>
          <w:b/>
          <w:bCs/>
          <w:sz w:val="22"/>
          <w:szCs w:val="22"/>
        </w:rPr>
        <w:t xml:space="preserve">3.1 The Convergence at a Glance</w:t>
      </w:r>
    </w:p>
    <w:p>
      <w:pPr>
        <w:spacing w:after="120" w:before="0" w:line="276" w:lineRule="exact"/>
        <w:jc w:val="both"/>
      </w:pPr>
      <w:r>
        <w:rPr>
          <w:rFonts w:ascii="Times New Roman" w:cs="Times New Roman" w:eastAsia="Times New Roman" w:hAnsi="Times New Roman"/>
          <w:sz w:val="22"/>
          <w:szCs w:val="22"/>
        </w:rPr>
        <w:t xml:space="preserve">Table 1 summarizes the six categories examined in this section. Each implements intent declaration, policy decision, and policy enforcement at a different layer of the control plane.</w:t>
      </w:r>
    </w:p>
    <w:p>
      <w:pPr>
        <w:spacing w:after="80" w:before="120"/>
        <w:jc w:val="center"/>
      </w:pPr>
      <w:r>
        <w:rPr>
          <w:rFonts w:ascii="Times New Roman" w:cs="Times New Roman" w:eastAsia="Times New Roman" w:hAnsi="Times New Roman"/>
          <w:i/>
          <w:iCs/>
          <w:sz w:val="20"/>
          <w:szCs w:val="20"/>
        </w:rPr>
        <w:t xml:space="preserve">Table 1. Intent-based policy categories and their control surfaces.</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rPr>
          <w:cantSplit/>
          <w:tblHeader/>
        </w:trPr>
        <w:tc>
          <w:tcPr>
            <w:tcW w:type="dxa" w:w="16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Category</w:t>
            </w:r>
          </w:p>
        </w:tc>
        <w:tc>
          <w:tcPr>
            <w:tcW w:type="dxa" w:w="1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Control Surface</w:t>
            </w:r>
          </w:p>
        </w:tc>
        <w:tc>
          <w:tcPr>
            <w:tcW w:type="dxa" w:w="24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Representative Products</w:t>
            </w:r>
          </w:p>
        </w:tc>
        <w:tc>
          <w:tcPr>
            <w:tcW w:type="dxa" w:w="15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Intent As</w:t>
            </w:r>
          </w:p>
        </w:tc>
        <w:tc>
          <w:tcPr>
            <w:tcW w:type="dxa" w:w="16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Enforcement Substrate</w:t>
            </w:r>
          </w:p>
        </w:tc>
      </w:tr>
      <w:tr>
        <w:trPr>
          <w:cantSplit/>
        </w:trPr>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Service mesh authorization</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Service-to-service traffic</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Istio, Linkerd, Consul Connect, Cilium</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Identity-to-identity authz</w:t>
            </w:r>
          </w:p>
        </w:tc>
        <w:tc>
          <w:tcPr>
            <w:tcW w:type="dxa" w:w="16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Sidecar / eBPF mTLS</w:t>
            </w:r>
          </w:p>
        </w:tc>
      </w:tr>
      <w:tr>
        <w:trPr>
          <w:cantSplit/>
        </w:trPr>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Admission control</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Cluster API admission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OPA Gatekeeper, Kyverno</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Permitted resource configs</w:t>
            </w:r>
          </w:p>
        </w:tc>
        <w:tc>
          <w:tcPr>
            <w:tcW w:type="dxa" w:w="16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Admission webhook</w:t>
            </w:r>
          </w:p>
        </w:tc>
      </w:tr>
      <w:tr>
        <w:trPr>
          <w:cantSplit/>
        </w:trPr>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Microsegmentation</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Workload-to-workload flows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Illumio, Cisco Secure Workload, Akamai Guardicore, Zscaler Workload Segmentation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App-tier allowed flows</w:t>
            </w:r>
          </w:p>
        </w:tc>
        <w:tc>
          <w:tcPr>
            <w:tcW w:type="dxa" w:w="16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Host or network firewall</w:t>
            </w:r>
          </w:p>
        </w:tc>
      </w:tr>
      <w:tr>
        <w:trPr>
          <w:cantSplit/>
        </w:trPr>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Zero Trust Network Access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User-to-application access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Zscaler Private Access, Cloudflare Access, Palo Alto Prisma Access, Cisco Secure Access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Identity + posture + context per request</w:t>
            </w:r>
          </w:p>
        </w:tc>
        <w:tc>
          <w:tcPr>
            <w:tcW w:type="dxa" w:w="16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Access proxy / gateway</w:t>
            </w:r>
          </w:p>
        </w:tc>
      </w:tr>
      <w:tr>
        <w:trPr>
          <w:cantSplit/>
        </w:trPr>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Policy-as-code IAM</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Cloud control plane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HashiCorp Sentinel, AWS SCP, OPA for cloud</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Provisioning guardrails</w:t>
            </w:r>
          </w:p>
        </w:tc>
        <w:tc>
          <w:tcPr>
            <w:tcW w:type="dxa" w:w="16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Deployment pipeline gate</w:t>
            </w:r>
          </w:p>
        </w:tc>
      </w:tr>
      <w:tr>
        <w:trPr>
          <w:cantSplit/>
        </w:trPr>
        <w:tc>
          <w:tcPr>
            <w:tcW w:type="dxa" w:w="1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Intent-based networking</w:t>
            </w:r>
          </w:p>
        </w:tc>
        <w:tc>
          <w:tcPr>
            <w:tcW w:type="dxa" w:w="1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Network fabric</w:t>
            </w:r>
          </w:p>
        </w:tc>
        <w:tc>
          <w:tcPr>
            <w:tcW w:type="dxa" w:w="24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Cisco DNA Center, Juniper Apstra, Arista CloudVision</w:t>
            </w:r>
          </w:p>
        </w:tc>
        <w:tc>
          <w:tcPr>
            <w:tcW w:type="dxa" w:w="15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Connectivity &amp; segmentation</w:t>
            </w:r>
          </w:p>
        </w:tc>
        <w:tc>
          <w:tcPr>
            <w:tcW w:type="dxa" w:w="16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Switches, routers, fabric</w:t>
            </w:r>
          </w:p>
        </w:tc>
      </w:tr>
    </w:tbl>
    <w:p>
      <w:pPr>
        <w:spacing w:after="120" w:before="0" w:line="276" w:lineRule="exact"/>
        <w:jc w:val="both"/>
      </w:pPr>
      <w:r>
        <w:rPr>
          <w:rFonts w:ascii="Times New Roman" w:cs="Times New Roman" w:eastAsia="Times New Roman" w:hAnsi="Times New Roman"/>
          <w:sz w:val="22"/>
          <w:szCs w:val="22"/>
        </w:rPr>
        <w:t xml:space="preserve">The remainder of §3 elaborates on each category and on the convergence the table represents.</w:t>
      </w:r>
    </w:p>
    <w:p>
      <w:pPr>
        <w:pStyle w:val="Heading2"/>
        <w:spacing w:after="120" w:before="280"/>
        <w:jc w:val="left"/>
      </w:pPr>
      <w:r>
        <w:rPr>
          <w:rFonts w:ascii="Times New Roman" w:cs="Times New Roman" w:eastAsia="Times New Roman" w:hAnsi="Times New Roman"/>
          <w:b/>
          <w:bCs/>
          <w:sz w:val="22"/>
          <w:szCs w:val="22"/>
        </w:rPr>
        <w:t xml:space="preserve">3.2 Service Mesh Authorization</w:t>
      </w:r>
    </w:p>
    <w:p>
      <w:pPr>
        <w:spacing w:after="120" w:before="0" w:line="276" w:lineRule="exact"/>
        <w:jc w:val="both"/>
      </w:pPr>
      <w:r>
        <w:rPr>
          <w:rFonts w:ascii="Times New Roman" w:cs="Times New Roman" w:eastAsia="Times New Roman" w:hAnsi="Times New Roman"/>
          <w:sz w:val="22"/>
          <w:szCs w:val="22"/>
        </w:rPr>
        <w:t xml:space="preserve">Service meshes implement intent-based authorization at the service-to-service layer inside a cluster or across clusters. An Istio AuthorizationPolicy declares which workload identities may invoke which services, on which paths, with which methods. HashiCorp Consul names this construct </w:t>
      </w:r>
      <w:r>
        <w:rPr>
          <w:rFonts w:ascii="Times New Roman" w:cs="Times New Roman" w:eastAsia="Times New Roman" w:hAnsi="Times New Roman"/>
          <w:i/>
          <w:iCs/>
          <w:sz w:val="22"/>
          <w:szCs w:val="22"/>
        </w:rPr>
        <w:t xml:space="preserve">intentions</w:t>
      </w:r>
      <w:r>
        <w:rPr>
          <w:rFonts w:ascii="Times New Roman" w:cs="Times New Roman" w:eastAsia="Times New Roman" w:hAnsi="Times New Roman"/>
          <w:sz w:val="22"/>
          <w:szCs w:val="22"/>
        </w:rPr>
        <w:t xml:space="preserve"> directly — Consul intentions specify which service can communicate with which other services, with explicit allow and deny semantics. The mesh generates and enforces the corresponding mTLS-authenticated authorization at every sidecar or eBPF datapath, with no per-rule firewall configuration required.</w:t>
      </w:r>
    </w:p>
    <w:p>
      <w:pPr>
        <w:spacing w:after="120" w:before="0" w:line="276" w:lineRule="exact"/>
        <w:jc w:val="both"/>
      </w:pPr>
      <w:r>
        <w:rPr>
          <w:rFonts w:ascii="Times New Roman" w:cs="Times New Roman" w:eastAsia="Times New Roman" w:hAnsi="Times New Roman"/>
          <w:sz w:val="22"/>
          <w:szCs w:val="22"/>
        </w:rPr>
        <w:t xml:space="preserve">The intent is identity-based. The enforcement is automated. The drift detection — traffic that occurred but should not have, traffic that should have but did not — is built into the mesh’s telemetry layer.</w:t>
      </w:r>
    </w:p>
    <w:p>
      <w:pPr>
        <w:pStyle w:val="Heading2"/>
        <w:spacing w:after="120" w:before="280"/>
        <w:jc w:val="left"/>
      </w:pPr>
      <w:r>
        <w:rPr>
          <w:rFonts w:ascii="Times New Roman" w:cs="Times New Roman" w:eastAsia="Times New Roman" w:hAnsi="Times New Roman"/>
          <w:b/>
          <w:bCs/>
          <w:sz w:val="22"/>
          <w:szCs w:val="22"/>
        </w:rPr>
        <w:t xml:space="preserve">3.3 Kubernetes Admission Control</w:t>
      </w:r>
    </w:p>
    <w:p>
      <w:pPr>
        <w:spacing w:after="120" w:before="0" w:line="276" w:lineRule="exact"/>
        <w:jc w:val="both"/>
      </w:pPr>
      <w:r>
        <w:rPr>
          <w:rFonts w:ascii="Times New Roman" w:cs="Times New Roman" w:eastAsia="Times New Roman" w:hAnsi="Times New Roman"/>
          <w:sz w:val="22"/>
          <w:szCs w:val="22"/>
        </w:rPr>
        <w:t xml:space="preserve">Open Policy Agent (OPA) with Gatekeeper, and Kyverno, implement intent-based policy at the admission control layer. The policy author declares what configurations are permitted to enter the cluster: containers must come from approved registries, no privileged containers in production namespaces, every workload must declare resource limits.</w:t>
      </w:r>
    </w:p>
    <w:p>
      <w:pPr>
        <w:spacing w:after="120" w:before="0" w:line="276" w:lineRule="exact"/>
        <w:jc w:val="both"/>
      </w:pPr>
      <w:r>
        <w:rPr>
          <w:rFonts w:ascii="Times New Roman" w:cs="Times New Roman" w:eastAsia="Times New Roman" w:hAnsi="Times New Roman"/>
          <w:sz w:val="22"/>
          <w:szCs w:val="22"/>
        </w:rPr>
        <w:t xml:space="preserve">These are intent statements about the </w:t>
      </w:r>
      <w:r>
        <w:rPr>
          <w:rFonts w:ascii="Times New Roman" w:cs="Times New Roman" w:eastAsia="Times New Roman" w:hAnsi="Times New Roman"/>
          <w:i/>
          <w:iCs/>
          <w:sz w:val="22"/>
          <w:szCs w:val="22"/>
        </w:rPr>
        <w:t xml:space="preserve">deployment</w:t>
      </w:r>
      <w:r>
        <w:rPr>
          <w:rFonts w:ascii="Times New Roman" w:cs="Times New Roman" w:eastAsia="Times New Roman" w:hAnsi="Times New Roman"/>
          <w:sz w:val="22"/>
          <w:szCs w:val="22"/>
        </w:rPr>
        <w:t xml:space="preserve"> surface. The policy engine evaluates every incoming API request against the intent set and admits or denies. The enforcement is preventative, not detective. Workloads that violate intent are never deployed in the first place, eliminating the entire class of post-hoc remediation that traditional vulnerability scanning requires.</w:t>
      </w:r>
    </w:p>
    <w:p>
      <w:pPr>
        <w:pStyle w:val="Heading2"/>
        <w:spacing w:after="120" w:before="280"/>
        <w:jc w:val="left"/>
      </w:pPr>
      <w:r>
        <w:rPr>
          <w:rFonts w:ascii="Times New Roman" w:cs="Times New Roman" w:eastAsia="Times New Roman" w:hAnsi="Times New Roman"/>
          <w:b/>
          <w:bCs/>
          <w:sz w:val="22"/>
          <w:szCs w:val="22"/>
        </w:rPr>
        <w:t xml:space="preserve">3.4 Microsegmentation</w:t>
      </w:r>
    </w:p>
    <w:p>
      <w:pPr>
        <w:spacing w:after="120" w:before="0" w:line="276" w:lineRule="exact"/>
        <w:jc w:val="both"/>
      </w:pPr>
      <w:r>
        <w:rPr>
          <w:rFonts w:ascii="Times New Roman" w:cs="Times New Roman" w:eastAsia="Times New Roman" w:hAnsi="Times New Roman"/>
          <w:sz w:val="22"/>
          <w:szCs w:val="22"/>
        </w:rPr>
        <w:t xml:space="preserve">Microsegmentation platforms — Illumio, Cisco Secure Workload, Akamai Guardicore, Zscaler Workload Segmentation — implement intent-based policy at the workload-to-workload network layer. The author declares allowed application-to-application flows in terms of application identity and role: the order service tier may reach the inventory service tier on port 443; everything else is denied. The platform discovers actual traffic, maps it to application labels, and generates the underlying firewall rules — host-based, network-based, or both — to implement the intent.</w:t>
      </w:r>
    </w:p>
    <w:p>
      <w:pPr>
        <w:spacing w:after="120" w:before="0" w:line="276" w:lineRule="exact"/>
        <w:jc w:val="both"/>
      </w:pPr>
      <w:r>
        <w:rPr>
          <w:rFonts w:ascii="Times New Roman" w:cs="Times New Roman" w:eastAsia="Times New Roman" w:hAnsi="Times New Roman"/>
          <w:sz w:val="22"/>
          <w:szCs w:val="22"/>
        </w:rPr>
        <w:t xml:space="preserve">The discovery step is significant. In a brownfield environment, the platform first observes actual flows for some period, presents them to the policy author as a candidate intent map, and lets the author confirm or refine. This addresses the practical problem of expressing intent in environments where nobody fully remembers what the legitimate intent should be.</w:t>
      </w:r>
    </w:p>
    <w:p>
      <w:pPr>
        <w:pStyle w:val="Heading2"/>
        <w:spacing w:after="120" w:before="280"/>
        <w:jc w:val="left"/>
      </w:pPr>
      <w:r>
        <w:rPr>
          <w:rFonts w:ascii="Times New Roman" w:cs="Times New Roman" w:eastAsia="Times New Roman" w:hAnsi="Times New Roman"/>
          <w:b/>
          <w:bCs/>
          <w:sz w:val="22"/>
          <w:szCs w:val="22"/>
        </w:rPr>
        <w:t xml:space="preserve">3.5 Zero Trust Network Access</w:t>
      </w:r>
    </w:p>
    <w:p>
      <w:pPr>
        <w:spacing w:after="120" w:before="0" w:line="276" w:lineRule="exact"/>
        <w:jc w:val="both"/>
      </w:pPr>
      <w:r>
        <w:rPr>
          <w:rFonts w:ascii="Times New Roman" w:cs="Times New Roman" w:eastAsia="Times New Roman" w:hAnsi="Times New Roman"/>
          <w:sz w:val="22"/>
          <w:szCs w:val="22"/>
        </w:rPr>
        <w:t xml:space="preserve">ZTNA platforms implement intent-based policy at the user-to-application access layer. Representative offerings include Zscaler Private Access, Cloudflare Access, Palo Alto Prisma Access, and Cisco Secure Access. The author declares which identities, under which device-posture and contextual conditions, may reach which applications. The platform terminates connections at a policy decision point, evaluates the intent for each request, and proxies or denies.</w:t>
      </w:r>
    </w:p>
    <w:p>
      <w:pPr>
        <w:spacing w:after="120" w:before="0" w:line="276" w:lineRule="exact"/>
        <w:jc w:val="both"/>
      </w:pPr>
      <w:r>
        <w:rPr>
          <w:rFonts w:ascii="Times New Roman" w:cs="Times New Roman" w:eastAsia="Times New Roman" w:hAnsi="Times New Roman"/>
          <w:sz w:val="22"/>
          <w:szCs w:val="22"/>
        </w:rPr>
        <w:t xml:space="preserve">ZTNA replaces the legacy VPN model — if you are inside the network you can reach anything — with an explicit per-request intent evaluation. The intent is per-application and per-identity, not per-network-segment. This is intent-based policy applied to the human access surface that VPNs traditionally addressed with topology-based controls.</w:t>
      </w:r>
    </w:p>
    <w:p>
      <w:pPr>
        <w:pStyle w:val="Heading2"/>
        <w:spacing w:after="120" w:before="280"/>
        <w:jc w:val="left"/>
      </w:pPr>
      <w:r>
        <w:rPr>
          <w:rFonts w:ascii="Times New Roman" w:cs="Times New Roman" w:eastAsia="Times New Roman" w:hAnsi="Times New Roman"/>
          <w:b/>
          <w:bCs/>
          <w:sz w:val="22"/>
          <w:szCs w:val="22"/>
        </w:rPr>
        <w:t xml:space="preserve">3.6 Policy-as-Code for Cloud IAM</w:t>
      </w:r>
    </w:p>
    <w:p>
      <w:pPr>
        <w:spacing w:after="120" w:before="0" w:line="276" w:lineRule="exact"/>
        <w:jc w:val="both"/>
      </w:pPr>
      <w:r>
        <w:rPr>
          <w:rFonts w:ascii="Times New Roman" w:cs="Times New Roman" w:eastAsia="Times New Roman" w:hAnsi="Times New Roman"/>
          <w:sz w:val="22"/>
          <w:szCs w:val="22"/>
        </w:rPr>
        <w:t xml:space="preserve">HashiCorp Sentinel, AWS Service Control Policies combined with policy-as-code frameworks, Open Policy Agent for cloud, and similar tools implement intent-based policy at the cloud control plane. The author declares organizational guardrails: no S3 bucket may be created without encryption; no IAM role in production may have administrative permissions; no security group may permit unrestricted ingress on port 22. The policy engine evaluates every infrastructure change against the intent before allowing it to commit.</w:t>
      </w:r>
    </w:p>
    <w:p>
      <w:pPr>
        <w:spacing w:after="120" w:before="0" w:line="276" w:lineRule="exact"/>
        <w:jc w:val="both"/>
      </w:pPr>
      <w:r>
        <w:rPr>
          <w:rFonts w:ascii="Times New Roman" w:cs="Times New Roman" w:eastAsia="Times New Roman" w:hAnsi="Times New Roman"/>
          <w:sz w:val="22"/>
          <w:szCs w:val="22"/>
        </w:rPr>
        <w:t xml:space="preserve">This is intent-based policy applied to infrastructure provisioning, with the policy decision point integrated into the deployment pipeline rather than into the network or identity datapath.</w:t>
      </w:r>
    </w:p>
    <w:p>
      <w:pPr>
        <w:pStyle w:val="Heading2"/>
        <w:spacing w:after="120" w:before="280"/>
        <w:jc w:val="left"/>
      </w:pPr>
      <w:r>
        <w:rPr>
          <w:rFonts w:ascii="Times New Roman" w:cs="Times New Roman" w:eastAsia="Times New Roman" w:hAnsi="Times New Roman"/>
          <w:b/>
          <w:bCs/>
          <w:sz w:val="22"/>
          <w:szCs w:val="22"/>
        </w:rPr>
        <w:t xml:space="preserve">3.7 Intent-Based Networking</w:t>
      </w:r>
    </w:p>
    <w:p>
      <w:pPr>
        <w:spacing w:after="120" w:before="0" w:line="276" w:lineRule="exact"/>
        <w:jc w:val="both"/>
      </w:pPr>
      <w:r>
        <w:rPr>
          <w:rFonts w:ascii="Times New Roman" w:cs="Times New Roman" w:eastAsia="Times New Roman" w:hAnsi="Times New Roman"/>
          <w:sz w:val="22"/>
          <w:szCs w:val="22"/>
        </w:rPr>
        <w:t xml:space="preserve">Cisco DNA Center, Juniper Apstra, and Arista CloudVision implement intent-based policy at the network fabric layer — the original domain where the term was coined. The network architect declares desired connectivity, segmentation, and policy outcomes. The controller programs the underlying switches, routers, and firewalls to implement them, and continuously reconciles to detect physical changes that drift from the intent.</w:t>
      </w:r>
    </w:p>
    <w:p>
      <w:pPr>
        <w:spacing w:after="120" w:before="0" w:line="276" w:lineRule="exact"/>
        <w:jc w:val="both"/>
      </w:pPr>
      <w:r>
        <w:rPr>
          <w:rFonts w:ascii="Times New Roman" w:cs="Times New Roman" w:eastAsia="Times New Roman" w:hAnsi="Times New Roman"/>
          <w:sz w:val="22"/>
          <w:szCs w:val="22"/>
        </w:rPr>
        <w:t xml:space="preserve">Intent-based networking is the conceptual ancestor of every category listed above. The security industry has spent the last decade discovering, in each control surface independently, that the network-fabric vendors were right about the design pattern.</w:t>
      </w:r>
    </w:p>
    <w:p>
      <w:pPr>
        <w:pStyle w:val="Heading2"/>
        <w:spacing w:after="120" w:before="280"/>
        <w:jc w:val="left"/>
      </w:pPr>
      <w:r>
        <w:rPr>
          <w:rFonts w:ascii="Times New Roman" w:cs="Times New Roman" w:eastAsia="Times New Roman" w:hAnsi="Times New Roman"/>
          <w:b/>
          <w:bCs/>
          <w:sz w:val="22"/>
          <w:szCs w:val="22"/>
        </w:rPr>
        <w:t xml:space="preserve">3.8 What the Convergence Means</w:t>
      </w:r>
    </w:p>
    <w:p>
      <w:pPr>
        <w:spacing w:after="120" w:before="0" w:line="276" w:lineRule="exact"/>
        <w:jc w:val="both"/>
      </w:pPr>
      <w:r>
        <w:rPr>
          <w:rFonts w:ascii="Times New Roman" w:cs="Times New Roman" w:eastAsia="Times New Roman" w:hAnsi="Times New Roman"/>
          <w:sz w:val="22"/>
          <w:szCs w:val="22"/>
        </w:rPr>
        <w:t xml:space="preserve">Across all six categories, the same structural transition is underway: a shift from imperative, low-level, topology-bound rule authoring to declarative, high-level, identity-bound intent declaration. No single product implements all six. No single vendor will. But the design pattern is consistent across all of them, and the consistency is itself evidence that the pattern is correct.</w:t>
      </w:r>
    </w:p>
    <w:p>
      <w:pPr>
        <w:spacing w:after="120" w:before="0" w:line="276" w:lineRule="exact"/>
        <w:jc w:val="both"/>
      </w:pPr>
      <w:r>
        <w:rPr>
          <w:rFonts w:ascii="Times New Roman" w:cs="Times New Roman" w:eastAsia="Times New Roman" w:hAnsi="Times New Roman"/>
          <w:sz w:val="22"/>
          <w:szCs w:val="22"/>
        </w:rPr>
        <w:t xml:space="preserve">Enterprises that adopt intent-based tooling at multiple layers — service mesh authorization, admission control, microsegmentation, ZTNA, and IAM policy-as-code — are converging on a policy operating model that looks fundamentally different from the rule-based model of the previous decade. The implementation is heterogeneous. The conceptual model is unified.</w:t>
      </w:r>
    </w:p>
    <w:p>
      <w:pPr>
        <w:pStyle w:val="Heading1"/>
        <w:spacing w:after="160" w:before="360"/>
        <w:jc w:val="left"/>
      </w:pPr>
      <w:r>
        <w:rPr>
          <w:rFonts w:ascii="Times New Roman" w:cs="Times New Roman" w:eastAsia="Times New Roman" w:hAnsi="Times New Roman"/>
          <w:b/>
          <w:bCs/>
          <w:caps/>
          <w:sz w:val="26"/>
          <w:szCs w:val="26"/>
        </w:rPr>
        <w:t xml:space="preserve">4. WHY INTENT-BASED POLICY IS THE RIGHT COMPLEMENT TO STRUCTURAL DEFENSE</w:t>
      </w:r>
    </w:p>
    <w:p>
      <w:pPr>
        <w:pStyle w:val="Heading2"/>
        <w:spacing w:after="120" w:before="280"/>
        <w:jc w:val="left"/>
      </w:pPr>
      <w:r>
        <w:rPr>
          <w:rFonts w:ascii="Times New Roman" w:cs="Times New Roman" w:eastAsia="Times New Roman" w:hAnsi="Times New Roman"/>
          <w:b/>
          <w:bCs/>
          <w:sz w:val="22"/>
          <w:szCs w:val="22"/>
        </w:rPr>
        <w:t xml:space="preserve">4.1 The Same Argument, One Layer Up</w:t>
      </w:r>
    </w:p>
    <w:p>
      <w:pPr>
        <w:spacing w:after="120" w:before="0" w:line="276" w:lineRule="exact"/>
        <w:jc w:val="both"/>
      </w:pP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makes the argument that at the OS, hardware, and API layers, structural defense — eliminating attack surface rather than monitoring it — is the necessary complement to reactive detection. Intent-based policy is the same argument applied to the security control plane itself.</w:t>
      </w:r>
    </w:p>
    <w:p>
      <w:pPr>
        <w:spacing w:after="120" w:before="0" w:line="276" w:lineRule="exact"/>
        <w:jc w:val="both"/>
      </w:pPr>
      <w:r>
        <w:rPr>
          <w:rFonts w:ascii="Times New Roman" w:cs="Times New Roman" w:eastAsia="Times New Roman" w:hAnsi="Times New Roman"/>
          <w:sz w:val="22"/>
          <w:szCs w:val="22"/>
        </w:rPr>
        <w:t xml:space="preserve">The structural logic is the same. A general-purpose Linux kernel loads thousands of subsystems the workload does not need. A traditional firewall rule set permits thousands of communication paths the application architecture does not need. Both accumulated through the same logic: flexibility, compatibility, the assumption that the unused parts were inert. Both became dangerous when AI-assisted attackers began systematically exploring what previous adversaries could not afford to explore.</w:t>
      </w:r>
    </w:p>
    <w:p>
      <w:pPr>
        <w:spacing w:after="120" w:before="0" w:line="276" w:lineRule="exact"/>
        <w:jc w:val="both"/>
      </w:pPr>
      <w:r>
        <w:rPr>
          <w:rFonts w:ascii="Times New Roman" w:cs="Times New Roman" w:eastAsia="Times New Roman" w:hAnsi="Times New Roman"/>
          <w:sz w:val="22"/>
          <w:szCs w:val="22"/>
        </w:rPr>
        <w:t xml:space="preserve">The structural answer at the OS layer is </w:t>
      </w:r>
      <w:r>
        <w:rPr>
          <w:rFonts w:ascii="Times New Roman" w:cs="Times New Roman" w:eastAsia="Times New Roman" w:hAnsi="Times New Roman"/>
          <w:i/>
          <w:iCs/>
          <w:sz w:val="22"/>
          <w:szCs w:val="22"/>
        </w:rPr>
        <w:t xml:space="preserve">do not compile in what you do not need.</w:t>
      </w:r>
      <w:r>
        <w:rPr>
          <w:rFonts w:ascii="Times New Roman" w:cs="Times New Roman" w:eastAsia="Times New Roman" w:hAnsi="Times New Roman"/>
          <w:sz w:val="22"/>
          <w:szCs w:val="22"/>
        </w:rPr>
        <w:t xml:space="preserve"> The structural answer at the policy layer is </w:t>
      </w:r>
      <w:r>
        <w:rPr>
          <w:rFonts w:ascii="Times New Roman" w:cs="Times New Roman" w:eastAsia="Times New Roman" w:hAnsi="Times New Roman"/>
          <w:i/>
          <w:iCs/>
          <w:sz w:val="22"/>
          <w:szCs w:val="22"/>
        </w:rPr>
        <w:t xml:space="preserve">do not allow what you have not declared.</w:t>
      </w:r>
      <w:r>
        <w:rPr>
          <w:rFonts w:ascii="Times New Roman" w:cs="Times New Roman" w:eastAsia="Times New Roman" w:hAnsi="Times New Roman"/>
          <w:sz w:val="22"/>
          <w:szCs w:val="22"/>
        </w:rPr>
        <w:t xml:space="preserve"> They are the same answer expressed against different control surfaces.</w:t>
      </w:r>
    </w:p>
    <w:p>
      <w:pPr>
        <w:pStyle w:val="Heading2"/>
        <w:spacing w:after="120" w:before="280"/>
        <w:jc w:val="left"/>
      </w:pPr>
      <w:r>
        <w:rPr>
          <w:rFonts w:ascii="Times New Roman" w:cs="Times New Roman" w:eastAsia="Times New Roman" w:hAnsi="Times New Roman"/>
          <w:b/>
          <w:bCs/>
          <w:sz w:val="22"/>
          <w:szCs w:val="22"/>
        </w:rPr>
        <w:t xml:space="preserve">4.2 What Intent Adds to the Minimal-Build Thesis</w:t>
      </w:r>
    </w:p>
    <w:p>
      <w:pPr>
        <w:spacing w:after="120" w:before="0" w:line="276" w:lineRule="exact"/>
        <w:jc w:val="both"/>
      </w:pPr>
      <w:r>
        <w:rPr>
          <w:rFonts w:ascii="Times New Roman" w:cs="Times New Roman" w:eastAsia="Times New Roman" w:hAnsi="Times New Roman"/>
          <w:sz w:val="22"/>
          <w:szCs w:val="22"/>
        </w:rPr>
        <w:t xml:space="preserve">A minimal kernel build constrains what the workload </w:t>
      </w:r>
      <w:r>
        <w:rPr>
          <w:rFonts w:ascii="Times New Roman" w:cs="Times New Roman" w:eastAsia="Times New Roman" w:hAnsi="Times New Roman"/>
          <w:i/>
          <w:iCs/>
          <w:sz w:val="22"/>
          <w:szCs w:val="22"/>
        </w:rPr>
        <w:t xml:space="preserve">can</w:t>
      </w:r>
      <w:r>
        <w:rPr>
          <w:rFonts w:ascii="Times New Roman" w:cs="Times New Roman" w:eastAsia="Times New Roman" w:hAnsi="Times New Roman"/>
          <w:sz w:val="22"/>
          <w:szCs w:val="22"/>
        </w:rPr>
        <w:t xml:space="preserve"> do at the system call interface. An intent-based policy constrains what the workload </w:t>
      </w:r>
      <w:r>
        <w:rPr>
          <w:rFonts w:ascii="Times New Roman" w:cs="Times New Roman" w:eastAsia="Times New Roman" w:hAnsi="Times New Roman"/>
          <w:i/>
          <w:iCs/>
          <w:sz w:val="22"/>
          <w:szCs w:val="22"/>
        </w:rPr>
        <w:t xml:space="preserve">is allowed</w:t>
      </w:r>
      <w:r>
        <w:rPr>
          <w:rFonts w:ascii="Times New Roman" w:cs="Times New Roman" w:eastAsia="Times New Roman" w:hAnsi="Times New Roman"/>
          <w:sz w:val="22"/>
          <w:szCs w:val="22"/>
        </w:rPr>
        <w:t xml:space="preserve"> to do at the network, identity, and data layers. The two controls operate at different layers and address different threat models.</w:t>
      </w:r>
    </w:p>
    <w:p>
      <w:pPr>
        <w:spacing w:after="120" w:before="0" w:line="276" w:lineRule="exact"/>
        <w:jc w:val="both"/>
      </w:pPr>
      <w:r>
        <w:rPr>
          <w:rFonts w:ascii="Times New Roman" w:cs="Times New Roman" w:eastAsia="Times New Roman" w:hAnsi="Times New Roman"/>
          <w:sz w:val="22"/>
          <w:szCs w:val="22"/>
        </w:rPr>
        <w:t xml:space="preserve">A workload running on Bottlerocket with a minimal kernel still needs network policies to constrain which other workloads it can reach. A workload with a tight service mesh AuthorizationPolicy still needs a minimal kernel to constrain what an in-process compromise can achieve. Each control prevents a class of compromise the other cannot.</w:t>
      </w:r>
    </w:p>
    <w:p>
      <w:pPr>
        <w:spacing w:after="120" w:before="0" w:line="276" w:lineRule="exact"/>
        <w:jc w:val="both"/>
      </w:pPr>
      <w:r>
        <w:rPr>
          <w:rFonts w:ascii="Times New Roman" w:cs="Times New Roman" w:eastAsia="Times New Roman" w:hAnsi="Times New Roman"/>
          <w:sz w:val="22"/>
          <w:szCs w:val="22"/>
        </w:rPr>
        <w:t xml:space="preserve">Together, the two controls produce a structural envelope around the workload that is bounded at every layer: kernel, network, identity, data. Compromise inside one layer does not yield free movement at the others because each layer is independently constrained by its own declared intent.</w:t>
      </w:r>
    </w:p>
    <w:p>
      <w:pPr>
        <w:pStyle w:val="Heading2"/>
        <w:spacing w:after="120" w:before="280"/>
        <w:jc w:val="left"/>
      </w:pPr>
      <w:r>
        <w:rPr>
          <w:rFonts w:ascii="Times New Roman" w:cs="Times New Roman" w:eastAsia="Times New Roman" w:hAnsi="Times New Roman"/>
          <w:b/>
          <w:bCs/>
          <w:sz w:val="22"/>
          <w:szCs w:val="22"/>
        </w:rPr>
        <w:t xml:space="preserve">4.3 Solving the SOC Baseline Problem</w:t>
      </w:r>
    </w:p>
    <w:p>
      <w:pPr>
        <w:spacing w:after="120" w:before="0" w:line="276" w:lineRule="exact"/>
        <w:jc w:val="both"/>
      </w:pPr>
      <w:r>
        <w:rPr>
          <w:rFonts w:ascii="Times New Roman" w:cs="Times New Roman" w:eastAsia="Times New Roman" w:hAnsi="Times New Roman"/>
          <w:sz w:val="22"/>
          <w:szCs w:val="22"/>
        </w:rPr>
        <w:t xml:space="preserve">Section 5.2.2 of </w:t>
      </w: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describes the structural inability of SOC teams to define </w:t>
      </w:r>
      <w:r>
        <w:rPr>
          <w:rFonts w:ascii="Times New Roman" w:cs="Times New Roman" w:eastAsia="Times New Roman" w:hAnsi="Times New Roman"/>
          <w:i/>
          <w:iCs/>
          <w:sz w:val="22"/>
          <w:szCs w:val="22"/>
        </w:rPr>
        <w:t xml:space="preserve">normal</w:t>
      </w:r>
      <w:r>
        <w:rPr>
          <w:rFonts w:ascii="Times New Roman" w:cs="Times New Roman" w:eastAsia="Times New Roman" w:hAnsi="Times New Roman"/>
          <w:sz w:val="22"/>
          <w:szCs w:val="22"/>
        </w:rPr>
        <w:t xml:space="preserve"> behavior for applications they do not understand. Intent-based policy addresses this problem directly. Normal is no longer inferred from logs by a team that lacks application context. It is declared explicitly by the application owners as part of the deployment process, reviewed by security architecture, and continuously reconciled by the policy engine.</w:t>
      </w:r>
    </w:p>
    <w:p>
      <w:pPr>
        <w:spacing w:after="120" w:before="0" w:line="276" w:lineRule="exact"/>
        <w:jc w:val="both"/>
      </w:pPr>
      <w:r>
        <w:rPr>
          <w:rFonts w:ascii="Times New Roman" w:cs="Times New Roman" w:eastAsia="Times New Roman" w:hAnsi="Times New Roman"/>
          <w:sz w:val="22"/>
          <w:szCs w:val="22"/>
        </w:rPr>
        <w:t xml:space="preserve">The SOC’s role shifts from </w:t>
      </w:r>
      <w:r>
        <w:rPr>
          <w:rFonts w:ascii="Times New Roman" w:cs="Times New Roman" w:eastAsia="Times New Roman" w:hAnsi="Times New Roman"/>
          <w:i/>
          <w:iCs/>
          <w:sz w:val="22"/>
          <w:szCs w:val="22"/>
        </w:rPr>
        <w:t xml:space="preserve">attempting to discover what normal looks like through observation</w:t>
      </w:r>
      <w:r>
        <w:rPr>
          <w:rFonts w:ascii="Times New Roman" w:cs="Times New Roman" w:eastAsia="Times New Roman" w:hAnsi="Times New Roman"/>
          <w:sz w:val="22"/>
          <w:szCs w:val="22"/>
        </w:rPr>
        <w:t xml:space="preserve"> to </w:t>
      </w:r>
      <w:r>
        <w:rPr>
          <w:rFonts w:ascii="Times New Roman" w:cs="Times New Roman" w:eastAsia="Times New Roman" w:hAnsi="Times New Roman"/>
          <w:i/>
          <w:iCs/>
          <w:sz w:val="22"/>
          <w:szCs w:val="22"/>
        </w:rPr>
        <w:t xml:space="preserve">investigating deviations from a known declared baseline</w:t>
      </w:r>
      <w:r>
        <w:rPr>
          <w:rFonts w:ascii="Times New Roman" w:cs="Times New Roman" w:eastAsia="Times New Roman" w:hAnsi="Times New Roman"/>
          <w:sz w:val="22"/>
          <w:szCs w:val="22"/>
        </w:rPr>
        <w:t xml:space="preserve">. The signal-to-noise ratio improves not because the detection tooling improved, but because the question being asked got better.</w:t>
      </w:r>
    </w:p>
    <w:p>
      <w:pPr>
        <w:pStyle w:val="Heading2"/>
        <w:spacing w:after="120" w:before="280"/>
        <w:jc w:val="left"/>
      </w:pPr>
      <w:r>
        <w:rPr>
          <w:rFonts w:ascii="Times New Roman" w:cs="Times New Roman" w:eastAsia="Times New Roman" w:hAnsi="Times New Roman"/>
          <w:b/>
          <w:bCs/>
          <w:sz w:val="22"/>
          <w:szCs w:val="22"/>
        </w:rPr>
        <w:t xml:space="preserve">4.4 Solving the Network–Security Divide</w:t>
      </w:r>
    </w:p>
    <w:p>
      <w:pPr>
        <w:spacing w:after="120" w:before="0" w:line="276" w:lineRule="exact"/>
        <w:jc w:val="both"/>
      </w:pPr>
      <w:r>
        <w:rPr>
          <w:rFonts w:ascii="Times New Roman" w:cs="Times New Roman" w:eastAsia="Times New Roman" w:hAnsi="Times New Roman"/>
          <w:sz w:val="22"/>
          <w:szCs w:val="22"/>
        </w:rPr>
        <w:t xml:space="preserve">Section 5.3 of </w:t>
      </w: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describes the organizational gap between network engineering and security functions. Intent-based policy is one of the few mechanisms that bridges this gap structurally rather than procedurally. The intent specification is the shared artifact. The network team can read it and verify that the topology supports it. The security team can read it and verify that it enforces the required posture. The application team can read it and verify that it permits the required behavior. The auditor can read it and verify that it satisfies the framework.</w:t>
      </w:r>
    </w:p>
    <w:p>
      <w:pPr>
        <w:spacing w:after="120" w:before="0" w:line="276" w:lineRule="exact"/>
        <w:jc w:val="both"/>
      </w:pPr>
      <w:r>
        <w:rPr>
          <w:rFonts w:ascii="Times New Roman" w:cs="Times New Roman" w:eastAsia="Times New Roman" w:hAnsi="Times New Roman"/>
          <w:sz w:val="22"/>
          <w:szCs w:val="22"/>
        </w:rPr>
        <w:t xml:space="preserve">The intent is the document everyone can read. Whether the organization restructures or not, the operational picture is shared because the source of truth is shared.</w:t>
      </w:r>
    </w:p>
    <w:p>
      <w:pPr>
        <w:pStyle w:val="Heading2"/>
        <w:spacing w:after="120" w:before="280"/>
        <w:jc w:val="left"/>
      </w:pPr>
      <w:r>
        <w:rPr>
          <w:rFonts w:ascii="Times New Roman" w:cs="Times New Roman" w:eastAsia="Times New Roman" w:hAnsi="Times New Roman"/>
          <w:b/>
          <w:bCs/>
          <w:sz w:val="22"/>
          <w:szCs w:val="22"/>
        </w:rPr>
        <w:t xml:space="preserve">4.5 Solving the Developer Literacy Gap</w:t>
      </w:r>
    </w:p>
    <w:p>
      <w:pPr>
        <w:spacing w:after="120" w:before="0" w:line="276" w:lineRule="exact"/>
        <w:jc w:val="both"/>
      </w:pPr>
      <w:r>
        <w:rPr>
          <w:rFonts w:ascii="Times New Roman" w:cs="Times New Roman" w:eastAsia="Times New Roman" w:hAnsi="Times New Roman"/>
          <w:sz w:val="22"/>
          <w:szCs w:val="22"/>
        </w:rPr>
        <w:t xml:space="preserve">Section 5.4 of </w:t>
      </w: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describes the erosion of network and security literacy among application developers. Intent-based policy does not solve this directly — application developers still need to understand what their service does — but it changes the form of the conversation they need to have with security.</w:t>
      </w:r>
    </w:p>
    <w:p>
      <w:pPr>
        <w:spacing w:after="120" w:before="0" w:line="276" w:lineRule="exact"/>
        <w:jc w:val="both"/>
      </w:pPr>
      <w:r>
        <w:rPr>
          <w:rFonts w:ascii="Times New Roman" w:cs="Times New Roman" w:eastAsia="Times New Roman" w:hAnsi="Times New Roman"/>
          <w:sz w:val="22"/>
          <w:szCs w:val="22"/>
        </w:rPr>
        <w:t xml:space="preserve">Instead of </w:t>
      </w:r>
      <w:r>
        <w:rPr>
          <w:rFonts w:ascii="Times New Roman" w:cs="Times New Roman" w:eastAsia="Times New Roman" w:hAnsi="Times New Roman"/>
          <w:i/>
          <w:iCs/>
          <w:sz w:val="22"/>
          <w:szCs w:val="22"/>
        </w:rPr>
        <w:t xml:space="preserve">open ports 443 and 8080 from these CIDR blocks</w:t>
      </w:r>
      <w:r>
        <w:rPr>
          <w:rFonts w:ascii="Times New Roman" w:cs="Times New Roman" w:eastAsia="Times New Roman" w:hAnsi="Times New Roman"/>
          <w:sz w:val="22"/>
          <w:szCs w:val="22"/>
        </w:rPr>
        <w:t xml:space="preserve">, the developer’s contribution becomes </w:t>
      </w:r>
      <w:r>
        <w:rPr>
          <w:rFonts w:ascii="Times New Roman" w:cs="Times New Roman" w:eastAsia="Times New Roman" w:hAnsi="Times New Roman"/>
          <w:i/>
          <w:iCs/>
          <w:sz w:val="22"/>
          <w:szCs w:val="22"/>
        </w:rPr>
        <w:t xml:space="preserve">this service receives requests from these named upstreams and makes calls to these named downstreams.</w:t>
      </w:r>
      <w:r>
        <w:rPr>
          <w:rFonts w:ascii="Times New Roman" w:cs="Times New Roman" w:eastAsia="Times New Roman" w:hAnsi="Times New Roman"/>
          <w:sz w:val="22"/>
          <w:szCs w:val="22"/>
        </w:rPr>
        <w:t xml:space="preserve"> The latter is a statement about application architecture, expressed in language the developer already speaks. The translation to firewall syntax happens automatically. The developer does not become a network engineer. They contribute the application-level information that only they have, in a form that the security platform can consume.</w:t>
      </w:r>
    </w:p>
    <w:p>
      <w:pPr>
        <w:pStyle w:val="Heading2"/>
        <w:spacing w:after="120" w:before="280"/>
        <w:jc w:val="left"/>
      </w:pPr>
      <w:r>
        <w:rPr>
          <w:rFonts w:ascii="Times New Roman" w:cs="Times New Roman" w:eastAsia="Times New Roman" w:hAnsi="Times New Roman"/>
          <w:b/>
          <w:bCs/>
          <w:sz w:val="22"/>
          <w:szCs w:val="22"/>
        </w:rPr>
        <w:t xml:space="preserve">4.6 The AI-Defense Composition</w:t>
      </w:r>
    </w:p>
    <w:p>
      <w:pPr>
        <w:spacing w:after="120" w:before="0" w:line="276" w:lineRule="exact"/>
        <w:jc w:val="both"/>
      </w:pPr>
      <w:r>
        <w:rPr>
          <w:rFonts w:ascii="Times New Roman" w:cs="Times New Roman" w:eastAsia="Times New Roman" w:hAnsi="Times New Roman"/>
          <w:sz w:val="22"/>
          <w:szCs w:val="22"/>
        </w:rPr>
        <w:t xml:space="preserve">The AI thread that runs through </w:t>
      </w: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 AI as an exploitation force multiplier — has a defensive counterpart that depends specifically on intent-based foundations. AI-driven anomaly detection on top of a declared intent envelope is qualitatively different from AI-driven anomaly detection against an inferred </w:t>
      </w:r>
      <w:r>
        <w:rPr>
          <w:rFonts w:ascii="Times New Roman" w:cs="Times New Roman" w:eastAsia="Times New Roman" w:hAnsi="Times New Roman"/>
          <w:i/>
          <w:iCs/>
          <w:sz w:val="22"/>
          <w:szCs w:val="22"/>
        </w:rPr>
        <w:t xml:space="preserve">normal</w:t>
      </w:r>
      <w:r>
        <w:rPr>
          <w:rFonts w:ascii="Times New Roman" w:cs="Times New Roman" w:eastAsia="Times New Roman" w:hAnsi="Times New Roman"/>
          <w:sz w:val="22"/>
          <w:szCs w:val="22"/>
        </w:rPr>
        <w:t xml:space="preserve">. The intent provides ground truth that the machine learning system can train against. Deviations are evaluated against a versioned, owned, human-readable baseline rather than against statistical normalcy inferred from telemetry of unknown quality.</w:t>
      </w:r>
    </w:p>
    <w:p>
      <w:pPr>
        <w:spacing w:after="120" w:before="0" w:line="276" w:lineRule="exact"/>
        <w:jc w:val="both"/>
      </w:pPr>
      <w:r>
        <w:rPr>
          <w:rFonts w:ascii="Times New Roman" w:cs="Times New Roman" w:eastAsia="Times New Roman" w:hAnsi="Times New Roman"/>
          <w:sz w:val="22"/>
          <w:szCs w:val="22"/>
        </w:rPr>
        <w:t xml:space="preserve">This composition is the missing piece in most current AI-for-security deployments. Anomaly detection trained on traffic from an environment whose legitimate behavior was never declared cannot reliably distinguish </w:t>
      </w:r>
      <w:r>
        <w:rPr>
          <w:rFonts w:ascii="Times New Roman" w:cs="Times New Roman" w:eastAsia="Times New Roman" w:hAnsi="Times New Roman"/>
          <w:i/>
          <w:iCs/>
          <w:sz w:val="22"/>
          <w:szCs w:val="22"/>
        </w:rPr>
        <w:t xml:space="preserve">unusual but legitimate</w:t>
      </w:r>
      <w:r>
        <w:rPr>
          <w:rFonts w:ascii="Times New Roman" w:cs="Times New Roman" w:eastAsia="Times New Roman" w:hAnsi="Times New Roman"/>
          <w:sz w:val="22"/>
          <w:szCs w:val="22"/>
        </w:rPr>
        <w:t xml:space="preserve"> from </w:t>
      </w:r>
      <w:r>
        <w:rPr>
          <w:rFonts w:ascii="Times New Roman" w:cs="Times New Roman" w:eastAsia="Times New Roman" w:hAnsi="Times New Roman"/>
          <w:i/>
          <w:iCs/>
          <w:sz w:val="22"/>
          <w:szCs w:val="22"/>
        </w:rPr>
        <w:t xml:space="preserve">unusual and adversarial</w:t>
      </w:r>
      <w:r>
        <w:rPr>
          <w:rFonts w:ascii="Times New Roman" w:cs="Times New Roman" w:eastAsia="Times New Roman" w:hAnsi="Times New Roman"/>
          <w:sz w:val="22"/>
          <w:szCs w:val="22"/>
        </w:rPr>
        <w:t xml:space="preserve">. The same anomaly detection, applied against a workload whose intent specification declares its expected upstreams, downstreams, data classes, and access patterns, has a vastly better question to answer. Intent-based policy is, in this sense, a prerequisite for AI-assisted defense to deliver more signal than noise. Whether this composition is implemented well or poorly will shape the next several years of defensive tooling design.</w:t>
      </w:r>
    </w:p>
    <w:p>
      <w:pPr>
        <w:pStyle w:val="Heading1"/>
        <w:spacing w:after="160" w:before="360"/>
        <w:jc w:val="left"/>
      </w:pPr>
      <w:r>
        <w:rPr>
          <w:rFonts w:ascii="Times New Roman" w:cs="Times New Roman" w:eastAsia="Times New Roman" w:hAnsi="Times New Roman"/>
          <w:b/>
          <w:bCs/>
          <w:caps/>
          <w:sz w:val="26"/>
          <w:szCs w:val="26"/>
        </w:rPr>
        <w:t xml:space="preserve">5. ADOPTION CONSTRAINTS AND HONEST LIMITS</w:t>
      </w:r>
    </w:p>
    <w:p>
      <w:pPr>
        <w:spacing w:after="120" w:before="0" w:line="276" w:lineRule="exact"/>
        <w:jc w:val="both"/>
      </w:pPr>
      <w:r>
        <w:rPr>
          <w:rFonts w:ascii="Times New Roman" w:cs="Times New Roman" w:eastAsia="Times New Roman" w:hAnsi="Times New Roman"/>
          <w:sz w:val="22"/>
          <w:szCs w:val="22"/>
        </w:rPr>
        <w:t xml:space="preserve">Intent-based policy is not free, and it is not appropriate for every control surface. The argument of this paper is that it is structurally correct, not that it is universally easy to deploy. Six categories of limit deserve explicit acknowledgment.</w:t>
      </w:r>
    </w:p>
    <w:p>
      <w:pPr>
        <w:pStyle w:val="Heading2"/>
        <w:spacing w:after="120" w:before="280"/>
        <w:jc w:val="left"/>
      </w:pPr>
      <w:r>
        <w:rPr>
          <w:rFonts w:ascii="Times New Roman" w:cs="Times New Roman" w:eastAsia="Times New Roman" w:hAnsi="Times New Roman"/>
          <w:b/>
          <w:bCs/>
          <w:sz w:val="22"/>
          <w:szCs w:val="22"/>
        </w:rPr>
        <w:t xml:space="preserve">5.1 The Policy Engine Becomes Critical Infrastructure</w:t>
      </w:r>
    </w:p>
    <w:p>
      <w:pPr>
        <w:spacing w:after="120" w:before="0" w:line="276" w:lineRule="exact"/>
        <w:jc w:val="both"/>
      </w:pPr>
      <w:r>
        <w:rPr>
          <w:rFonts w:ascii="Times New Roman" w:cs="Times New Roman" w:eastAsia="Times New Roman" w:hAnsi="Times New Roman"/>
          <w:sz w:val="22"/>
          <w:szCs w:val="22"/>
        </w:rPr>
        <w:t xml:space="preserve">When the source of truth for security enforcement is the intent specification, the policy engine that compiles and reconciles it becomes a critical control point. A bug in the engine, a misconfiguration of the engine, or a compromise of the engine cascades into every downstream rule. The engineering investment in the reliability, observability, and security of the engine itself must be commensurate with its position in the control hierarchy.</w:t>
      </w:r>
    </w:p>
    <w:p>
      <w:pPr>
        <w:spacing w:after="120" w:before="0" w:line="276" w:lineRule="exact"/>
        <w:jc w:val="both"/>
      </w:pPr>
      <w:r>
        <w:rPr>
          <w:rFonts w:ascii="Times New Roman" w:cs="Times New Roman" w:eastAsia="Times New Roman" w:hAnsi="Times New Roman"/>
          <w:sz w:val="22"/>
          <w:szCs w:val="22"/>
        </w:rPr>
        <w:t xml:space="preserve">This is not an argument against the model. It is an argument that the model relocates risk rather than eliminating it. The same observation applies to every centralization of a previously distributed function: DNS, certificate authorities, configuration management, infrastructure-as-code pipelines. Each represents a structurally correct architectural move that creates a new high-value target. The defense is engineering discipline applied to the new chokepoint, not avoiding the architectural move.</w:t>
      </w:r>
    </w:p>
    <w:p>
      <w:pPr>
        <w:pStyle w:val="Heading2"/>
        <w:spacing w:after="120" w:before="280"/>
        <w:jc w:val="left"/>
      </w:pPr>
      <w:r>
        <w:rPr>
          <w:rFonts w:ascii="Times New Roman" w:cs="Times New Roman" w:eastAsia="Times New Roman" w:hAnsi="Times New Roman"/>
          <w:b/>
          <w:bCs/>
          <w:sz w:val="22"/>
          <w:szCs w:val="22"/>
        </w:rPr>
        <w:t xml:space="preserve">5.2 Expressing Real-World Complexity in Declarative Form Is Hard</w:t>
      </w:r>
    </w:p>
    <w:p>
      <w:pPr>
        <w:spacing w:after="120" w:before="0" w:line="276" w:lineRule="exact"/>
        <w:jc w:val="both"/>
      </w:pPr>
      <w:r>
        <w:rPr>
          <w:rFonts w:ascii="Times New Roman" w:cs="Times New Roman" w:eastAsia="Times New Roman" w:hAnsi="Times New Roman"/>
          <w:sz w:val="22"/>
          <w:szCs w:val="22"/>
        </w:rPr>
        <w:t xml:space="preserve">Some security requirements are genuinely difficult to express in declarative intent. Compensating controls that depend on the state of multiple systems, exceptions that are temporary in principle but indefinite in practice, business processes that span organizational boundaries, and regulatory requirements that prescribe imperative procedures rather than outcomes — all of these resist clean declarative expression.</w:t>
      </w:r>
    </w:p>
    <w:p>
      <w:pPr>
        <w:spacing w:after="120" w:before="0" w:line="276" w:lineRule="exact"/>
        <w:jc w:val="both"/>
      </w:pPr>
      <w:r>
        <w:rPr>
          <w:rFonts w:ascii="Times New Roman" w:cs="Times New Roman" w:eastAsia="Times New Roman" w:hAnsi="Times New Roman"/>
          <w:sz w:val="22"/>
          <w:szCs w:val="22"/>
        </w:rPr>
        <w:t xml:space="preserve">Real-world intent-based deployments end up with intent specifications for the well-understood 70–80% of the security surface and traditional rule-based controls for the messy remainder. This is a defensible operating model. It is not a failure of the intent approach. It is recognition that the abstraction has limits, and that maintaining a small set of clearly-bounded exceptions is preferable to forcing those exceptions into a model that cannot represent them cleanly.</w:t>
      </w:r>
    </w:p>
    <w:p>
      <w:pPr>
        <w:pStyle w:val="Heading2"/>
        <w:spacing w:after="120" w:before="280"/>
        <w:jc w:val="left"/>
      </w:pPr>
      <w:r>
        <w:rPr>
          <w:rFonts w:ascii="Times New Roman" w:cs="Times New Roman" w:eastAsia="Times New Roman" w:hAnsi="Times New Roman"/>
          <w:b/>
          <w:bCs/>
          <w:sz w:val="22"/>
          <w:szCs w:val="22"/>
        </w:rPr>
        <w:t xml:space="preserve">5.3 Brownfield Migration Is Hard</w:t>
      </w:r>
    </w:p>
    <w:p>
      <w:pPr>
        <w:spacing w:after="120" w:before="0" w:line="276" w:lineRule="exact"/>
        <w:jc w:val="both"/>
      </w:pPr>
      <w:r>
        <w:rPr>
          <w:rFonts w:ascii="Times New Roman" w:cs="Times New Roman" w:eastAsia="Times New Roman" w:hAnsi="Times New Roman"/>
          <w:sz w:val="22"/>
          <w:szCs w:val="22"/>
        </w:rPr>
        <w:t xml:space="preserve">A greenfield environment can be built intent-first. The intent specification precedes the workload. The enforcement is generated correctly from day one.</w:t>
      </w:r>
    </w:p>
    <w:p>
      <w:pPr>
        <w:spacing w:after="120" w:before="0" w:line="276" w:lineRule="exact"/>
        <w:jc w:val="both"/>
      </w:pPr>
      <w:r>
        <w:rPr>
          <w:rFonts w:ascii="Times New Roman" w:cs="Times New Roman" w:eastAsia="Times New Roman" w:hAnsi="Times New Roman"/>
          <w:sz w:val="22"/>
          <w:szCs w:val="22"/>
        </w:rPr>
        <w:t xml:space="preserve">A brownfield environment cannot be reset. The existing rule set encodes decisions whose original justification is forgotten. Some of those rules are load-bearing. Some are vestigial. Distinguishing the two requires either careful traffic observation or the kind of application-by-application archaeology that nobody wants to fund.</w:t>
      </w:r>
    </w:p>
    <w:p>
      <w:pPr>
        <w:spacing w:after="120" w:before="0" w:line="276" w:lineRule="exact"/>
        <w:jc w:val="both"/>
      </w:pPr>
      <w:r>
        <w:rPr>
          <w:rFonts w:ascii="Times New Roman" w:cs="Times New Roman" w:eastAsia="Times New Roman" w:hAnsi="Times New Roman"/>
          <w:sz w:val="22"/>
          <w:szCs w:val="22"/>
        </w:rPr>
        <w:t xml:space="preserve">The practical migration pattern is incremental. New workloads deploy under intent-based policy. Existing workloads are migrated as their owners engage with the platform, typically driven by a separate operational requirement: a re-platforming, a compliance project, a service decomposition. The legacy rule set shrinks over time as workloads exit it. It rarely shrinks rapidly, and it rarely reaches zero.</w:t>
      </w:r>
    </w:p>
    <w:p>
      <w:pPr>
        <w:spacing w:after="120" w:before="0" w:line="276" w:lineRule="exact"/>
        <w:jc w:val="both"/>
      </w:pPr>
      <w:r>
        <w:rPr>
          <w:rFonts w:ascii="Times New Roman" w:cs="Times New Roman" w:eastAsia="Times New Roman" w:hAnsi="Times New Roman"/>
          <w:sz w:val="22"/>
          <w:szCs w:val="22"/>
        </w:rPr>
        <w:t xml:space="preserve">This is the same pattern that applies to minimal OS builds, microsegmentation, and Zero Trust generally. Brownfield migration is the universal hard problem at the structural-defense layer, and intent-based policy is not exempt from it.</w:t>
      </w:r>
    </w:p>
    <w:p>
      <w:pPr>
        <w:pStyle w:val="Heading2"/>
        <w:spacing w:after="120" w:before="280"/>
        <w:jc w:val="left"/>
      </w:pPr>
      <w:r>
        <w:rPr>
          <w:rFonts w:ascii="Times New Roman" w:cs="Times New Roman" w:eastAsia="Times New Roman" w:hAnsi="Times New Roman"/>
          <w:b/>
          <w:bCs/>
          <w:sz w:val="22"/>
          <w:szCs w:val="22"/>
        </w:rPr>
        <w:t xml:space="preserve">5.4 Organizational Readiness Matters More Than Tooling</w:t>
      </w:r>
    </w:p>
    <w:p>
      <w:pPr>
        <w:spacing w:after="120" w:before="0" w:line="276" w:lineRule="exact"/>
        <w:jc w:val="both"/>
      </w:pPr>
      <w:r>
        <w:rPr>
          <w:rFonts w:ascii="Times New Roman" w:cs="Times New Roman" w:eastAsia="Times New Roman" w:hAnsi="Times New Roman"/>
          <w:sz w:val="22"/>
          <w:szCs w:val="22"/>
        </w:rPr>
        <w:t xml:space="preserve">The most common failure mode in intent-based deployments is not technical. It is the deployment of an intent-based tool into an organizational structure that is not prepared to author, review, and own the intent specifications the tool requires.</w:t>
      </w:r>
    </w:p>
    <w:p>
      <w:pPr>
        <w:spacing w:after="120" w:before="0" w:line="276" w:lineRule="exact"/>
        <w:jc w:val="both"/>
      </w:pPr>
      <w:r>
        <w:rPr>
          <w:rFonts w:ascii="Times New Roman" w:cs="Times New Roman" w:eastAsia="Times New Roman" w:hAnsi="Times New Roman"/>
          <w:sz w:val="22"/>
          <w:szCs w:val="22"/>
        </w:rPr>
        <w:t xml:space="preserve">If application teams are not accountable for their service’s security baseline, the intent specifications will be authored by security teams who do not have the application context required to write them well. If the security architecture function does not exist or is not empowered to review intent, the specifications will not be reviewed. If the auditor’s metric of success remains the closure rate of compliance findings rather than the integrity of the intent specification, the intent will be treated as an additional artifact to maintain rather than as the primary source of truth.</w:t>
      </w:r>
    </w:p>
    <w:p>
      <w:pPr>
        <w:spacing w:after="120" w:before="0" w:line="276" w:lineRule="exact"/>
        <w:jc w:val="both"/>
      </w:pPr>
      <w:r>
        <w:rPr>
          <w:rFonts w:ascii="Times New Roman" w:cs="Times New Roman" w:eastAsia="Times New Roman" w:hAnsi="Times New Roman"/>
          <w:sz w:val="22"/>
          <w:szCs w:val="22"/>
        </w:rPr>
        <w:t xml:space="preserve">The technical pattern works. It works only in organizations that are structured to operate it. The organizational changes described in §7.3 of </w:t>
      </w: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 shared operational visibility, application-owner accountability for baselines, risk-reduction metrics in place of compliance-completion metrics — are prerequisites for intent-based policy adoption, not consequences of it.</w:t>
      </w:r>
    </w:p>
    <w:p>
      <w:pPr>
        <w:pStyle w:val="Heading2"/>
        <w:spacing w:after="120" w:before="280"/>
        <w:jc w:val="left"/>
      </w:pPr>
      <w:r>
        <w:rPr>
          <w:rFonts w:ascii="Times New Roman" w:cs="Times New Roman" w:eastAsia="Times New Roman" w:hAnsi="Times New Roman"/>
          <w:b/>
          <w:bCs/>
          <w:sz w:val="22"/>
          <w:szCs w:val="22"/>
        </w:rPr>
        <w:t xml:space="preserve">5.5 The Cost Dimension Is Real</w:t>
      </w:r>
    </w:p>
    <w:p>
      <w:pPr>
        <w:spacing w:after="120" w:before="0" w:line="276" w:lineRule="exact"/>
        <w:jc w:val="both"/>
      </w:pPr>
      <w:r>
        <w:rPr>
          <w:rFonts w:ascii="Times New Roman" w:cs="Times New Roman" w:eastAsia="Times New Roman" w:hAnsi="Times New Roman"/>
          <w:sz w:val="22"/>
          <w:szCs w:val="22"/>
        </w:rPr>
        <w:t xml:space="preserve">Intent-based tooling carries licensing and operational cost that the structural argument made in this paper does not by itself justify. Microsegmentation platforms are typically licensed per protected workload at a price point that scales meaningfully with enterprise size. Service mesh deployments add control plane infrastructure, sidecar resource overhead, and operational complexity that has its own staffing cost. ZTNA gateways are licensed per user and per protected application. Even the open-source options — OPA, Kyverno, Cilium — require platform engineering capacity to operate well.</w:t>
      </w:r>
    </w:p>
    <w:p>
      <w:pPr>
        <w:spacing w:after="120" w:before="0" w:line="276" w:lineRule="exact"/>
        <w:jc w:val="both"/>
      </w:pPr>
      <w:r>
        <w:rPr>
          <w:rFonts w:ascii="Times New Roman" w:cs="Times New Roman" w:eastAsia="Times New Roman" w:hAnsi="Times New Roman"/>
          <w:sz w:val="22"/>
          <w:szCs w:val="22"/>
        </w:rPr>
        <w:t xml:space="preserve">This is not an argument against intent-based policy. It is an argument that the structural case made here is necessary but not sufficient for a procurement decision. The CISO presenting an intent-based program for funding will be asked, correctly, what it costs and what risk reduction it delivers per dollar. Those numbers depend on workload count, environment heterogeneity, and existing tooling, and are outside the scope of this paper. The point of this section is only that the question is real and deserves an explicit answer in any procurement document that uses this paper as supporting material.</w:t>
      </w:r>
    </w:p>
    <w:p>
      <w:pPr>
        <w:pStyle w:val="Heading2"/>
        <w:spacing w:after="120" w:before="280"/>
        <w:jc w:val="left"/>
      </w:pPr>
      <w:r>
        <w:rPr>
          <w:rFonts w:ascii="Times New Roman" w:cs="Times New Roman" w:eastAsia="Times New Roman" w:hAnsi="Times New Roman"/>
          <w:b/>
          <w:bCs/>
          <w:sz w:val="22"/>
          <w:szCs w:val="22"/>
        </w:rPr>
        <w:t xml:space="preserve">5.6 Vendor Lock-In and Intent Portability</w:t>
      </w:r>
    </w:p>
    <w:p>
      <w:pPr>
        <w:spacing w:after="120" w:before="0" w:line="276" w:lineRule="exact"/>
        <w:jc w:val="both"/>
      </w:pPr>
      <w:r>
        <w:rPr>
          <w:rFonts w:ascii="Times New Roman" w:cs="Times New Roman" w:eastAsia="Times New Roman" w:hAnsi="Times New Roman"/>
          <w:sz w:val="22"/>
          <w:szCs w:val="22"/>
        </w:rPr>
        <w:t xml:space="preserve">Every category in §3 names two to five products. Intent expressed in product A’s syntax does not automatically translate to product B’s. An Istio AuthorizationPolicy is not a Cilium CiliumNetworkPolicy. An OPA policy written in Rego is not a Kyverno policy written in YAML. A Sentinel policy is not an AWS SCP. The intent abstraction works </w:t>
      </w:r>
      <w:r>
        <w:rPr>
          <w:rFonts w:ascii="Times New Roman" w:cs="Times New Roman" w:eastAsia="Times New Roman" w:hAnsi="Times New Roman"/>
          <w:i/>
          <w:iCs/>
          <w:sz w:val="22"/>
          <w:szCs w:val="22"/>
        </w:rPr>
        <w:t xml:space="preserve">within</w:t>
      </w:r>
      <w:r>
        <w:rPr>
          <w:rFonts w:ascii="Times New Roman" w:cs="Times New Roman" w:eastAsia="Times New Roman" w:hAnsi="Times New Roman"/>
          <w:sz w:val="22"/>
          <w:szCs w:val="22"/>
        </w:rPr>
        <w:t xml:space="preserve"> a product. It does not work </w:t>
      </w:r>
      <w:r>
        <w:rPr>
          <w:rFonts w:ascii="Times New Roman" w:cs="Times New Roman" w:eastAsia="Times New Roman" w:hAnsi="Times New Roman"/>
          <w:i/>
          <w:iCs/>
          <w:sz w:val="22"/>
          <w:szCs w:val="22"/>
        </w:rPr>
        <w:t xml:space="preserve">across</w:t>
      </w:r>
      <w:r>
        <w:rPr>
          <w:rFonts w:ascii="Times New Roman" w:cs="Times New Roman" w:eastAsia="Times New Roman" w:hAnsi="Times New Roman"/>
          <w:sz w:val="22"/>
          <w:szCs w:val="22"/>
        </w:rPr>
        <w:t xml:space="preserve"> products without explicit translation.</w:t>
      </w:r>
    </w:p>
    <w:p>
      <w:pPr>
        <w:spacing w:after="120" w:before="0" w:line="276" w:lineRule="exact"/>
        <w:jc w:val="both"/>
      </w:pPr>
      <w:r>
        <w:rPr>
          <w:rFonts w:ascii="Times New Roman" w:cs="Times New Roman" w:eastAsia="Times New Roman" w:hAnsi="Times New Roman"/>
          <w:sz w:val="22"/>
          <w:szCs w:val="22"/>
        </w:rPr>
        <w:t xml:space="preserve">This is a present concern, not a hypothetical one. An enterprise that commits to one microsegmentation vendor is, in practice, committing for the operational life of the deployment. Migration between platforms means re-authoring the intent specifications, re-validating the generated enforcement, and re-baselining the runtime telemetry. The cost is non-trivial and is borne entirely by the customer.</w:t>
      </w:r>
    </w:p>
    <w:p>
      <w:pPr>
        <w:spacing w:after="120" w:before="0" w:line="276" w:lineRule="exact"/>
        <w:jc w:val="both"/>
      </w:pPr>
      <w:r>
        <w:rPr>
          <w:rFonts w:ascii="Times New Roman" w:cs="Times New Roman" w:eastAsia="Times New Roman" w:hAnsi="Times New Roman"/>
          <w:sz w:val="22"/>
          <w:szCs w:val="22"/>
        </w:rPr>
        <w:t xml:space="preserve">The trajectory is toward standards. Open Policy Agent’s Rego is the de facto common language for admission-time policy across several control surfaces. The CNCF Gateway API is converging on a substrate-neutral intent model for ingress and service routing. OpenID AuthZEN is an emerging standard for authorization-decision interchange between PDPs and PEPs. None of these has reached the point where intent is portable in any practical sense. All of them point in the right direction. The enterprise procurement decision today should weight vendor commitment to these emerging standards as a meaningful risk factor.</w:t>
      </w:r>
    </w:p>
    <w:p>
      <w:pPr>
        <w:pStyle w:val="Heading1"/>
        <w:spacing w:after="160" w:before="360"/>
        <w:jc w:val="left"/>
      </w:pPr>
      <w:r>
        <w:rPr>
          <w:rFonts w:ascii="Times New Roman" w:cs="Times New Roman" w:eastAsia="Times New Roman" w:hAnsi="Times New Roman"/>
          <w:b/>
          <w:bCs/>
          <w:caps/>
          <w:sz w:val="26"/>
          <w:szCs w:val="26"/>
        </w:rPr>
        <w:t xml:space="preserve">6. A PRACTICAL ADOPTION PATH</w:t>
      </w:r>
    </w:p>
    <w:p>
      <w:pPr>
        <w:spacing w:after="120" w:before="0" w:line="276" w:lineRule="exact"/>
        <w:jc w:val="both"/>
      </w:pPr>
      <w:r>
        <w:rPr>
          <w:rFonts w:ascii="Times New Roman" w:cs="Times New Roman" w:eastAsia="Times New Roman" w:hAnsi="Times New Roman"/>
          <w:sz w:val="22"/>
          <w:szCs w:val="22"/>
        </w:rPr>
        <w:t xml:space="preserve">For organizations operating in the complex, multi-legacy enterprise environments addressed by </w:t>
      </w:r>
      <w:r>
        <w:rPr>
          <w:rFonts w:ascii="Times New Roman" w:cs="Times New Roman" w:eastAsia="Times New Roman" w:hAnsi="Times New Roman"/>
          <w:i/>
          <w:iCs/>
          <w:sz w:val="22"/>
          <w:szCs w:val="22"/>
        </w:rPr>
        <w:t xml:space="preserve">The Bill Comes Due</w:t>
      </w:r>
      <w:r>
        <w:rPr>
          <w:rFonts w:ascii="Times New Roman" w:cs="Times New Roman" w:eastAsia="Times New Roman" w:hAnsi="Times New Roman"/>
          <w:sz w:val="22"/>
          <w:szCs w:val="22"/>
        </w:rPr>
        <w:t xml:space="preserve">, the path to intent-based policy is incremental and layered. The following sequencing reflects the dependencies — earlier steps create the conditions for later steps — and is biased toward the highest-return, lowest-friction interventions first.</w:t>
      </w:r>
    </w:p>
    <w:p>
      <w:pPr>
        <w:spacing w:after="80" w:before="120"/>
        <w:jc w:val="center"/>
      </w:pPr>
      <w:r>
        <w:rPr>
          <w:rFonts w:ascii="Times New Roman" w:cs="Times New Roman" w:eastAsia="Times New Roman" w:hAnsi="Times New Roman"/>
          <w:i/>
          <w:iCs/>
          <w:sz w:val="20"/>
          <w:szCs w:val="20"/>
        </w:rPr>
        <w:t xml:space="preserve">Table 2. A tiered adoption sequence for intent-based policy.</w:t>
      </w:r>
    </w:p>
    <w:tbl>
      <w:tblPr>
        <w:tblW w:type="dxa" w:w="8928"/>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rPr>
          <w:cantSplit/>
          <w:tblHeader/>
        </w:trPr>
        <w:tc>
          <w:tcPr>
            <w:tcW w:type="dxa" w:w="6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Tier</w:t>
            </w:r>
          </w:p>
        </w:tc>
        <w:tc>
          <w:tcPr>
            <w:tcW w:type="dxa" w:w="35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Surface</w:t>
            </w:r>
          </w:p>
        </w:tc>
        <w:tc>
          <w:tcPr>
            <w:tcW w:type="dxa" w:w="10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Months</w:t>
            </w:r>
          </w:p>
        </w:tc>
        <w:tc>
          <w:tcPr>
            <w:tcW w:type="dxa" w:w="18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Risk of Disruption</w:t>
            </w:r>
          </w:p>
        </w:tc>
        <w:tc>
          <w:tcPr>
            <w:tcW w:type="dxa" w:w="2028"/>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bCs/>
                <w:sz w:val="19"/>
                <w:szCs w:val="19"/>
              </w:rPr>
              <w:t xml:space="preserve">Intent Maturity Required</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1</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Cloud control plane policy-as-code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0–6</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Low</w:t>
            </w:r>
          </w:p>
        </w:tc>
        <w:tc>
          <w:tcPr>
            <w:tcW w:type="dxa" w:w="2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Low</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2</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Kubernetes admission control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3–9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Low–Medium</w:t>
            </w:r>
          </w:p>
        </w:tc>
        <w:tc>
          <w:tcPr>
            <w:tcW w:type="dxa" w:w="2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Low</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3</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Service mesh authorization for new services</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6–18</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c>
          <w:tcPr>
            <w:tcW w:type="dxa" w:w="2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4</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Microsegmentation for high-value workloads</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12–24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Medium–High</w:t>
            </w:r>
          </w:p>
        </w:tc>
        <w:tc>
          <w:tcPr>
            <w:tcW w:type="dxa" w:w="2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High</w:t>
            </w:r>
          </w:p>
        </w:tc>
      </w:tr>
      <w:tr>
        <w:trPr>
          <w:cantSplit/>
        </w:trPr>
        <w:tc>
          <w:tcPr>
            <w:tcW w:type="dxa"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5</w:t>
            </w:r>
          </w:p>
        </w:tc>
        <w:tc>
          <w:tcPr>
            <w:tcW w:type="dxa" w:w="3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ZTNA for user access (parallel)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0–18</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Low–Medium</w:t>
            </w:r>
          </w:p>
        </w:tc>
        <w:tc>
          <w:tcPr>
            <w:tcW w:type="dxa" w:w="202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Medium</w:t>
            </w:r>
          </w:p>
        </w:tc>
      </w:tr>
      <w:tr>
        <w:trPr>
          <w:cantSplit/>
        </w:trPr>
        <w:tc>
          <w:tcPr>
            <w:tcW w:type="dxa" w:w="6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6</w:t>
            </w:r>
          </w:p>
        </w:tc>
        <w:tc>
          <w:tcPr>
            <w:tcW w:type="dxa" w:w="35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Legacy edge refactoring</w:t>
            </w:r>
          </w:p>
        </w:tc>
        <w:tc>
          <w:tcPr>
            <w:tcW w:type="dxa" w:w="10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18+</w:t>
            </w:r>
          </w:p>
        </w:tc>
        <w:tc>
          <w:tcPr>
            <w:tcW w:type="dxa" w:w="18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High</w:t>
            </w:r>
          </w:p>
        </w:tc>
        <w:tc>
          <w:tcPr>
            <w:tcW w:type="dxa" w:w="2028"/>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60" w:lineRule="exact"/>
              <w:jc w:val="left"/>
            </w:pPr>
            <w:r>
              <w:rPr>
                <w:rFonts w:ascii="Times New Roman" w:cs="Times New Roman" w:eastAsia="Times New Roman" w:hAnsi="Times New Roman"/>
                <w:b w:val="false"/>
                <w:bCs w:val="false"/>
                <w:sz w:val="19"/>
                <w:szCs w:val="19"/>
              </w:rPr>
              <w:t xml:space="preserve">High</w:t>
            </w:r>
          </w:p>
        </w:tc>
      </w:tr>
    </w:tbl>
    <w:p>
      <w:pPr>
        <w:pStyle w:val="Heading2"/>
        <w:spacing w:after="120" w:before="280"/>
        <w:jc w:val="left"/>
      </w:pPr>
      <w:r>
        <w:rPr>
          <w:rFonts w:ascii="Times New Roman" w:cs="Times New Roman" w:eastAsia="Times New Roman" w:hAnsi="Times New Roman"/>
          <w:b/>
          <w:bCs/>
          <w:sz w:val="22"/>
          <w:szCs w:val="22"/>
        </w:rPr>
        <w:t xml:space="preserve">Tier 1: Intent at the Cloud Control Plane (Months 0–6)</w:t>
      </w:r>
    </w:p>
    <w:p>
      <w:pPr>
        <w:spacing w:after="120" w:before="0" w:line="276" w:lineRule="exact"/>
        <w:jc w:val="both"/>
      </w:pPr>
      <w:r>
        <w:rPr>
          <w:rFonts w:ascii="Times New Roman" w:cs="Times New Roman" w:eastAsia="Times New Roman" w:hAnsi="Times New Roman"/>
          <w:sz w:val="22"/>
          <w:szCs w:val="22"/>
        </w:rPr>
        <w:t xml:space="preserve">Begin with policy-as-code for cloud infrastructure provisioning. The decision points are well-defined, the existing tooling — OPA, Sentinel, native cloud SCPs — is mature, and the intent is straightforward to express: which resources may be created, in which accounts, with which configurations. The deployment pipeline is the natural enforcement point. The risk of disruption to existing workloads is minimal because the intent applies only to new infrastructure changes.</w:t>
      </w:r>
    </w:p>
    <w:p>
      <w:pPr>
        <w:spacing w:after="120" w:before="0" w:line="276" w:lineRule="exact"/>
        <w:jc w:val="both"/>
      </w:pPr>
      <w:r>
        <w:rPr>
          <w:rFonts w:ascii="Times New Roman" w:cs="Times New Roman" w:eastAsia="Times New Roman" w:hAnsi="Times New Roman"/>
          <w:sz w:val="22"/>
          <w:szCs w:val="22"/>
        </w:rPr>
        <w:t xml:space="preserve">This tier establishes the operational pattern: intent declared as code, reviewed through normal code review processes, enforced by automated decision at a single chokepoint. It builds organizational familiarity with intent-based control before moving to control surfaces where the failure modes are more disruptive.</w:t>
      </w:r>
    </w:p>
    <w:p>
      <w:pPr>
        <w:pStyle w:val="Heading2"/>
        <w:spacing w:after="120" w:before="280"/>
        <w:jc w:val="left"/>
      </w:pPr>
      <w:r>
        <w:rPr>
          <w:rFonts w:ascii="Times New Roman" w:cs="Times New Roman" w:eastAsia="Times New Roman" w:hAnsi="Times New Roman"/>
          <w:b/>
          <w:bCs/>
          <w:sz w:val="22"/>
          <w:szCs w:val="22"/>
        </w:rPr>
        <w:t xml:space="preserve">Tier 2: Intent at the Admission Layer (Months 3–9)</w:t>
      </w:r>
    </w:p>
    <w:p>
      <w:pPr>
        <w:spacing w:after="120" w:before="0" w:line="276" w:lineRule="exact"/>
        <w:jc w:val="both"/>
      </w:pPr>
      <w:r>
        <w:rPr>
          <w:rFonts w:ascii="Times New Roman" w:cs="Times New Roman" w:eastAsia="Times New Roman" w:hAnsi="Times New Roman"/>
          <w:sz w:val="22"/>
          <w:szCs w:val="22"/>
        </w:rPr>
        <w:t xml:space="preserve">Deploy OPA with Gatekeeper, or Kyverno, at the Kubernetes admission layer for new clusters and new workloads. The intent surface — what may be deployed, with what configurations, from what sources — is bounded and well-understood. The enforcement is preventative, eliminating the post-hoc remediation cycle that vulnerability scanning currently drives.</w:t>
      </w:r>
    </w:p>
    <w:p>
      <w:pPr>
        <w:spacing w:after="120" w:before="0" w:line="276" w:lineRule="exact"/>
        <w:jc w:val="both"/>
      </w:pPr>
      <w:r>
        <w:rPr>
          <w:rFonts w:ascii="Times New Roman" w:cs="Times New Roman" w:eastAsia="Times New Roman" w:hAnsi="Times New Roman"/>
          <w:sz w:val="22"/>
          <w:szCs w:val="22"/>
        </w:rPr>
        <w:t xml:space="preserve">Tier 2 should run in </w:t>
      </w:r>
      <w:r>
        <w:rPr>
          <w:rFonts w:ascii="Times New Roman" w:cs="Times New Roman" w:eastAsia="Times New Roman" w:hAnsi="Times New Roman"/>
          <w:i/>
          <w:iCs/>
          <w:sz w:val="22"/>
          <w:szCs w:val="22"/>
        </w:rPr>
        <w:t xml:space="preserve">audit mode</w:t>
      </w:r>
      <w:r>
        <w:rPr>
          <w:rFonts w:ascii="Times New Roman" w:cs="Times New Roman" w:eastAsia="Times New Roman" w:hAnsi="Times New Roman"/>
          <w:sz w:val="22"/>
          <w:szCs w:val="22"/>
        </w:rPr>
        <w:t xml:space="preserve"> before </w:t>
      </w:r>
      <w:r>
        <w:rPr>
          <w:rFonts w:ascii="Times New Roman" w:cs="Times New Roman" w:eastAsia="Times New Roman" w:hAnsi="Times New Roman"/>
          <w:i/>
          <w:iCs/>
          <w:sz w:val="22"/>
          <w:szCs w:val="22"/>
        </w:rPr>
        <w:t xml:space="preserve">enforce mode</w:t>
      </w:r>
      <w:r>
        <w:rPr>
          <w:rFonts w:ascii="Times New Roman" w:cs="Times New Roman" w:eastAsia="Times New Roman" w:hAnsi="Times New Roman"/>
          <w:sz w:val="22"/>
          <w:szCs w:val="22"/>
        </w:rPr>
        <w:t xml:space="preserve">. The intent is declared. The policy engine evaluates incoming workloads against it. Violations are logged but not blocked initially. This generates the dataset required to refine the intent before enforcement begins, and it surfaces the cases where the declared intent is incomplete or incorrect.</w:t>
      </w:r>
    </w:p>
    <w:p>
      <w:pPr>
        <w:pStyle w:val="Heading2"/>
        <w:spacing w:after="120" w:before="280"/>
        <w:jc w:val="left"/>
      </w:pPr>
      <w:r>
        <w:rPr>
          <w:rFonts w:ascii="Times New Roman" w:cs="Times New Roman" w:eastAsia="Times New Roman" w:hAnsi="Times New Roman"/>
          <w:b/>
          <w:bCs/>
          <w:sz w:val="22"/>
          <w:szCs w:val="22"/>
        </w:rPr>
        <w:t xml:space="preserve">Tier 3: Service Mesh Authorization for New Services (Months 6–18)</w:t>
      </w:r>
    </w:p>
    <w:p>
      <w:pPr>
        <w:spacing w:after="120" w:before="0" w:line="276" w:lineRule="exact"/>
        <w:jc w:val="both"/>
      </w:pPr>
      <w:r>
        <w:rPr>
          <w:rFonts w:ascii="Times New Roman" w:cs="Times New Roman" w:eastAsia="Times New Roman" w:hAnsi="Times New Roman"/>
          <w:sz w:val="22"/>
          <w:szCs w:val="22"/>
        </w:rPr>
        <w:t xml:space="preserve">For new services deployed to Kubernetes, deploy a service mesh with intent-based authorization policies authored by application teams and reviewed by security architecture. The intent is per-service. The blast radius is bounded. The mesh’s telemetry layer provides the drift signal that anchors continuous reconciliation.</w:t>
      </w:r>
    </w:p>
    <w:p>
      <w:pPr>
        <w:spacing w:after="120" w:before="0" w:line="276" w:lineRule="exact"/>
        <w:jc w:val="both"/>
      </w:pPr>
      <w:r>
        <w:rPr>
          <w:rFonts w:ascii="Times New Roman" w:cs="Times New Roman" w:eastAsia="Times New Roman" w:hAnsi="Times New Roman"/>
          <w:sz w:val="22"/>
          <w:szCs w:val="22"/>
        </w:rPr>
        <w:t xml:space="preserve">Resist the temptation to mesh-enable existing services in this phase. Brownfield mesh adoption is hard, and the operational complexity rarely produces the security return that greenfield adoption does. New services on the mesh, legacy services on traditional controls, with a deliberate migration path for the highest-risk legacy services — this is the workable operating model.</w:t>
      </w:r>
    </w:p>
    <w:p>
      <w:pPr>
        <w:pStyle w:val="Heading2"/>
        <w:spacing w:after="120" w:before="280"/>
        <w:jc w:val="left"/>
      </w:pPr>
      <w:r>
        <w:rPr>
          <w:rFonts w:ascii="Times New Roman" w:cs="Times New Roman" w:eastAsia="Times New Roman" w:hAnsi="Times New Roman"/>
          <w:b/>
          <w:bCs/>
          <w:sz w:val="22"/>
          <w:szCs w:val="22"/>
        </w:rPr>
        <w:t xml:space="preserve">Tier 4: Microsegmentation for High-Value Workloads (Months 12–24)</w:t>
      </w:r>
    </w:p>
    <w:p>
      <w:pPr>
        <w:spacing w:after="120" w:before="0" w:line="276" w:lineRule="exact"/>
        <w:jc w:val="both"/>
      </w:pPr>
      <w:r>
        <w:rPr>
          <w:rFonts w:ascii="Times New Roman" w:cs="Times New Roman" w:eastAsia="Times New Roman" w:hAnsi="Times New Roman"/>
          <w:sz w:val="22"/>
          <w:szCs w:val="22"/>
        </w:rPr>
        <w:t xml:space="preserve">For workloads handling regulated data, payment processing, or other high-value functions, deploy a microsegmentation platform in discovery mode. Observe traffic for a period sufficient to establish the legitimate flow envelope. Convert the discovered envelope to intent. Move to enforcement.</w:t>
      </w:r>
    </w:p>
    <w:p>
      <w:pPr>
        <w:spacing w:after="120" w:before="0" w:line="276" w:lineRule="exact"/>
        <w:jc w:val="both"/>
      </w:pPr>
      <w:r>
        <w:rPr>
          <w:rFonts w:ascii="Times New Roman" w:cs="Times New Roman" w:eastAsia="Times New Roman" w:hAnsi="Times New Roman"/>
          <w:sz w:val="22"/>
          <w:szCs w:val="22"/>
        </w:rPr>
        <w:t xml:space="preserve">Do not attempt enterprise-wide microsegmentation as a first project. The Tier-1-through-3 investments have built the organizational capacity required to operate Tier 4 successfully. Attempting Tier 4 first — which is a common pattern driven by vendor incentives — is the most reliable way to produce a microsegmentation deployment that lives indefinitely in audit mode and never reaches enforcement.</w:t>
      </w:r>
    </w:p>
    <w:p>
      <w:pPr>
        <w:pStyle w:val="Heading2"/>
        <w:spacing w:after="120" w:before="280"/>
        <w:jc w:val="left"/>
      </w:pPr>
      <w:r>
        <w:rPr>
          <w:rFonts w:ascii="Times New Roman" w:cs="Times New Roman" w:eastAsia="Times New Roman" w:hAnsi="Times New Roman"/>
          <w:b/>
          <w:bCs/>
          <w:sz w:val="22"/>
          <w:szCs w:val="22"/>
        </w:rPr>
        <w:t xml:space="preserve">Tier 5: ZTNA for User Access (parallel to Tiers 1–4)</w:t>
      </w:r>
    </w:p>
    <w:p>
      <w:pPr>
        <w:spacing w:after="120" w:before="0" w:line="276" w:lineRule="exact"/>
        <w:jc w:val="both"/>
      </w:pPr>
      <w:r>
        <w:rPr>
          <w:rFonts w:ascii="Times New Roman" w:cs="Times New Roman" w:eastAsia="Times New Roman" w:hAnsi="Times New Roman"/>
          <w:sz w:val="22"/>
          <w:szCs w:val="22"/>
        </w:rPr>
        <w:t xml:space="preserve">ZTNA migration can run in parallel because its control surface — user-to-application access — is largely independent of the workload-to-workload control surface addressed by Tiers 2–4. The intent declaration is per-application: which identities, under which device-posture conditions, may reach which applications. The enforcement is in the access proxy.</w:t>
      </w:r>
    </w:p>
    <w:p>
      <w:pPr>
        <w:spacing w:after="120" w:before="0" w:line="276" w:lineRule="exact"/>
        <w:jc w:val="both"/>
      </w:pPr>
      <w:r>
        <w:rPr>
          <w:rFonts w:ascii="Times New Roman" w:cs="Times New Roman" w:eastAsia="Times New Roman" w:hAnsi="Times New Roman"/>
          <w:sz w:val="22"/>
          <w:szCs w:val="22"/>
        </w:rPr>
        <w:t xml:space="preserve">ZTNA produces particularly strong returns for the legacy-VPN replacement use case, where the existing topology-based access model is unambiguously broken and the intent-based replacement is straightforwardly better.</w:t>
      </w:r>
    </w:p>
    <w:p>
      <w:pPr>
        <w:pStyle w:val="Heading2"/>
        <w:spacing w:after="120" w:before="280"/>
        <w:jc w:val="left"/>
      </w:pPr>
      <w:r>
        <w:rPr>
          <w:rFonts w:ascii="Times New Roman" w:cs="Times New Roman" w:eastAsia="Times New Roman" w:hAnsi="Times New Roman"/>
          <w:b/>
          <w:bCs/>
          <w:sz w:val="22"/>
          <w:szCs w:val="22"/>
        </w:rPr>
        <w:t xml:space="preserve">Tier 6: Intent at the Legacy Edge (Months 18+)</w:t>
      </w:r>
    </w:p>
    <w:p>
      <w:pPr>
        <w:spacing w:after="120" w:before="0" w:line="276" w:lineRule="exact"/>
        <w:jc w:val="both"/>
      </w:pPr>
      <w:r>
        <w:rPr>
          <w:rFonts w:ascii="Times New Roman" w:cs="Times New Roman" w:eastAsia="Times New Roman" w:hAnsi="Times New Roman"/>
          <w:sz w:val="22"/>
          <w:szCs w:val="22"/>
        </w:rPr>
        <w:t xml:space="preserve">The last surface to address is the legacy firewall, IAM, and network-policy estate. By this point, several years of accumulated intent-based deployment have established the operating model, trained the organization, and migrated the highest-value workloads off the legacy estate.</w:t>
      </w:r>
    </w:p>
    <w:p>
      <w:pPr>
        <w:spacing w:after="120" w:before="0" w:line="276" w:lineRule="exact"/>
        <w:jc w:val="both"/>
      </w:pPr>
      <w:r>
        <w:rPr>
          <w:rFonts w:ascii="Times New Roman" w:cs="Times New Roman" w:eastAsia="Times New Roman" w:hAnsi="Times New Roman"/>
          <w:sz w:val="22"/>
          <w:szCs w:val="22"/>
        </w:rPr>
        <w:t xml:space="preserve">The legacy estate is now smaller — workloads have moved to mesh-enforced, microsegmented, ZTNA-fronted environments — and the residual rule set can be addressed through targeted refactoring projects rather than through an attempt to convert the entire estate at once.</w:t>
      </w:r>
    </w:p>
    <w:p>
      <w:pPr>
        <w:spacing w:after="120" w:before="0" w:line="276" w:lineRule="exact"/>
        <w:jc w:val="both"/>
      </w:pPr>
      <w:r>
        <w:rPr>
          <w:rFonts w:ascii="Times New Roman" w:cs="Times New Roman" w:eastAsia="Times New Roman" w:hAnsi="Times New Roman"/>
          <w:sz w:val="22"/>
          <w:szCs w:val="22"/>
        </w:rPr>
        <w:t xml:space="preserve">Some portion of the legacy estate will never migrate. That is acceptable. The goal is not to convert every existing rule to intent. The goal is to ensure that new workloads default to intent-based control, that the legacy estate shrinks over time, and that the residual rules are explicitly catalogued as exceptions rather than treated as the default model.</w:t>
      </w:r>
    </w:p>
    <w:p>
      <w:pPr>
        <w:pStyle w:val="Heading1"/>
        <w:spacing w:after="160" w:before="360"/>
        <w:jc w:val="left"/>
      </w:pPr>
      <w:r>
        <w:rPr>
          <w:rFonts w:ascii="Times New Roman" w:cs="Times New Roman" w:eastAsia="Times New Roman" w:hAnsi="Times New Roman"/>
          <w:b/>
          <w:bCs/>
          <w:caps/>
          <w:sz w:val="26"/>
          <w:szCs w:val="26"/>
        </w:rPr>
        <w:t xml:space="preserve">7. OPEN QUESTIONS</w:t>
      </w:r>
    </w:p>
    <w:p>
      <w:pPr>
        <w:spacing w:after="120" w:before="0" w:line="276" w:lineRule="exact"/>
        <w:jc w:val="both"/>
      </w:pPr>
      <w:r>
        <w:rPr>
          <w:rFonts w:ascii="Times New Roman" w:cs="Times New Roman" w:eastAsia="Times New Roman" w:hAnsi="Times New Roman"/>
          <w:sz w:val="22"/>
          <w:szCs w:val="22"/>
        </w:rPr>
        <w:t xml:space="preserve">The argument advanced here treats intent-based policy as a structural pattern that the security industry is converging on across multiple control surfaces. Four questions remain open and deserve continued attention. The fifth question, the interaction between intent-based policy and AI-assisted defense, has been promoted into §4.6 because it is no longer an open question so much as a near-term design imperative.</w:t>
      </w:r>
    </w:p>
    <w:p>
      <w:pPr>
        <w:spacing w:after="120" w:before="0" w:line="276" w:lineRule="exact"/>
        <w:jc w:val="both"/>
      </w:pPr>
      <w:r>
        <w:rPr>
          <w:rFonts w:ascii="Times New Roman" w:cs="Times New Roman" w:eastAsia="Times New Roman" w:hAnsi="Times New Roman"/>
          <w:b/>
          <w:bCs/>
          <w:sz w:val="22"/>
          <w:szCs w:val="22"/>
        </w:rPr>
        <w:t xml:space="preserve">How are intents composed across boundaries?</w:t>
      </w:r>
      <w:r>
        <w:rPr>
          <w:rFonts w:ascii="Times New Roman" w:cs="Times New Roman" w:eastAsia="Times New Roman" w:hAnsi="Times New Roman"/>
          <w:sz w:val="22"/>
          <w:szCs w:val="22"/>
        </w:rPr>
        <w:t xml:space="preserve"> A workload’s intent is straightforward to express in isolation. When workloads compose — when service A calls service B which calls service C — the aggregate intent is a function of the individual intents. Detecting inconsistencies in the aggregate, and reasoning about end-to-end properties, is an active research area without mature tooling.</w:t>
      </w:r>
    </w:p>
    <w:p>
      <w:pPr>
        <w:spacing w:after="120" w:before="0" w:line="276" w:lineRule="exact"/>
        <w:jc w:val="both"/>
      </w:pPr>
      <w:r>
        <w:rPr>
          <w:rFonts w:ascii="Times New Roman" w:cs="Times New Roman" w:eastAsia="Times New Roman" w:hAnsi="Times New Roman"/>
          <w:b/>
          <w:bCs/>
          <w:sz w:val="22"/>
          <w:szCs w:val="22"/>
        </w:rPr>
        <w:t xml:space="preserve">How are intents updated under operational pressure?</w:t>
      </w:r>
      <w:r>
        <w:rPr>
          <w:rFonts w:ascii="Times New Roman" w:cs="Times New Roman" w:eastAsia="Times New Roman" w:hAnsi="Times New Roman"/>
          <w:sz w:val="22"/>
          <w:szCs w:val="22"/>
        </w:rPr>
        <w:t xml:space="preserve"> A production incident requires a rule change. In an intent-based model, the rule change has to happen through intent revision. The latency of intent revision must be low enough to support incident response without forcing operators back into imperative rule editing. Most current platforms are not yet fast enough to meet this requirement under all conditions.</w:t>
      </w:r>
    </w:p>
    <w:p>
      <w:pPr>
        <w:spacing w:after="120" w:before="0" w:line="276" w:lineRule="exact"/>
        <w:jc w:val="both"/>
      </w:pPr>
      <w:r>
        <w:rPr>
          <w:rFonts w:ascii="Times New Roman" w:cs="Times New Roman" w:eastAsia="Times New Roman" w:hAnsi="Times New Roman"/>
          <w:b/>
          <w:bCs/>
          <w:sz w:val="22"/>
          <w:szCs w:val="22"/>
        </w:rPr>
        <w:t xml:space="preserve">How are intent violations triaged?</w:t>
      </w:r>
      <w:r>
        <w:rPr>
          <w:rFonts w:ascii="Times New Roman" w:cs="Times New Roman" w:eastAsia="Times New Roman" w:hAnsi="Times New Roman"/>
          <w:sz w:val="22"/>
          <w:szCs w:val="22"/>
        </w:rPr>
        <w:t xml:space="preserve"> When the policy engine detects drift between declared intent and actual state, the response depends on context. Some violations should auto-remediate. Some should generate human-investigated alerts. Some should be evaluated against the possibility that the intent itself is wrong rather than that the environment is. The triage policy is itself a form of meta-intent that current platforms address inconsistently.</w:t>
      </w:r>
    </w:p>
    <w:p>
      <w:pPr>
        <w:spacing w:after="120" w:before="0" w:line="276" w:lineRule="exact"/>
        <w:jc w:val="both"/>
      </w:pPr>
      <w:r>
        <w:rPr>
          <w:rFonts w:ascii="Times New Roman" w:cs="Times New Roman" w:eastAsia="Times New Roman" w:hAnsi="Times New Roman"/>
          <w:b/>
          <w:bCs/>
          <w:sz w:val="22"/>
          <w:szCs w:val="22"/>
        </w:rPr>
        <w:t xml:space="preserve">How does the operating model handle inherited environments?</w:t>
      </w:r>
      <w:r>
        <w:rPr>
          <w:rFonts w:ascii="Times New Roman" w:cs="Times New Roman" w:eastAsia="Times New Roman" w:hAnsi="Times New Roman"/>
          <w:sz w:val="22"/>
          <w:szCs w:val="22"/>
        </w:rPr>
        <w:t xml:space="preserve"> Mergers, acquisitions, and joint ventures regularly require security teams to integrate environments where intent was never declared. The migration pattern in §6 assumes time and organizational continuity. M&amp;A integration timelines often allow neither. Practical patterns for rapid-integration intent capture are an open area.</w:t>
      </w:r>
    </w:p>
    <w:p>
      <w:pPr>
        <w:spacing w:after="120" w:before="0" w:line="276" w:lineRule="exact"/>
        <w:jc w:val="both"/>
      </w:pPr>
      <w:r>
        <w:rPr>
          <w:rFonts w:ascii="Times New Roman" w:cs="Times New Roman" w:eastAsia="Times New Roman" w:hAnsi="Times New Roman"/>
          <w:sz w:val="22"/>
          <w:szCs w:val="22"/>
        </w:rPr>
        <w:t xml:space="preserve">These are not arguments against the model. They are the next-decade research and product agenda for the model that the previous decade established.</w:t>
      </w:r>
    </w:p>
    <w:p>
      <w:pPr>
        <w:pStyle w:val="Heading1"/>
        <w:spacing w:after="160" w:before="360"/>
        <w:jc w:val="left"/>
      </w:pPr>
      <w:r>
        <w:rPr>
          <w:rFonts w:ascii="Times New Roman" w:cs="Times New Roman" w:eastAsia="Times New Roman" w:hAnsi="Times New Roman"/>
          <w:b/>
          <w:bCs/>
          <w:caps/>
          <w:sz w:val="26"/>
          <w:szCs w:val="26"/>
        </w:rPr>
        <w:t xml:space="preserve">8. CONCLUSION</w:t>
      </w:r>
    </w:p>
    <w:p>
      <w:pPr>
        <w:spacing w:after="120" w:before="0" w:line="276" w:lineRule="exact"/>
        <w:jc w:val="both"/>
      </w:pPr>
      <w:r>
        <w:rPr>
          <w:rFonts w:ascii="Times New Roman" w:cs="Times New Roman" w:eastAsia="Times New Roman" w:hAnsi="Times New Roman"/>
          <w:sz w:val="22"/>
          <w:szCs w:val="22"/>
        </w:rPr>
        <w:t xml:space="preserve">Enterprise security policy is in the middle of the same transition that infrastructure management completed a decade ago, that application deployment completed five years ago, and that operating system management is completing now. The transition is from imperative, distributed, manually maintained low-level artifacts to declarative, centralized, automatically reconciled high-level intent.</w:t>
      </w:r>
    </w:p>
    <w:p>
      <w:pPr>
        <w:spacing w:after="120" w:before="0" w:line="276" w:lineRule="exact"/>
        <w:jc w:val="both"/>
      </w:pPr>
      <w:r>
        <w:rPr>
          <w:rFonts w:ascii="Times New Roman" w:cs="Times New Roman" w:eastAsia="Times New Roman" w:hAnsi="Times New Roman"/>
          <w:sz w:val="22"/>
          <w:szCs w:val="22"/>
        </w:rPr>
        <w:t xml:space="preserve">The conceptual model is not new. Network engineers have argued for the design pattern since before the term </w:t>
      </w:r>
      <w:r>
        <w:rPr>
          <w:rFonts w:ascii="Times New Roman" w:cs="Times New Roman" w:eastAsia="Times New Roman" w:hAnsi="Times New Roman"/>
          <w:i/>
          <w:iCs/>
          <w:sz w:val="22"/>
          <w:szCs w:val="22"/>
        </w:rPr>
        <w:t xml:space="preserve">intent-based networking</w:t>
      </w:r>
      <w:r>
        <w:rPr>
          <w:rFonts w:ascii="Times New Roman" w:cs="Times New Roman" w:eastAsia="Times New Roman" w:hAnsi="Times New Roman"/>
          <w:sz w:val="22"/>
          <w:szCs w:val="22"/>
        </w:rPr>
        <w:t xml:space="preserve"> existed. Security architects have understood — and largely been unable to act on — the limits of rule-based control for at least as long. The shift now is that the tooling has matured to the point where the model is operationally viable, and the threat environment has changed to the point where the alternative is no longer tenable.</w:t>
      </w:r>
    </w:p>
    <w:p>
      <w:pPr>
        <w:spacing w:after="120" w:before="0" w:line="276" w:lineRule="exact"/>
        <w:jc w:val="both"/>
      </w:pPr>
      <w:r>
        <w:rPr>
          <w:rFonts w:ascii="Times New Roman" w:cs="Times New Roman" w:eastAsia="Times New Roman" w:hAnsi="Times New Roman"/>
          <w:sz w:val="22"/>
          <w:szCs w:val="22"/>
        </w:rPr>
        <w:t xml:space="preserve">The OS-layer answer to AI-assisted exploitation is to run less. The policy-layer answer is to allow only what has been declared. Both are structural defenses. Both replace reactive enumeration of bad behavior with declarative governance of good behavior. Both produce environments where detection and response can finally operate on signal rather than noise, because the envelope of legitimate behavior is finally bounded and known.</w:t>
      </w:r>
    </w:p>
    <w:p>
      <w:pPr>
        <w:spacing w:after="120" w:before="0" w:line="276" w:lineRule="exact"/>
        <w:jc w:val="both"/>
      </w:pPr>
      <w:r>
        <w:rPr>
          <w:rFonts w:ascii="Times New Roman" w:cs="Times New Roman" w:eastAsia="Times New Roman" w:hAnsi="Times New Roman"/>
          <w:sz w:val="22"/>
          <w:szCs w:val="22"/>
        </w:rPr>
        <w:t xml:space="preserve">The organizations that adopt this model — not as a tool deployment, but as a change in how security policy is authored, reviewed, and owned — will operate in a qualitatively different security posture than their peers within a planning horizon that is now visible. The organizations that do not will continue to accumulate rule debt at every layer, in a threat environment that has stopped extending the courtesy of ignoring the obscure parts.</w:t>
      </w:r>
    </w:p>
    <w:p>
      <w:pPr>
        <w:spacing w:after="120" w:before="0" w:line="276" w:lineRule="exact"/>
        <w:jc w:val="both"/>
      </w:pPr>
      <w:r>
        <w:rPr>
          <w:rFonts w:ascii="Times New Roman" w:cs="Times New Roman" w:eastAsia="Times New Roman" w:hAnsi="Times New Roman"/>
          <w:sz w:val="22"/>
          <w:szCs w:val="22"/>
        </w:rPr>
        <w:t xml:space="preserve">The bill is the same one described in the companion paper. It comes due at every layer. Intent-based policy is how the security control plane settles its share.</w:t>
      </w:r>
    </w:p>
    <w:p>
      <w:r>
        <w:br w:type="page"/>
      </w:r>
    </w:p>
    <w:p>
      <w:pPr>
        <w:pStyle w:val="Heading1"/>
        <w:spacing w:after="160" w:before="360"/>
        <w:jc w:val="left"/>
      </w:pPr>
      <w:r>
        <w:rPr>
          <w:rFonts w:ascii="Times New Roman" w:cs="Times New Roman" w:eastAsia="Times New Roman" w:hAnsi="Times New Roman"/>
          <w:b/>
          <w:bCs/>
          <w:caps/>
          <w:sz w:val="26"/>
          <w:szCs w:val="26"/>
        </w:rPr>
        <w:t xml:space="preserve">REFERENCES</w:t>
      </w:r>
    </w:p>
    <w:p>
      <w:pPr>
        <w:spacing w:after="60" w:line="276" w:lineRule="exact"/>
        <w:ind w:left="360" w:hanging="360"/>
        <w:jc w:val="left"/>
      </w:pPr>
      <w:r>
        <w:rPr>
          <w:rFonts w:ascii="Times New Roman" w:cs="Times New Roman" w:eastAsia="Times New Roman" w:hAnsi="Times New Roman"/>
          <w:sz w:val="20"/>
          <w:szCs w:val="20"/>
        </w:rPr>
        <w:t xml:space="preserve">[1] Open Policy Agent. Policy-Based Control for Cloud-Native Environments. https://www.openpolicyagent.org/</w:t>
      </w:r>
    </w:p>
    <w:p>
      <w:pPr>
        <w:spacing w:after="60" w:line="276" w:lineRule="exact"/>
        <w:ind w:left="360" w:hanging="360"/>
        <w:jc w:val="left"/>
      </w:pPr>
      <w:r>
        <w:rPr>
          <w:rFonts w:ascii="Times New Roman" w:cs="Times New Roman" w:eastAsia="Times New Roman" w:hAnsi="Times New Roman"/>
          <w:sz w:val="20"/>
          <w:szCs w:val="20"/>
        </w:rPr>
        <w:t xml:space="preserve">[2] Kubernetes SIG-Auth. Admission Controllers Reference. https://kubernetes.io/docs/reference/access-authn-authz/admission-controllers/</w:t>
      </w:r>
    </w:p>
    <w:p>
      <w:pPr>
        <w:spacing w:after="60" w:line="276" w:lineRule="exact"/>
        <w:ind w:left="360" w:hanging="360"/>
        <w:jc w:val="left"/>
      </w:pPr>
      <w:r>
        <w:rPr>
          <w:rFonts w:ascii="Times New Roman" w:cs="Times New Roman" w:eastAsia="Times New Roman" w:hAnsi="Times New Roman"/>
          <w:sz w:val="20"/>
          <w:szCs w:val="20"/>
        </w:rPr>
        <w:t xml:space="preserve">[3] Istio. Authorization Policy. https://istio.io/latest/docs/reference/config/security/authorization-policy/</w:t>
      </w:r>
    </w:p>
    <w:p>
      <w:pPr>
        <w:spacing w:after="60" w:line="276" w:lineRule="exact"/>
        <w:ind w:left="360" w:hanging="360"/>
        <w:jc w:val="left"/>
      </w:pPr>
      <w:r>
        <w:rPr>
          <w:rFonts w:ascii="Times New Roman" w:cs="Times New Roman" w:eastAsia="Times New Roman" w:hAnsi="Times New Roman"/>
          <w:sz w:val="20"/>
          <w:szCs w:val="20"/>
        </w:rPr>
        <w:t xml:space="preserve">[4] HashiCorp. Consul Service Mesh Intentions Overview. https://developer.hashicorp.com/consul/docs/secure-mesh/intention</w:t>
      </w:r>
    </w:p>
    <w:p>
      <w:pPr>
        <w:spacing w:after="60" w:line="276" w:lineRule="exact"/>
        <w:ind w:left="360" w:hanging="360"/>
        <w:jc w:val="left"/>
      </w:pPr>
      <w:r>
        <w:rPr>
          <w:rFonts w:ascii="Times New Roman" w:cs="Times New Roman" w:eastAsia="Times New Roman" w:hAnsi="Times New Roman"/>
          <w:sz w:val="20"/>
          <w:szCs w:val="20"/>
        </w:rPr>
        <w:t xml:space="preserve">[5] Cisco Systems. Intent-Based Networking Solutions. https://www.cisco.com/site/us/en/solutions/intent-based-networking/index.html</w:t>
      </w:r>
    </w:p>
    <w:p>
      <w:pPr>
        <w:spacing w:after="60" w:line="276" w:lineRule="exact"/>
        <w:ind w:left="360" w:hanging="360"/>
        <w:jc w:val="left"/>
      </w:pPr>
      <w:r>
        <w:rPr>
          <w:rFonts w:ascii="Times New Roman" w:cs="Times New Roman" w:eastAsia="Times New Roman" w:hAnsi="Times New Roman"/>
          <w:sz w:val="20"/>
          <w:szCs w:val="20"/>
        </w:rPr>
        <w:t xml:space="preserve">[6] Juniper Networks. Juniper Apstra: Intent-Based Networking for the Data Center.</w:t>
      </w:r>
    </w:p>
    <w:p>
      <w:pPr>
        <w:spacing w:after="60" w:line="276" w:lineRule="exact"/>
        <w:ind w:left="360" w:hanging="360"/>
        <w:jc w:val="left"/>
      </w:pPr>
      <w:r>
        <w:rPr>
          <w:rFonts w:ascii="Times New Roman" w:cs="Times New Roman" w:eastAsia="Times New Roman" w:hAnsi="Times New Roman"/>
          <w:sz w:val="20"/>
          <w:szCs w:val="20"/>
        </w:rPr>
        <w:t xml:space="preserve">[7] NIST. Zero Trust Architecture. NIST Special Publication 800-207. August 2020. https://nvlpubs.nist.gov/nistpubs/specialpublications/NIST.SP.800-207.pdf</w:t>
      </w:r>
    </w:p>
    <w:p>
      <w:pPr>
        <w:spacing w:after="60" w:line="276" w:lineRule="exact"/>
        <w:ind w:left="360" w:hanging="360"/>
        <w:jc w:val="left"/>
      </w:pPr>
      <w:r>
        <w:rPr>
          <w:rFonts w:ascii="Times New Roman" w:cs="Times New Roman" w:eastAsia="Times New Roman" w:hAnsi="Times New Roman"/>
          <w:sz w:val="20"/>
          <w:szCs w:val="20"/>
        </w:rPr>
        <w:t xml:space="preserve">[8] CNCF Technical Advisory Group for Security. Cloud Native Security Whitepaper. https://github.com/cncf/tag-security/tree/main/security-whitepaper</w:t>
      </w:r>
    </w:p>
    <w:p>
      <w:pPr>
        <w:spacing w:after="60" w:line="276" w:lineRule="exact"/>
        <w:ind w:left="360" w:hanging="360"/>
        <w:jc w:val="left"/>
      </w:pPr>
      <w:r>
        <w:rPr>
          <w:rFonts w:ascii="Times New Roman" w:cs="Times New Roman" w:eastAsia="Times New Roman" w:hAnsi="Times New Roman"/>
          <w:sz w:val="20"/>
          <w:szCs w:val="20"/>
        </w:rPr>
        <w:t xml:space="preserve">[9] HashiCorp. Sentinel: Policy as Code. https://www.hashicorp.com/sentinel</w:t>
      </w:r>
    </w:p>
    <w:p>
      <w:pPr>
        <w:spacing w:after="60" w:line="276" w:lineRule="exact"/>
        <w:ind w:left="360" w:hanging="360"/>
        <w:jc w:val="left"/>
      </w:pPr>
      <w:r>
        <w:rPr>
          <w:rFonts w:ascii="Times New Roman" w:cs="Times New Roman" w:eastAsia="Times New Roman" w:hAnsi="Times New Roman"/>
          <w:sz w:val="20"/>
          <w:szCs w:val="20"/>
        </w:rPr>
        <w:t xml:space="preserve">[10] Kyverno. Kubernetes Native Policy Management. https://kyverno.io/</w:t>
      </w:r>
    </w:p>
    <w:p>
      <w:pPr>
        <w:spacing w:after="60" w:line="276" w:lineRule="exact"/>
        <w:ind w:left="360" w:hanging="360"/>
        <w:jc w:val="left"/>
      </w:pPr>
      <w:r>
        <w:rPr>
          <w:rFonts w:ascii="Times New Roman" w:cs="Times New Roman" w:eastAsia="Times New Roman" w:hAnsi="Times New Roman"/>
          <w:sz w:val="20"/>
          <w:szCs w:val="20"/>
        </w:rPr>
        <w:t xml:space="preserve">[11] Cilium. Service Mesh and Network Policy Documentation. https://docs.cilium.io/</w:t>
      </w:r>
    </w:p>
    <w:p>
      <w:pPr>
        <w:spacing w:after="60" w:line="276" w:lineRule="exact"/>
        <w:ind w:left="360" w:hanging="360"/>
        <w:jc w:val="left"/>
      </w:pPr>
      <w:r>
        <w:rPr>
          <w:rFonts w:ascii="Times New Roman" w:cs="Times New Roman" w:eastAsia="Times New Roman" w:hAnsi="Times New Roman"/>
          <w:sz w:val="20"/>
          <w:szCs w:val="20"/>
        </w:rPr>
        <w:t xml:space="preserve">[12] Illumio. Zero Trust Segmentation. https://www.illumio.com/</w:t>
      </w:r>
    </w:p>
    <w:p>
      <w:pPr>
        <w:spacing w:after="60" w:line="276" w:lineRule="exact"/>
        <w:ind w:left="360" w:hanging="360"/>
        <w:jc w:val="left"/>
      </w:pPr>
      <w:r>
        <w:rPr>
          <w:rFonts w:ascii="Times New Roman" w:cs="Times New Roman" w:eastAsia="Times New Roman" w:hAnsi="Times New Roman"/>
          <w:sz w:val="20"/>
          <w:szCs w:val="20"/>
        </w:rPr>
        <w:t xml:space="preserve">[13] Akamai. Akamai Guardicore Segmentation. https://www.akamai.com/products/akamai-guardicore-segmentation</w:t>
      </w:r>
    </w:p>
    <w:p>
      <w:pPr>
        <w:spacing w:after="60" w:line="276" w:lineRule="exact"/>
        <w:ind w:left="360" w:hanging="360"/>
        <w:jc w:val="left"/>
      </w:pPr>
      <w:r>
        <w:rPr>
          <w:rFonts w:ascii="Times New Roman" w:cs="Times New Roman" w:eastAsia="Times New Roman" w:hAnsi="Times New Roman"/>
          <w:sz w:val="20"/>
          <w:szCs w:val="20"/>
        </w:rPr>
        <w:t xml:space="preserve">[14] Zscaler. Cloud Workload Microsegmentation with Zero Trust. https://www.zscaler.com/products-and-solutions/microsegmentation</w:t>
      </w:r>
    </w:p>
    <w:p>
      <w:pPr>
        <w:spacing w:after="60" w:line="276" w:lineRule="exact"/>
        <w:ind w:left="360" w:hanging="360"/>
        <w:jc w:val="left"/>
      </w:pPr>
      <w:r>
        <w:rPr>
          <w:rFonts w:ascii="Times New Roman" w:cs="Times New Roman" w:eastAsia="Times New Roman" w:hAnsi="Times New Roman"/>
          <w:sz w:val="20"/>
          <w:szCs w:val="20"/>
        </w:rPr>
        <w:t xml:space="preserve">[15] Arista Networks. CloudVision. https://www.arista.com/en/products/eos/eos-cloudvision</w:t>
      </w:r>
    </w:p>
    <w:p>
      <w:pPr>
        <w:spacing w:after="60" w:line="276" w:lineRule="exact"/>
        <w:ind w:left="360" w:hanging="360"/>
        <w:jc w:val="left"/>
      </w:pPr>
      <w:r>
        <w:rPr>
          <w:rFonts w:ascii="Times New Roman" w:cs="Times New Roman" w:eastAsia="Times New Roman" w:hAnsi="Times New Roman"/>
          <w:sz w:val="20"/>
          <w:szCs w:val="20"/>
        </w:rPr>
        <w:t xml:space="preserve">[16] FireMon. The Real Cause of Firewall Audit Failures: Why 60% of Firewalls Fail High-Severity Checks. https://www.firemon.com/blog/firewall-audit-failures-nspm-network-security-validation/</w:t>
      </w:r>
    </w:p>
    <w:p>
      <w:pPr>
        <w:spacing w:after="60" w:line="276" w:lineRule="exact"/>
        <w:ind w:left="360" w:hanging="360"/>
        <w:jc w:val="left"/>
      </w:pPr>
      <w:r>
        <w:rPr>
          <w:rFonts w:ascii="Times New Roman" w:cs="Times New Roman" w:eastAsia="Times New Roman" w:hAnsi="Times New Roman"/>
          <w:sz w:val="20"/>
          <w:szCs w:val="20"/>
        </w:rPr>
        <w:t xml:space="preserve">[17] Palo Alto Networks. Prisma Access ZTNA Connector Documentation. https://docs.paloaltonetworks.com/prisma-access/administration/ztna-connector-in-prisma-access</w:t>
      </w:r>
    </w:p>
    <w:p>
      <w:pPr>
        <w:spacing w:after="60" w:line="276" w:lineRule="exact"/>
        <w:ind w:left="360" w:hanging="360"/>
        <w:jc w:val="left"/>
      </w:pPr>
      <w:r>
        <w:rPr>
          <w:rFonts w:ascii="Times New Roman" w:cs="Times New Roman" w:eastAsia="Times New Roman" w:hAnsi="Times New Roman"/>
          <w:sz w:val="20"/>
          <w:szCs w:val="20"/>
        </w:rPr>
        <w:t xml:space="preserve">[18] Martin, Michael J. The Bill Comes Due: Why AI Just Made Your Technical Debt a Security Crisis. Working paper v0.4, May 2026. (Companion document.)</w:t>
      </w:r>
    </w:p>
    <w:p>
      <w:pPr>
        <w:spacing w:after="60" w:line="276" w:lineRule="exact"/>
        <w:ind w:left="360" w:hanging="360"/>
        <w:jc w:val="left"/>
      </w:pPr>
      <w:r>
        <w:rPr>
          <w:rFonts w:ascii="Times New Roman" w:cs="Times New Roman" w:eastAsia="Times New Roman" w:hAnsi="Times New Roman"/>
          <w:sz w:val="20"/>
          <w:szCs w:val="20"/>
        </w:rPr>
        <w:t xml:space="preserve">[19] Martin, Michael J. Understanding the Network: A Practical Guide to Internetworking. New Riders Publishing, 2000. ISBN 0-7357-0977-7.</w:t>
      </w:r>
    </w:p>
    <w:p>
      <w:pPr>
        <w:spacing w:before="240"/>
        <w:jc w:val="center"/>
      </w:pPr>
      <w:r>
        <w:rPr>
          <w:rFonts w:ascii="Times New Roman" w:cs="Times New Roman" w:eastAsia="Times New Roman" w:hAnsi="Times New Roman"/>
          <w:i/>
          <w:iCs/>
          <w:sz w:val="20"/>
          <w:szCs w:val="20"/>
        </w:rPr>
        <w:t xml:space="preserve">End of working paper v0.2.</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i/>
        <w:iCs/>
        <w:color w:val="888888"/>
        <w:sz w:val="16"/>
        <w:szCs w:val="16"/>
      </w:rPr>
      <w:t xml:space="preserve">Intent-Based Security Policy — v0.2</w:t>
    </w:r>
    <w:r>
      <w:rPr>
        <w:rFonts w:ascii="Times New Roman" w:cs="Times New Roman" w:eastAsia="Times New Roman" w:hAnsi="Times New Roman"/>
        <w:i/>
        <w:iCs/>
        <w:color w:val="888888"/>
        <w:sz w:val="16"/>
        <w:szCs w:val="16"/>
      </w:rPr>
      <w:t xml:space="preserve">		Page </w:t>
    </w:r>
    <w:r>
      <w:rPr>
        <w:rFonts w:ascii="Times New Roman" w:cs="Times New Roman" w:eastAsia="Times New Roman" w:hAnsi="Times New Roman"/>
        <w:i/>
        <w:iCs/>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i/>
        <w:iCs/>
        <w:color w:val="888888"/>
        <w:sz w:val="16"/>
        <w:szCs w:val="16"/>
      </w:rPr>
      <w:t xml:space="preserve"> of </w:t>
    </w:r>
    <w:r>
      <w:rPr>
        <w:rFonts w:ascii="Times New Roman" w:cs="Times New Roman" w:eastAsia="Times New Roman" w:hAnsi="Times New Roman"/>
        <w:i/>
        <w:iCs/>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lineRule="exact"/>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Intent-Based Security Policy</dc:title>
  <dc:creator>Michael J. Martin</dc:creator>
  <cp:lastModifiedBy>Un-named</cp:lastModifiedBy>
  <cp:revision>1</cp:revision>
  <dcterms:created xsi:type="dcterms:W3CDTF">2026-05-11T17:25:52.391Z</dcterms:created>
  <dcterms:modified xsi:type="dcterms:W3CDTF">2026-05-11T17:25:52.391Z</dcterms:modified>
</cp:coreProperties>
</file>

<file path=docProps/custom.xml><?xml version="1.0" encoding="utf-8"?>
<Properties xmlns="http://schemas.openxmlformats.org/officeDocument/2006/custom-properties" xmlns:vt="http://schemas.openxmlformats.org/officeDocument/2006/docPropsVTypes"/>
</file>