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48A1" w14:textId="77777777" w:rsidR="00772538" w:rsidRDefault="00772538" w:rsidP="00772538">
      <w:pPr>
        <w:pStyle w:val="font-claude-response-body"/>
      </w:pPr>
      <w:r>
        <w:rPr>
          <w:rStyle w:val="Strong"/>
        </w:rPr>
        <w:t>Documentation gap is the biggest problem.</w:t>
      </w:r>
      <w:r>
        <w:t xml:space="preserve"> 31 of 75 devices (41%) are tagged "Discovered | Undocumented" — meaning they were found in the environment with no prior CMDB or ownership record. These include the entire 128T Retail IPS fleet, the Aetna Middletown/Windsor stacks, both Enterprise-MPLS-Net4 pairs, and the full RI </w:t>
      </w:r>
      <w:proofErr w:type="spellStart"/>
      <w:r>
        <w:t>iLAB</w:t>
      </w:r>
      <w:proofErr w:type="spellEnd"/>
      <w:r>
        <w:t xml:space="preserve"> cluster.</w:t>
      </w:r>
    </w:p>
    <w:p w14:paraId="38811C1C" w14:textId="77777777" w:rsidR="00772538" w:rsidRDefault="00772538" w:rsidP="00772538">
      <w:pPr>
        <w:pStyle w:val="font-claude-response-body"/>
      </w:pPr>
      <w:r>
        <w:rPr>
          <w:rStyle w:val="Strong"/>
        </w:rPr>
        <w:t>15 devices are past end of support right now</w:t>
      </w:r>
      <w:r>
        <w:t xml:space="preserve"> — the worst being three FMC 4000s that expired March 2022, two Firepower 8150s from December 2022, and six Firepower 8350s from June 2024. The two Aetna FP 8350s expired August 2025. These are running production workloads (Shea-Internet, Middletown/Windsor stacks) on hardware Cisco won't patch.</w:t>
      </w:r>
    </w:p>
    <w:p w14:paraId="4C202CEC" w14:textId="77777777" w:rsidR="00772538" w:rsidRDefault="00772538" w:rsidP="00772538">
      <w:pPr>
        <w:pStyle w:val="font-claude-response-body"/>
      </w:pPr>
      <w:r>
        <w:rPr>
          <w:rStyle w:val="Strong"/>
        </w:rPr>
        <w:t>Accessibility is nearly nonexistent.</w:t>
      </w:r>
      <w:r>
        <w:t xml:space="preserve"> 61 of 75 devices are not accessible — meaning you can reach them (SSH/HTTPS appears on the wire) but cannot </w:t>
      </w:r>
      <w:proofErr w:type="gramStart"/>
      <w:r>
        <w:t>actually log</w:t>
      </w:r>
      <w:proofErr w:type="gramEnd"/>
      <w:r>
        <w:t xml:space="preserve"> in and manage them. The entire </w:t>
      </w:r>
      <w:proofErr w:type="spellStart"/>
      <w:r>
        <w:t>Mattersight</w:t>
      </w:r>
      <w:proofErr w:type="spellEnd"/>
      <w:r>
        <w:t xml:space="preserve"> fleet and all undocumented devices fall here. Only 10 devices have confirmed accessible management access.</w:t>
      </w:r>
    </w:p>
    <w:p w14:paraId="09682FE8" w14:textId="77777777" w:rsidR="00772538" w:rsidRDefault="00772538" w:rsidP="00772538">
      <w:pPr>
        <w:pStyle w:val="font-claude-response-body"/>
      </w:pPr>
      <w:proofErr w:type="spellStart"/>
      <w:r>
        <w:rPr>
          <w:rStyle w:val="Strong"/>
        </w:rPr>
        <w:t>Netbrain</w:t>
      </w:r>
      <w:proofErr w:type="spellEnd"/>
      <w:r>
        <w:rPr>
          <w:rStyle w:val="Strong"/>
        </w:rPr>
        <w:t xml:space="preserve"> coverage is effectively zero</w:t>
      </w:r>
      <w:r>
        <w:t xml:space="preserve"> — 4 devices out of 75 (5%), which means the network topology model for this entire estate is either absent or wrong. 17 devices appear in none of the three management tools (SolarWinds, ServiceNow, </w:t>
      </w:r>
      <w:proofErr w:type="spellStart"/>
      <w:r>
        <w:t>Netbrain</w:t>
      </w:r>
      <w:proofErr w:type="spellEnd"/>
      <w:r>
        <w:t>).</w:t>
      </w:r>
    </w:p>
    <w:p w14:paraId="7D028668" w14:textId="77777777" w:rsidR="00772538" w:rsidRDefault="00772538" w:rsidP="00772538">
      <w:pPr>
        <w:pStyle w:val="font-claude-response-body"/>
      </w:pPr>
      <w:r>
        <w:rPr>
          <w:rStyle w:val="Strong"/>
        </w:rPr>
        <w:t>Two decommission jobs that appear unfinished:</w:t>
      </w:r>
      <w:r>
        <w:t xml:space="preserve"> Retail-ATG (flagged for April 2024 decom) and Retail-Legacy-</w:t>
      </w:r>
      <w:proofErr w:type="spellStart"/>
      <w:r>
        <w:t>DotCom</w:t>
      </w:r>
      <w:proofErr w:type="spellEnd"/>
      <w:r>
        <w:t xml:space="preserve"> (May 2024 decom) are both still present with hardware in place at Woonsocket, with no confirmation they're </w:t>
      </w:r>
      <w:proofErr w:type="gramStart"/>
      <w:r>
        <w:t>actually dark</w:t>
      </w:r>
      <w:proofErr w:type="gramEnd"/>
      <w:r>
        <w:t>.</w:t>
      </w:r>
    </w:p>
    <w:p w14:paraId="64EB4DA6" w14:textId="77777777" w:rsidR="00772538" w:rsidRDefault="00772538" w:rsidP="00772538">
      <w:pPr>
        <w:pStyle w:val="font-claude-response-body"/>
      </w:pPr>
      <w:r>
        <w:rPr>
          <w:rStyle w:val="Strong"/>
        </w:rPr>
        <w:t>The Aetna stacks are a distinct risk cluster</w:t>
      </w:r>
      <w:r>
        <w:t xml:space="preserve"> — four Firepower 8350s at Middletown and Windsor, all undocumented, all on local credentials (not AD), all past EOS, all with no tooling coverage. These are invisible to the CVS management plane.</w:t>
      </w:r>
    </w:p>
    <w:p w14:paraId="720CE1BB" w14:textId="77777777" w:rsidR="00136EF6" w:rsidRDefault="00136EF6"/>
    <w:sectPr w:rsidR="00136EF6" w:rsidSect="00BE6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538"/>
    <w:rsid w:val="00136EF6"/>
    <w:rsid w:val="00705E14"/>
    <w:rsid w:val="00772538"/>
    <w:rsid w:val="008A60C8"/>
    <w:rsid w:val="009F070F"/>
    <w:rsid w:val="00BE61E6"/>
    <w:rsid w:val="00DA2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45FFBD"/>
  <w15:chartTrackingRefBased/>
  <w15:docId w15:val="{4FA79BA9-1AC3-1441-AB95-8968FA72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5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5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5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5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5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5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5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5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5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5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5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5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5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5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5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5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5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538"/>
    <w:rPr>
      <w:rFonts w:eastAsiaTheme="majorEastAsia" w:cstheme="majorBidi"/>
      <w:color w:val="272727" w:themeColor="text1" w:themeTint="D8"/>
    </w:rPr>
  </w:style>
  <w:style w:type="paragraph" w:styleId="Title">
    <w:name w:val="Title"/>
    <w:basedOn w:val="Normal"/>
    <w:next w:val="Normal"/>
    <w:link w:val="TitleChar"/>
    <w:uiPriority w:val="10"/>
    <w:qFormat/>
    <w:rsid w:val="007725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5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5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5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538"/>
    <w:pPr>
      <w:spacing w:before="160"/>
      <w:jc w:val="center"/>
    </w:pPr>
    <w:rPr>
      <w:i/>
      <w:iCs/>
      <w:color w:val="404040" w:themeColor="text1" w:themeTint="BF"/>
    </w:rPr>
  </w:style>
  <w:style w:type="character" w:customStyle="1" w:styleId="QuoteChar">
    <w:name w:val="Quote Char"/>
    <w:basedOn w:val="DefaultParagraphFont"/>
    <w:link w:val="Quote"/>
    <w:uiPriority w:val="29"/>
    <w:rsid w:val="00772538"/>
    <w:rPr>
      <w:i/>
      <w:iCs/>
      <w:color w:val="404040" w:themeColor="text1" w:themeTint="BF"/>
    </w:rPr>
  </w:style>
  <w:style w:type="paragraph" w:styleId="ListParagraph">
    <w:name w:val="List Paragraph"/>
    <w:basedOn w:val="Normal"/>
    <w:uiPriority w:val="34"/>
    <w:qFormat/>
    <w:rsid w:val="00772538"/>
    <w:pPr>
      <w:ind w:left="720"/>
      <w:contextualSpacing/>
    </w:pPr>
  </w:style>
  <w:style w:type="character" w:styleId="IntenseEmphasis">
    <w:name w:val="Intense Emphasis"/>
    <w:basedOn w:val="DefaultParagraphFont"/>
    <w:uiPriority w:val="21"/>
    <w:qFormat/>
    <w:rsid w:val="00772538"/>
    <w:rPr>
      <w:i/>
      <w:iCs/>
      <w:color w:val="2F5496" w:themeColor="accent1" w:themeShade="BF"/>
    </w:rPr>
  </w:style>
  <w:style w:type="paragraph" w:styleId="IntenseQuote">
    <w:name w:val="Intense Quote"/>
    <w:basedOn w:val="Normal"/>
    <w:next w:val="Normal"/>
    <w:link w:val="IntenseQuoteChar"/>
    <w:uiPriority w:val="30"/>
    <w:qFormat/>
    <w:rsid w:val="007725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538"/>
    <w:rPr>
      <w:i/>
      <w:iCs/>
      <w:color w:val="2F5496" w:themeColor="accent1" w:themeShade="BF"/>
    </w:rPr>
  </w:style>
  <w:style w:type="character" w:styleId="IntenseReference">
    <w:name w:val="Intense Reference"/>
    <w:basedOn w:val="DefaultParagraphFont"/>
    <w:uiPriority w:val="32"/>
    <w:qFormat/>
    <w:rsid w:val="00772538"/>
    <w:rPr>
      <w:b/>
      <w:bCs/>
      <w:smallCaps/>
      <w:color w:val="2F5496" w:themeColor="accent1" w:themeShade="BF"/>
      <w:spacing w:val="5"/>
    </w:rPr>
  </w:style>
  <w:style w:type="paragraph" w:customStyle="1" w:styleId="font-claude-response-body">
    <w:name w:val="font-claude-response-body"/>
    <w:basedOn w:val="Normal"/>
    <w:rsid w:val="007725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25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262</Words>
  <Characters>1442</Characters>
  <Application>Microsoft Office Word</Application>
  <DocSecurity>0</DocSecurity>
  <Lines>21</Lines>
  <Paragraphs>6</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Martin</dc:creator>
  <cp:keywords/>
  <dc:description/>
  <cp:lastModifiedBy>Sam Martin</cp:lastModifiedBy>
  <cp:revision>1</cp:revision>
  <dcterms:created xsi:type="dcterms:W3CDTF">2026-06-03T13:54:00Z</dcterms:created>
  <dcterms:modified xsi:type="dcterms:W3CDTF">2026-06-03T13:54:00Z</dcterms:modified>
</cp:coreProperties>
</file>