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THIRD-PARTY LANDING ZONE (3PLZ)</w:t>
      </w:r>
    </w:p>
    <w:p>
      <w:pPr>
        <w:jc w:val="center"/>
      </w:pPr>
      <w:r>
        <w:rPr>
          <w:rFonts w:ascii="Times New Roman" w:hAnsi="Times New Roman" w:cs="Times New Roman"/>
          <w:b/>
          <w:sz w:val="26"/>
        </w:rPr>
        <w:t>Executive Summary of Changes — Inspection-Plane Expansion</w:t>
      </w:r>
    </w:p>
    <w:p>
      <w:pPr>
        <w:jc w:val="center"/>
      </w:pPr>
      <w:r>
        <w:rPr>
          <w:rFonts w:ascii="Times New Roman" w:hAnsi="Times New Roman" w:cs="Times New Roman"/>
          <w:i/>
          <w:sz w:val="22"/>
        </w:rPr>
        <w:t>Architecture v1.0 → v1.1 · POC Deliverables v3.x → v4 · Harness Spec v1.1 → v1.2</w:t>
      </w:r>
    </w:p>
    <w:p/>
    <w:p>
      <w:pPr>
        <w:jc w:val="center"/>
      </w:pPr>
      <w:r>
        <w:rPr>
          <w:rFonts w:ascii="Times New Roman" w:hAnsi="Times New Roman" w:cs="Times New Roman"/>
          <w:sz w:val="22"/>
        </w:rPr>
        <w:t>Prepared by Michael J. Martin</w:t>
      </w:r>
    </w:p>
    <w:p>
      <w:pPr>
        <w:jc w:val="center"/>
      </w:pPr>
      <w:r>
        <w:rPr>
          <w:rFonts w:ascii="Times New Roman" w:hAnsi="Times New Roman" w:cs="Times New Roman"/>
          <w:sz w:val="22"/>
        </w:rPr>
        <w:t>Lead Director, Network Security Engineering, CVS Health</w:t>
      </w:r>
    </w:p>
    <w:p/>
    <w:p>
      <w:pPr>
        <w:jc w:val="center"/>
      </w:pPr>
      <w:r>
        <w:rPr>
          <w:rFonts w:ascii="Times New Roman" w:hAnsi="Times New Roman" w:cs="Times New Roman"/>
          <w:sz w:val="22"/>
        </w:rPr>
        <w:t>Version 1.0</w:t>
      </w:r>
    </w:p>
    <w:p>
      <w:pPr>
        <w:jc w:val="center"/>
      </w:pPr>
      <w:r>
        <w:rPr>
          <w:rFonts w:ascii="Times New Roman" w:hAnsi="Times New Roman" w:cs="Times New Roman"/>
          <w:sz w:val="22"/>
        </w:rPr>
        <w:t>May 4, 2026</w:t>
      </w:r>
    </w:p>
    <w:p>
      <w:pPr>
        <w:jc w:val="center"/>
      </w:pPr>
      <w:r>
        <w:rPr>
          <w:rFonts w:ascii="Times New Roman" w:hAnsi="Times New Roman" w:cs="Times New Roman"/>
          <w:sz w:val="22"/>
        </w:rPr>
        <w:t>CVS Health Internal — Engineering and Leadership Distribution</w:t>
      </w:r>
    </w:p>
    <w:p/>
    <w:p>
      <w:r>
        <w:rPr>
          <w:rFonts w:ascii="Times New Roman" w:hAnsi="Times New Roman" w:cs="Times New Roman"/>
          <w:i/>
          <w:sz w:val="22"/>
        </w:rPr>
        <w:t>Table 1. Document Set Revision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64"/>
        <w:gridCol w:w="4464"/>
      </w:tblGrid>
      <w:tr>
        <w:tc>
          <w:tcPr>
            <w:tcW w:type="dxa" w:w="3744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Document  /  Prior → New Version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Primary Change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3PLZ Architecture Specification</w:t>
            </w:r>
          </w:p>
          <w:p>
            <w:r>
              <w:rPr>
                <w:rFonts w:ascii="Times New Roman" w:hAnsi="Times New Roman" w:cs="Times New Roman"/>
                <w:sz w:val="22"/>
              </w:rPr>
              <w:t>v1.0 → v1.1 (May 4, 2026)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cs="Times New Roman"/>
                <w:sz w:val="22"/>
              </w:rPr>
              <w:t>Added Appendix P — Third-Party Inspection Integration Architecture; expanded Sections C.9 and D.6–D.9; new F.3, H.2, H.3 entries.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F5 Distributed Cloud POC Deliverables</w:t>
            </w:r>
          </w:p>
          <w:p>
            <w:r>
              <w:rPr>
                <w:rFonts w:ascii="Times New Roman" w:hAnsi="Times New Roman" w:cs="Times New Roman"/>
                <w:sz w:val="22"/>
              </w:rPr>
              <w:t>v3.3 → v4 (May 4, 2026)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cs="Times New Roman"/>
                <w:sz w:val="22"/>
              </w:rPr>
              <w:t>Added CR-07 capability and EW-06 workflow; rebalanced scoring to 100%; added F5-specific inspection steering realization (service-policy chains + PBR-into-VRF).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Cloudflare POC Deliverables</w:t>
            </w:r>
          </w:p>
          <w:p>
            <w:r>
              <w:rPr>
                <w:rFonts w:ascii="Times New Roman" w:hAnsi="Times New Roman" w:cs="Times New Roman"/>
                <w:sz w:val="22"/>
              </w:rPr>
              <w:t>v3.2 → v4 (May 4, 2026)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cs="Times New Roman"/>
                <w:sz w:val="22"/>
              </w:rPr>
              <w:t>Added CR-07 and EW-06; rebalanced scoring to 100%; flagged CR-07 as second-highest structural risk after CR-01 due to absence of a native post-decryption steering primitive.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3PLZ POC Test Environment &amp; Harness Specification</w:t>
            </w:r>
          </w:p>
          <w:p>
            <w:r>
              <w:rPr>
                <w:rFonts w:ascii="Times New Roman" w:hAnsi="Times New Roman" w:cs="Times New Roman"/>
                <w:sz w:val="22"/>
              </w:rPr>
              <w:t>v1.1 → v1.2 (May 4, 2026)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cs="Times New Roman"/>
                <w:sz w:val="22"/>
              </w:rPr>
              <w:t>Added Section 6.7 inspection appliance; new Section 9.8 with 12 CR-07 tests; new Appendix B.5 vendor steering detail; new Appendix D.7 sample CR-07 catalog entry; total catalog 90 → 102 tests.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</w:rPr>
        <w:t>1. Why This Revision Exists</w:t>
      </w:r>
    </w:p>
    <w:p>
      <w:r>
        <w:rPr>
          <w:rFonts w:ascii="Times New Roman" w:hAnsi="Times New Roman" w:cs="Times New Roman"/>
          <w:sz w:val="22"/>
        </w:rPr>
        <w:t>The original 3PLZ document set described the architecture, vendor capability requirements, and harness as covering all in-flight traffic with mandatory bidirectional TLS inspection at the vendor edge. Inspection telemetry was framed as plumbing the platform would expose to a future “MITM proxy” — a placeholder term that left the integration contract unspecified.</w:t>
      </w:r>
    </w:p>
    <w:p>
      <w:r>
        <w:rPr>
          <w:rFonts w:ascii="Times New Roman" w:hAnsi="Times New Roman" w:cs="Times New Roman"/>
          <w:sz w:val="22"/>
        </w:rPr>
        <w:t>Subsequent architecture review made clear that the placeholder is not adequate. CVS Health’s data loss prevention and threat-prevention obligations require that decrypted in-flight traffic be inspectable by a dedicated third-party inspection platform — in the reference design, Palo Alto VM-Series Next-Generation Firewall, with vendor-neutrality preserved so that Fortinet, Cisco FTD, or an equivalent SaaS inspection tenant can be substituted without re-architecting the platform contract.</w:t>
      </w:r>
    </w:p>
    <w:p>
      <w:r>
        <w:rPr>
          <w:rFonts w:ascii="Times New Roman" w:hAnsi="Times New Roman" w:cs="Times New Roman"/>
          <w:sz w:val="22"/>
        </w:rPr>
        <w:t>This revision formalizes that integration. It does not commit CVS Health to any specific DLP or threat-prevention product — that selection is a separate program. What this revision does commit to is a vendor-neutral plumbing contract (CR-07) that the vendor edge platform must satisfy, a corresponding lifecycle workflow (EW-06), an integration architecture (Architecture Appendix P), and a harness test set (Harness §9.8) that verifies the contract operationally.</w:t>
      </w:r>
    </w:p>
    <w:p>
      <w:r>
        <w:rPr>
          <w:rFonts w:ascii="Times New Roman" w:hAnsi="Times New Roman" w:cs="Times New Roman"/>
          <w:b/>
          <w:sz w:val="22"/>
        </w:rPr>
        <w:t>Framing.</w:t>
      </w:r>
    </w:p>
    <w:p>
      <w:r>
        <w:rPr>
          <w:rFonts w:ascii="Times New Roman" w:hAnsi="Times New Roman" w:cs="Times New Roman"/>
          <w:sz w:val="22"/>
        </w:rPr>
        <w:t>CR-07 is plumbing-only. The harness verifies that the platform can deliver per-tenant decrypted traffic to a per-tenant inspection container, honor a decrypt-exclusion list, support configurable failure semantics, and emit correlated telemetry. The harness does not evaluate detection accuracy, signature coverage, or product capability of the inspection appliance itself.</w:t>
      </w:r>
    </w:p>
    <w:p>
      <w:pPr>
        <w:pStyle w:val="Heading1"/>
      </w:pPr>
      <w:r>
        <w:rPr>
          <w:rFonts w:ascii="Times New Roman" w:hAnsi="Times New Roman" w:cs="Times New Roman"/>
        </w:rPr>
        <w:t>2. Architecture Specification — v1.0 → v1.1</w:t>
      </w:r>
    </w:p>
    <w:p>
      <w:r>
        <w:rPr>
          <w:rFonts w:ascii="Times New Roman" w:hAnsi="Times New Roman" w:cs="Times New Roman"/>
          <w:sz w:val="22"/>
        </w:rPr>
        <w:t>The architecture revision adds a new top-level appendix and extends three existing sections to formalize the inspection-plane contract.</w:t>
      </w:r>
    </w:p>
    <w:p>
      <w:pPr>
        <w:pStyle w:val="Heading2"/>
      </w:pPr>
      <w:r>
        <w:rPr>
          <w:rFonts w:ascii="Times New Roman" w:hAnsi="Times New Roman" w:cs="Times New Roman"/>
        </w:rPr>
        <w:t>2.1 New Appendix P — Third-Party Inspection Integration Architecture</w:t>
      </w:r>
    </w:p>
    <w:p>
      <w:r>
        <w:rPr>
          <w:rFonts w:ascii="Times New Roman" w:hAnsi="Times New Roman" w:cs="Times New Roman"/>
          <w:sz w:val="22"/>
        </w:rPr>
        <w:t>Appendix P is the source-of-truth for the inspection-plane contract. It defines a vendor-neutral integration model in which a per-tenant inspection container receives decrypted in-flight traffic from the vendor edge platform via a per-tenant steering primitive, with key custody remaining at the vendor edge and the inspection appliance receiving plaintext rather than session keys. The appendix is structured P.1 through P.10 and covers:</w:t>
      </w:r>
    </w:p>
    <w:p>
      <w:r>
        <w:rPr>
          <w:rFonts w:ascii="Times New Roman" w:hAnsi="Times New Roman" w:cs="Times New Roman"/>
          <w:sz w:val="22"/>
        </w:rPr>
        <w:t>•  P.1 Scope and vendor neutrality. Reference platform is Palo Alto VM-Series with vsys-per-tenant; equivalent platforms (Fortinet VDOM, Cisco FTD multi-instance, Zscaler tenant) satisfy the contract.</w:t>
      </w:r>
    </w:p>
    <w:p>
      <w:r>
        <w:rPr>
          <w:rFonts w:ascii="Times New Roman" w:hAnsi="Times New Roman" w:cs="Times New Roman"/>
          <w:sz w:val="22"/>
        </w:rPr>
        <w:t>•  P.2 Integration topology — service-chain placement of the inspection plane between mediation tiers, with key custody boundary diagrammed.</w:t>
      </w:r>
    </w:p>
    <w:p>
      <w:r>
        <w:rPr>
          <w:rFonts w:ascii="Times New Roman" w:hAnsi="Times New Roman" w:cs="Times New Roman"/>
          <w:sz w:val="22"/>
        </w:rPr>
        <w:t>•  P.3 Per-tenant container model — one inspection container per Tenant; cross-tenant leakage at the inspection plane is a CR-01 and CR-07 dual failure.</w:t>
      </w:r>
    </w:p>
    <w:p>
      <w:r>
        <w:rPr>
          <w:rFonts w:ascii="Times New Roman" w:hAnsi="Times New Roman" w:cs="Times New Roman"/>
          <w:sz w:val="22"/>
        </w:rPr>
        <w:t>•  P.4 Decrypt-exclusion list — predicate forms (URL category, destination IP/host, content category) and pass-through telemetry requirements.</w:t>
      </w:r>
    </w:p>
    <w:p>
      <w:r>
        <w:rPr>
          <w:rFonts w:ascii="Times New Roman" w:hAnsi="Times New Roman" w:cs="Times New Roman"/>
          <w:sz w:val="22"/>
        </w:rPr>
        <w:t>•  P.5 Failure semantics — fail-open and fail-closed modes; fail-closed is the harness default for CR-07 acceptance.</w:t>
      </w:r>
    </w:p>
    <w:p>
      <w:r>
        <w:rPr>
          <w:rFonts w:ascii="Times New Roman" w:hAnsi="Times New Roman" w:cs="Times New Roman"/>
          <w:sz w:val="22"/>
        </w:rPr>
        <w:t>•  P.6 SSH session inspection — explicit inclusion of SSH workloads in the inspection contract.</w:t>
      </w:r>
    </w:p>
    <w:p>
      <w:r>
        <w:rPr>
          <w:rFonts w:ascii="Times New Roman" w:hAnsi="Times New Roman" w:cs="Times New Roman"/>
          <w:sz w:val="22"/>
        </w:rPr>
        <w:t>•  P.7 Telemetry correlation — schema for joining vendor-edge audit records to inspection-appliance audit records via per-session correlation IDs.</w:t>
      </w:r>
    </w:p>
    <w:p>
      <w:r>
        <w:rPr>
          <w:rFonts w:ascii="Times New Roman" w:hAnsi="Times New Roman" w:cs="Times New Roman"/>
          <w:sz w:val="22"/>
        </w:rPr>
        <w:t>•  P.8 Vendor-specific realizations — F5 service-policy chains; Cloudflare GENEVE / Workers / Magic WAN candidates.</w:t>
      </w:r>
    </w:p>
    <w:p>
      <w:r>
        <w:rPr>
          <w:rFonts w:ascii="Times New Roman" w:hAnsi="Times New Roman" w:cs="Times New Roman"/>
          <w:sz w:val="22"/>
        </w:rPr>
        <w:t>•  P.9 Inspection-vendor swap guardrails — vendor-neutrality test on Tenant t03.</w:t>
      </w:r>
    </w:p>
    <w:p>
      <w:r>
        <w:rPr>
          <w:rFonts w:ascii="Times New Roman" w:hAnsi="Times New Roman" w:cs="Times New Roman"/>
          <w:sz w:val="22"/>
        </w:rPr>
        <w:t>•  P.10 Out of scope — DLP and threat-prevention product evaluation (separate program).</w:t>
      </w:r>
    </w:p>
    <w:p>
      <w:pPr>
        <w:pStyle w:val="Heading2"/>
      </w:pPr>
      <w:r>
        <w:rPr>
          <w:rFonts w:ascii="Times New Roman" w:hAnsi="Times New Roman" w:cs="Times New Roman"/>
        </w:rPr>
        <w:t>2.2 Extended sections</w:t>
      </w:r>
    </w:p>
    <w:p>
      <w:r>
        <w:rPr>
          <w:rFonts w:ascii="Times New Roman" w:hAnsi="Times New Roman" w:cs="Times New Roman"/>
          <w:sz w:val="22"/>
        </w:rPr>
        <w:t>•  Section C.9 — Inspection Sidecar Plane Between Mediation Tiers. Describes service-chain placement of the inspection appliance between the partner-side and CVS-side mediation tiers.</w:t>
      </w:r>
    </w:p>
    <w:p>
      <w:r>
        <w:rPr>
          <w:rFonts w:ascii="Times New Roman" w:hAnsi="Times New Roman" w:cs="Times New Roman"/>
          <w:sz w:val="22"/>
        </w:rPr>
        <w:t>•  Section D.6 — Inspection Modes. Three modes formalized: passive mirror, inline transparent, inline decrypted-payload. Mode 3 (inline decrypted-payload) is the CR-07 default.</w:t>
      </w:r>
    </w:p>
    <w:p>
      <w:r>
        <w:rPr>
          <w:rFonts w:ascii="Times New Roman" w:hAnsi="Times New Roman" w:cs="Times New Roman"/>
          <w:sz w:val="22"/>
        </w:rPr>
        <w:t>•  Sections D.7–D.9 — Mode-3 functional requirements, failure modes, and validation criteria.</w:t>
      </w:r>
    </w:p>
    <w:p>
      <w:r>
        <w:rPr>
          <w:rFonts w:ascii="Times New Roman" w:hAnsi="Times New Roman" w:cs="Times New Roman"/>
          <w:sz w:val="22"/>
        </w:rPr>
        <w:t>•  Section F.3 — Inspection-Vendor Swap Guardrails. Operational rules for swapping the inspection vendor without re-architecting the platform contract.</w:t>
      </w:r>
    </w:p>
    <w:p>
      <w:r>
        <w:rPr>
          <w:rFonts w:ascii="Times New Roman" w:hAnsi="Times New Roman" w:cs="Times New Roman"/>
          <w:sz w:val="22"/>
        </w:rPr>
        <w:t>•  Sections H.2 / H.3 — Proof entries for third-party inline inspection added to the architectural-evidence appendix.</w:t>
      </w:r>
    </w:p>
    <w:p>
      <w:pPr>
        <w:pStyle w:val="Heading2"/>
      </w:pPr>
      <w:r>
        <w:rPr>
          <w:rFonts w:ascii="Times New Roman" w:hAnsi="Times New Roman" w:cs="Times New Roman"/>
        </w:rPr>
        <w:t>2.3 Title page and metadata</w:t>
      </w:r>
    </w:p>
    <w:p>
      <w:r>
        <w:rPr>
          <w:rFonts w:ascii="Times New Roman" w:hAnsi="Times New Roman" w:cs="Times New Roman"/>
          <w:sz w:val="22"/>
        </w:rPr>
        <w:t>Title page version updated 1.0 → 1.1; status note records “revision 1.1: third-party inspection plane formalized.” Keywords extended to include TLS Inspection, SSH Inspection, DLP, Threat Prevention, NGFW, Decryption Broker, and Service Chain.</w:t>
      </w:r>
    </w:p>
    <w:p>
      <w:pPr>
        <w:pStyle w:val="Heading1"/>
      </w:pPr>
      <w:r>
        <w:rPr>
          <w:rFonts w:ascii="Times New Roman" w:hAnsi="Times New Roman" w:cs="Times New Roman"/>
        </w:rPr>
        <w:t>3. POC Deliverables — F5 v3.3 → v4 and Cloudflare v3.2 → v4</w:t>
      </w:r>
    </w:p>
    <w:p>
      <w:r>
        <w:rPr>
          <w:rFonts w:ascii="Times New Roman" w:hAnsi="Times New Roman" w:cs="Times New Roman"/>
          <w:sz w:val="22"/>
        </w:rPr>
        <w:t>Both vendor POC Deliverables documents received parallel revisions. The capability requirement set, the engineering workflow set, and the scoring weights are the same for both vendors; vendor-specific differences appear only in §5 (environment) and in the vendor-specific risk and realization commentary.</w:t>
      </w:r>
    </w:p>
    <w:p>
      <w:pPr>
        <w:pStyle w:val="Heading2"/>
      </w:pPr>
      <w:r>
        <w:rPr>
          <w:rFonts w:ascii="Times New Roman" w:hAnsi="Times New Roman" w:cs="Times New Roman"/>
        </w:rPr>
        <w:t>3.1 New CR-07 — Third-Party Inline Inspection Plumbing</w:t>
      </w:r>
    </w:p>
    <w:p>
      <w:r>
        <w:rPr>
          <w:rFonts w:ascii="Times New Roman" w:hAnsi="Times New Roman" w:cs="Times New Roman"/>
          <w:sz w:val="22"/>
        </w:rPr>
        <w:t>A new Section 2.7 in each POC document defines CR-07 with a seven-row acceptance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64"/>
        <w:gridCol w:w="4464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Row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Acceptance Criterion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CR-07.1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Per-tenant traffic-steering primitive — vendor edge can steer decrypted in-flight traffic to a CVS-designated per-tenant inspection container.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CR-07.2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Per-tenant context preservation — tenant identifier and session correlation ID are conveyed to the inspection container; cross-tenant leakage is a CR-01+CR-07 dual failure.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CR-07.3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Key-custody boundary — the inspection container receives plaintext payload, not TLS session keys; key custody remains at the vendor edge.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CR-07.4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Decrypt-exclusion list — vendor edge supports per-tenant exclusion predicates that bypass the steering primitive entirely; pass-through is auditable.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CR-07.5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Failure semantics — fail-closed and fail-open modes are configurable per tenant per direction; fail-closed is the harness-default for CR-07 acceptance.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CR-07.6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SSH session inspection — SSH workloads are in scope; vendor edge can decrypt and steer SSH session traffic to the inspection container.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CR-07.7</w:t>
            </w:r>
          </w:p>
        </w:tc>
        <w:tc>
          <w:tcPr>
            <w:tcW w:type="dxa" w:w="8784"/>
          </w:tcPr>
          <w:p>
            <w:r/>
            <w:r>
              <w:rPr>
                <w:rFonts w:ascii="Times New Roman" w:hAnsi="Times New Roman" w:cs="Times New Roman"/>
                <w:sz w:val="22"/>
              </w:rPr>
              <w:t>Telemetry export and correlation — vendor edge and inspection appliance both emit audit records keyed to a shared per-session correlation ID; harness join-rate ≥ 99% is required.</w:t>
            </w:r>
          </w:p>
        </w:tc>
      </w:tr>
    </w:tbl>
    <w:p>
      <w:r>
        <w:rPr>
          <w:rFonts w:ascii="Times New Roman" w:hAnsi="Times New Roman" w:cs="Times New Roman"/>
          <w:i/>
          <w:sz w:val="22"/>
        </w:rPr>
        <w:t>Table 2. CR-07 Acceptance Criteria (identical in both POC documents)</w:t>
      </w:r>
    </w:p>
    <w:p>
      <w:pPr>
        <w:pStyle w:val="Heading2"/>
      </w:pPr>
      <w:r>
        <w:rPr>
          <w:rFonts w:ascii="Times New Roman" w:hAnsi="Times New Roman" w:cs="Times New Roman"/>
        </w:rPr>
        <w:t>3.2 New Workflow EW-06 — Inspection Plane Provisioning and Lifecycle</w:t>
      </w:r>
    </w:p>
    <w:p>
      <w:r>
        <w:rPr>
          <w:rFonts w:ascii="Times New Roman" w:hAnsi="Times New Roman" w:cs="Times New Roman"/>
          <w:sz w:val="22"/>
        </w:rPr>
        <w:t>EW-06 specifies seven steps: provision per-tenant inspection container; bind to vendor-edge steering primitive; load per-tenant decrypt-exclusion list; configure failure semantics; configure telemetry export with correlation-ID schema; verify against CR-07 test set; offboard with zero residual state on tenant decommission. EW-06 is added to the September 30 self-service deliverables in §4.1 of each POC document.</w:t>
      </w:r>
    </w:p>
    <w:p>
      <w:pPr>
        <w:pStyle w:val="Heading2"/>
      </w:pPr>
      <w:r>
        <w:rPr>
          <w:rFonts w:ascii="Times New Roman" w:hAnsi="Times New Roman" w:cs="Times New Roman"/>
        </w:rPr>
        <w:t>3.3 Scoring rebalance to 100%</w:t>
      </w:r>
    </w:p>
    <w:p>
      <w:r>
        <w:rPr>
          <w:rFonts w:ascii="Times New Roman" w:hAnsi="Times New Roman" w:cs="Times New Roman"/>
          <w:sz w:val="22"/>
        </w:rPr>
        <w:t>CR-07 is added to the scoring matrix and the existing weights are rebalanced to keep the total at 100%. Both vendor documents use the same weights: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64"/>
        <w:gridCol w:w="4464"/>
      </w:tblGrid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Capability / Workflow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Weight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CR-01 — Per-Tenant CA Isolation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23%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CR-02 — Mandatory Bidirectional Inspection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18%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CR-03 — Tenant Lifecycle Determinism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10%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CR-04 — Mediated SSH and Credential Substitution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18%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CR-05 — Cross-Tenant Isolation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5%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CR-06 — Governed Outbound Access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10%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 — Third-Party Inline Inspection Plumbing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8%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Self-Service API (EW-01..EW-06)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8%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100%</w:t>
            </w:r>
          </w:p>
        </w:tc>
      </w:tr>
    </w:tbl>
    <w:p>
      <w:r>
        <w:rPr>
          <w:rFonts w:ascii="Times New Roman" w:hAnsi="Times New Roman" w:cs="Times New Roman"/>
          <w:i/>
          <w:sz w:val="22"/>
        </w:rPr>
        <w:t>Table 3. Rebalanced Scoring Weights (F5 v4 and Cloudflare v4)</w:t>
      </w:r>
    </w:p>
    <w:p>
      <w:pPr>
        <w:pStyle w:val="Heading2"/>
      </w:pPr>
      <w:r>
        <w:rPr>
          <w:rFonts w:ascii="Times New Roman" w:hAnsi="Times New Roman" w:cs="Times New Roman"/>
        </w:rPr>
        <w:t>3.4 Scope and milestone changes</w:t>
      </w:r>
    </w:p>
    <w:p>
      <w:r>
        <w:rPr>
          <w:rFonts w:ascii="Times New Roman" w:hAnsi="Times New Roman" w:cs="Times New Roman"/>
          <w:sz w:val="22"/>
        </w:rPr>
        <w:t>•  Out-of-scope removal — “DLP inline integration” was removed from the §1.2 out-of-scope list. The CR-07 framing replaces it: integration plumbing is in scope; product evaluation remains out of scope and is now stated explicitly.</w:t>
      </w:r>
    </w:p>
    <w:p>
      <w:r>
        <w:rPr>
          <w:rFonts w:ascii="Times New Roman" w:hAnsi="Times New Roman" w:cs="Times New Roman"/>
          <w:sz w:val="22"/>
        </w:rPr>
        <w:t>•  In-scope addition — “Third-Party Inline Inspection Plumbing” added as a §1.2 in-scope bullet.</w:t>
      </w:r>
    </w:p>
    <w:p>
      <w:r>
        <w:rPr>
          <w:rFonts w:ascii="Times New Roman" w:hAnsi="Times New Roman" w:cs="Times New Roman"/>
          <w:sz w:val="22"/>
        </w:rPr>
        <w:t>•  Milestone M3 — extended to include CR-07 demonstration on two tenants.</w:t>
      </w:r>
    </w:p>
    <w:p>
      <w:r>
        <w:rPr>
          <w:rFonts w:ascii="Times New Roman" w:hAnsi="Times New Roman" w:cs="Times New Roman"/>
          <w:sz w:val="22"/>
        </w:rPr>
        <w:t>•  Milestone M4 — extended to include CR-07 across all five tenants.</w:t>
      </w:r>
    </w:p>
    <w:p>
      <w:r>
        <w:rPr>
          <w:rFonts w:ascii="Times New Roman" w:hAnsi="Times New Roman" w:cs="Times New Roman"/>
          <w:sz w:val="22"/>
        </w:rPr>
        <w:t>•  Section 5.1 — adds a Palo Alto VM-Series appliance with per-tenant containers for at least three of five tenants during the POC review window.</w:t>
      </w:r>
    </w:p>
    <w:p>
      <w:r>
        <w:rPr>
          <w:rFonts w:ascii="Times New Roman" w:hAnsi="Times New Roman" w:cs="Times New Roman"/>
          <w:sz w:val="22"/>
        </w:rPr>
        <w:t>•  Section 5.2 — adds a synthetic DLP test corpus and an EICAR-style benign threat artifact.</w:t>
      </w:r>
    </w:p>
    <w:p>
      <w:r>
        <w:rPr>
          <w:rFonts w:ascii="Times New Roman" w:hAnsi="Times New Roman" w:cs="Times New Roman"/>
          <w:sz w:val="22"/>
        </w:rPr>
        <w:t>•  Section 5.3 — CVS Health provides the decrypt-exclusion list and DLP profile policy intent; vendor implements steering and exclusion; integrator implements appliance-side policy.</w:t>
      </w:r>
    </w:p>
    <w:p>
      <w:pPr>
        <w:pStyle w:val="Heading2"/>
      </w:pPr>
      <w:r>
        <w:rPr>
          <w:rFonts w:ascii="Times New Roman" w:hAnsi="Times New Roman" w:cs="Times New Roman"/>
        </w:rPr>
        <w:t>3.5 Vendor-specific realizations</w:t>
      </w:r>
    </w:p>
    <w:p>
      <w:r>
        <w:rPr>
          <w:rFonts w:ascii="Times New Roman" w:hAnsi="Times New Roman" w:cs="Times New Roman"/>
          <w:b/>
          <w:sz w:val="22"/>
        </w:rPr>
        <w:t>F5 Distributed Cloud.</w:t>
      </w:r>
    </w:p>
    <w:p>
      <w:r>
        <w:rPr>
          <w:rFonts w:ascii="Times New Roman" w:hAnsi="Times New Roman" w:cs="Times New Roman"/>
          <w:sz w:val="22"/>
        </w:rPr>
        <w:t>F5 realizes the steering primitive via service-policy chains attached to the per-tenant SSL profile, with PBR-into-VRF on the customer-edge data path delivering decrypted traffic to the per-tenant Palo Alto vsys. The decrypt-exclusion list is expressed as service-policy match conditions evaluated before the redirect chain. All primitives are first-class XC features; integration risk is rated low.</w:t>
      </w:r>
    </w:p>
    <w:p>
      <w:r>
        <w:rPr>
          <w:rFonts w:ascii="Times New Roman" w:hAnsi="Times New Roman" w:cs="Times New Roman"/>
          <w:b/>
          <w:sz w:val="22"/>
        </w:rPr>
        <w:t>Cloudflare.</w:t>
      </w:r>
    </w:p>
    <w:p>
      <w:r>
        <w:rPr>
          <w:rFonts w:ascii="Times New Roman" w:hAnsi="Times New Roman" w:cs="Times New Roman"/>
          <w:sz w:val="22"/>
        </w:rPr>
        <w:t>Cloudflare does not provide a first-class post-decryption steering primitive equivalent to an F5 service-policy chain. The Cloudflare integrator must propose and demonstrate one of three candidate realizations — GENEVE encapsulation via Magic Network, sub-tenant Workers, or a customer-operated Magic WAN on-ramp — each with different per-tenant isolation and key-custody implications. CR-07 is flagged in the Cloudflare deliverables document as the second-highest structural risk after CR-01.</w:t>
      </w:r>
    </w:p>
    <w:p>
      <w:pPr>
        <w:pStyle w:val="Heading1"/>
      </w:pPr>
      <w:r>
        <w:rPr>
          <w:rFonts w:ascii="Times New Roman" w:hAnsi="Times New Roman" w:cs="Times New Roman"/>
        </w:rPr>
        <w:t>4. Harness Specification — v1.1 → v1.2</w:t>
      </w:r>
    </w:p>
    <w:p>
      <w:r>
        <w:rPr>
          <w:rFonts w:ascii="Times New Roman" w:hAnsi="Times New Roman" w:cs="Times New Roman"/>
          <w:sz w:val="22"/>
        </w:rPr>
        <w:t>The harness specification revision turns the CR-07 contract into operational tests. The change set consists of one new environment section, one new test section, two new appendix sections, and supporting metadata updates.</w:t>
      </w:r>
    </w:p>
    <w:p>
      <w:pPr>
        <w:pStyle w:val="Heading2"/>
      </w:pPr>
      <w:r>
        <w:rPr>
          <w:rFonts w:ascii="Times New Roman" w:hAnsi="Times New Roman" w:cs="Times New Roman"/>
        </w:rPr>
        <w:t>4.1 Section 6.7 — Inspection Appliance (CR-07 Plumbing Test Peer)</w:t>
      </w:r>
    </w:p>
    <w:p>
      <w:r>
        <w:rPr>
          <w:rFonts w:ascii="Times New Roman" w:hAnsi="Times New Roman" w:cs="Times New Roman"/>
          <w:sz w:val="22"/>
        </w:rPr>
        <w:t>A new CVS-side environment section formalizes the harness inspection appliance as a Palo Alto VM-Series instance with three vsys (one per inspection-enabled tenant for the POC review window), with per-vsys DLP and Threat Prevention profiles tied to the §5.6 synthetic test corpus and EICAR artifact. The section is explicit that the appliance exists to verify the platform contract — not to evaluate the appliance product.</w:t>
      </w:r>
    </w:p>
    <w:p>
      <w:pPr>
        <w:pStyle w:val="Heading2"/>
      </w:pPr>
      <w:r>
        <w:rPr>
          <w:rFonts w:ascii="Times New Roman" w:hAnsi="Times New Roman" w:cs="Times New Roman"/>
        </w:rPr>
        <w:t>4.2 Section 7.1 — Inspection-plane integration requirement</w:t>
      </w:r>
    </w:p>
    <w:p>
      <w:r>
        <w:rPr>
          <w:rFonts w:ascii="Times New Roman" w:hAnsi="Times New Roman" w:cs="Times New Roman"/>
          <w:sz w:val="22"/>
        </w:rPr>
        <w:t>A new bullet added to §7.1 Common Requirements states the inspection-plane integration requirement that both vendors must satisfy: per-tenant steering primitive, decrypt-exclusion list, configurable failure semantics, and telemetry export with the correlation-ID schema used elsewhere in the harness. Sections 7.2 (F5) and 7.3 (Cloudflare) gain inspection-plane integration paragraphs aligned with the architecture Appendix P realizations.</w:t>
      </w:r>
    </w:p>
    <w:p>
      <w:pPr>
        <w:pStyle w:val="Heading2"/>
      </w:pPr>
      <w:r>
        <w:rPr>
          <w:rFonts w:ascii="Times New Roman" w:hAnsi="Times New Roman" w:cs="Times New Roman"/>
        </w:rPr>
        <w:t>4.3 Section 9.8 — CR-07 Inspection Plane Test Set</w:t>
      </w:r>
    </w:p>
    <w:p>
      <w:r>
        <w:rPr>
          <w:rFonts w:ascii="Times New Roman" w:hAnsi="Times New Roman" w:cs="Times New Roman"/>
          <w:sz w:val="22"/>
        </w:rPr>
        <w:t>A new test section adds twelve tests (I-01 through I-12) covering: per-tenant steering for inbound and outbound flows; per-tenant container scope; decrypt-exclusion pass-through and boundary cases; fail-closed and fail-open semantics; SSH session inspection; telemetry correlation; cross-tenant inspection adversarial; lifecycle inspection-container offboarding; and a throughput baseline with inspection enabled. The set runs after Layer 1 (single-tenant capability) and before Layer 2 (multi-tenant isolation) because CR-07 isolation tests depend on CR-01 having already validated per-tenant CA isolation. Total catalog moves from 90 tests to 102 tests.</w:t>
      </w:r>
    </w:p>
    <w:p>
      <w:pPr>
        <w:pStyle w:val="Heading2"/>
      </w:pPr>
      <w:r>
        <w:rPr>
          <w:rFonts w:ascii="Times New Roman" w:hAnsi="Times New Roman" w:cs="Times New Roman"/>
        </w:rPr>
        <w:t>4.4 Appendix B.5 and Appendix D.7</w:t>
      </w:r>
    </w:p>
    <w:p>
      <w:r>
        <w:rPr>
          <w:rFonts w:ascii="Times New Roman" w:hAnsi="Times New Roman" w:cs="Times New Roman"/>
          <w:sz w:val="22"/>
        </w:rPr>
        <w:t>•  Appendix B.5 — vendor-specific inspection-plane steering detail. F5 service-policy chains and PBR-into-VRF; Cloudflare’s three candidate realizations enumerated; vendor-neutrality test recorded.</w:t>
      </w:r>
    </w:p>
    <w:p>
      <w:r>
        <w:rPr>
          <w:rFonts w:ascii="Times New Roman" w:hAnsi="Times New Roman" w:cs="Times New Roman"/>
          <w:sz w:val="22"/>
        </w:rPr>
        <w:t>•  Appendix D.7 — a sample YAML catalog entry for I-04 (decrypt-exclusion pass-through) showing the test schema instantiated for CR-07, including pre/post assertions, evidence requirements, fail modes, and references.</w:t>
      </w:r>
    </w:p>
    <w:p>
      <w:pPr>
        <w:pStyle w:val="Heading2"/>
      </w:pPr>
      <w:r>
        <w:rPr>
          <w:rFonts w:ascii="Times New Roman" w:hAnsi="Times New Roman" w:cs="Times New Roman"/>
        </w:rPr>
        <w:t>4.5 Glossary and reference updates</w:t>
      </w:r>
    </w:p>
    <w:p>
      <w:r>
        <w:rPr>
          <w:rFonts w:ascii="Times New Roman" w:hAnsi="Times New Roman" w:cs="Times New Roman"/>
          <w:sz w:val="22"/>
        </w:rPr>
        <w:t>Glossary extended with CR-07, EW-06, NGFW, and vsys entries. Reference document list updated to point at Architecture v1.1, F5 POC v4, and Cloudflare POC v4.</w:t>
      </w:r>
    </w:p>
    <w:p>
      <w:pPr>
        <w:pStyle w:val="Heading1"/>
      </w:pPr>
      <w:r>
        <w:rPr>
          <w:rFonts w:ascii="Times New Roman" w:hAnsi="Times New Roman" w:cs="Times New Roman"/>
        </w:rPr>
        <w:t>5. Cross-Document Consistency Checks</w:t>
      </w:r>
    </w:p>
    <w:p>
      <w:r>
        <w:rPr>
          <w:rFonts w:ascii="Times New Roman" w:hAnsi="Times New Roman" w:cs="Times New Roman"/>
          <w:sz w:val="22"/>
        </w:rPr>
        <w:t>Three consistency points are explicitly audited as part of this revision; if any of them drifts in a future revision, all three documents must move together: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976"/>
        <w:gridCol w:w="2976"/>
        <w:gridCol w:w="2976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Consistency Check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Source of Truth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Where Mirrored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CR-07 acceptance criteria (CR-07.1 through CR-07.7)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F5 v4 §2.7 / Cloudflare v4 §2.7 (identical wording)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Architecture v1.1 Appendix P sections P.3–P.7; Harness v1.2 Section 9.8 test mapping; Harness v1.2 Section 7.1 common requirement.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EW-06 lifecycle steps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F5 v4 §2.8 / Cloudflare v4 §2.8 (identical wording)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Harness v1.2 Section 6.7 (provisioning) and Section 9.8 test I-11 (offboarding); Architecture v1.1 Section F.3.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Inspection-vendor neutrality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Architecture v1.1 Appendix P sections P.1 and P.9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POC v4 §2.7 narrative; Harness v1.2 Section 6.7 and Appendix B.5 vendor-neutrality test.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Scoring weights total = 100%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F5 v4 §6 / Cloudflare v4 §6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cs="Times New Roman"/>
                <w:sz w:val="22"/>
              </w:rPr>
              <w:t>POC v4 §6 only (harness does not score; harness emits evidence).</w:t>
            </w:r>
          </w:p>
        </w:tc>
      </w:tr>
    </w:tbl>
    <w:p>
      <w:r>
        <w:rPr>
          <w:rFonts w:ascii="Times New Roman" w:hAnsi="Times New Roman" w:cs="Times New Roman"/>
          <w:i/>
          <w:sz w:val="22"/>
        </w:rPr>
        <w:t>Table 4. Cross-Document Consistency Checks</w:t>
      </w:r>
    </w:p>
    <w:p>
      <w:pPr>
        <w:pStyle w:val="Heading1"/>
      </w:pPr>
      <w:r>
        <w:rPr>
          <w:rFonts w:ascii="Times New Roman" w:hAnsi="Times New Roman" w:cs="Times New Roman"/>
        </w:rPr>
        <w:t>6. What This Revision Does Not Do</w:t>
      </w:r>
    </w:p>
    <w:p>
      <w:r>
        <w:rPr>
          <w:rFonts w:ascii="Times New Roman" w:hAnsi="Times New Roman" w:cs="Times New Roman"/>
          <w:sz w:val="22"/>
        </w:rPr>
        <w:t>•  It does not select a DLP product. The reference platform (Palo Alto VM-Series) is named for concreteness; CR-07 is satisfied by any equivalent multi-tenant inspection platform.</w:t>
      </w:r>
    </w:p>
    <w:p>
      <w:r>
        <w:rPr>
          <w:rFonts w:ascii="Times New Roman" w:hAnsi="Times New Roman" w:cs="Times New Roman"/>
          <w:sz w:val="22"/>
        </w:rPr>
        <w:t>•  It does not score detection efficacy. Signature coverage, false-positive rate, and detection latency are out of scope for the 3PLZ POC; they belong to a separate DLP / threat-prevention selection program.</w:t>
      </w:r>
    </w:p>
    <w:p>
      <w:r>
        <w:rPr>
          <w:rFonts w:ascii="Times New Roman" w:hAnsi="Times New Roman" w:cs="Times New Roman"/>
          <w:sz w:val="22"/>
        </w:rPr>
        <w:t>•  It does not change the existing CR-01 through CR-06 acceptance criteria. Their acceptance text is unchanged; only the scoring weights were rebalanced to make room for CR-07’s 8%.</w:t>
      </w:r>
    </w:p>
    <w:p>
      <w:r>
        <w:rPr>
          <w:rFonts w:ascii="Times New Roman" w:hAnsi="Times New Roman" w:cs="Times New Roman"/>
          <w:sz w:val="22"/>
        </w:rPr>
        <w:t>•  It does not change the harness’s four-layer test structure. CR-07 tests are a sequenced subset that runs between Layer 1 and Layer 2; Layers 1 through 4 are otherwise unchanged.</w:t>
      </w:r>
    </w:p>
    <w:p>
      <w:r>
        <w:rPr>
          <w:rFonts w:ascii="Times New Roman" w:hAnsi="Times New Roman" w:cs="Times New Roman"/>
          <w:sz w:val="22"/>
        </w:rPr>
        <w:t>•  It does not commit either vendor to a specific implementation. F5’s service-policy / PBR-into-VRF realization is the expected path; Cloudflare’s realization is open and is the responsibility of the integrator to propose at kickoff.</w:t>
      </w:r>
    </w:p>
    <w:p>
      <w:pPr>
        <w:pStyle w:val="Heading1"/>
      </w:pPr>
      <w:r>
        <w:rPr>
          <w:rFonts w:ascii="Times New Roman" w:hAnsi="Times New Roman" w:cs="Times New Roman"/>
        </w:rPr>
        <w:t>7. Decision Points for Review</w:t>
      </w:r>
    </w:p>
    <w:p>
      <w:r>
        <w:rPr>
          <w:rFonts w:ascii="Times New Roman" w:hAnsi="Times New Roman" w:cs="Times New Roman"/>
          <w:sz w:val="22"/>
        </w:rPr>
        <w:t>Two decisions require leadership confirmation before the May 30 vendor-engagement window:</w:t>
      </w:r>
    </w:p>
    <w:p>
      <w:r>
        <w:rPr>
          <w:rFonts w:ascii="Times New Roman" w:hAnsi="Times New Roman" w:cs="Times New Roman"/>
          <w:sz w:val="22"/>
        </w:rPr>
        <w:t>•  Confirmation that CR-07 at 8% scoring weight is the correct relative emphasis. The weight reflects the framing that inspection-plane plumbing is critical to operate but is one capability among seven; raising or lowering the weight is a single-table edit that propagates to no other document.</w:t>
      </w:r>
    </w:p>
    <w:p>
      <w:r>
        <w:rPr>
          <w:rFonts w:ascii="Times New Roman" w:hAnsi="Times New Roman" w:cs="Times New Roman"/>
          <w:sz w:val="22"/>
        </w:rPr>
        <w:t>•  Confirmation that fail-closed is the correct harness-default semantics for CR-07.5. Fail-closed prevents traffic transit when the inspection appliance is unreachable; fail-open permits transit with explicit audit. The harness verifies whichever semantics the vendor demonstrates, but the default selected here biases the POC toward security-favored evaluation.</w:t>
      </w:r>
    </w:p>
    <w:p>
      <w:pPr>
        <w:pStyle w:val="Heading1"/>
      </w:pPr>
      <w:r>
        <w:rPr>
          <w:rFonts w:ascii="Times New Roman" w:hAnsi="Times New Roman" w:cs="Times New Roman"/>
        </w:rPr>
        <w:t>8. Distribution and Next Steps</w:t>
      </w:r>
    </w:p>
    <w:p>
      <w:r>
        <w:rPr>
          <w:rFonts w:ascii="Times New Roman" w:hAnsi="Times New Roman" w:cs="Times New Roman"/>
          <w:sz w:val="22"/>
        </w:rPr>
        <w:t>This summary is intended as the single-page-of-record covering the doc-set revision. The four documents below are the authoritative sources; this summary does not replace them.</w:t>
      </w:r>
    </w:p>
    <w:p>
      <w:r>
        <w:rPr>
          <w:rFonts w:ascii="Times New Roman" w:hAnsi="Times New Roman" w:cs="Times New Roman"/>
          <w:sz w:val="22"/>
        </w:rPr>
        <w:t>•  3PLZ Architecture Specification v1.1 — the inspection-plane contract (Appendix P) and the architectural rationale.</w:t>
      </w:r>
    </w:p>
    <w:p>
      <w:r>
        <w:rPr>
          <w:rFonts w:ascii="Times New Roman" w:hAnsi="Times New Roman" w:cs="Times New Roman"/>
          <w:sz w:val="22"/>
        </w:rPr>
        <w:t>•  F5 Distributed Cloud POC Deliverables v4 — F5-specific CR-07 acceptance, scoring, and realization.</w:t>
      </w:r>
    </w:p>
    <w:p>
      <w:r>
        <w:rPr>
          <w:rFonts w:ascii="Times New Roman" w:hAnsi="Times New Roman" w:cs="Times New Roman"/>
          <w:sz w:val="22"/>
        </w:rPr>
        <w:t>•  Cloudflare POC Deliverables v4 — Cloudflare-specific CR-07 acceptance, scoring, and realization (open evaluative).</w:t>
      </w:r>
    </w:p>
    <w:p>
      <w:r>
        <w:rPr>
          <w:rFonts w:ascii="Times New Roman" w:hAnsi="Times New Roman" w:cs="Times New Roman"/>
          <w:sz w:val="22"/>
        </w:rPr>
        <w:t>•  3PLZ POC Test Environment &amp; Harness Specification v1.2 — the operational verification of the contract.</w:t>
      </w:r>
    </w:p>
    <w:p/>
    <w:p>
      <w:r>
        <w:rPr>
          <w:rFonts w:ascii="Times New Roman" w:hAnsi="Times New Roman" w:cs="Times New Roman"/>
          <w:b/>
          <w:sz w:val="22"/>
        </w:rPr>
        <w:t>Next steps.</w:t>
      </w:r>
    </w:p>
    <w:p>
      <w:r>
        <w:rPr>
          <w:rFonts w:ascii="Times New Roman" w:hAnsi="Times New Roman" w:cs="Times New Roman"/>
          <w:sz w:val="22"/>
        </w:rPr>
        <w:t>•  May 5–7 — leadership review of this summary and confirmation of the two decision points in §7.</w:t>
      </w:r>
    </w:p>
    <w:p>
      <w:r>
        <w:rPr>
          <w:rFonts w:ascii="Times New Roman" w:hAnsi="Times New Roman" w:cs="Times New Roman"/>
          <w:sz w:val="22"/>
        </w:rPr>
        <w:t>•  May 8 — distribution of the v1.1 / v4 / v1.2 doc set to F5 and Cloudflare with a request for vendor-acceptance acknowledgment within ten business days.</w:t>
      </w:r>
    </w:p>
    <w:p>
      <w:r>
        <w:rPr>
          <w:rFonts w:ascii="Times New Roman" w:hAnsi="Times New Roman" w:cs="Times New Roman"/>
          <w:sz w:val="22"/>
        </w:rPr>
        <w:t>•  May 25 — kickoff workshop; Cloudflare integrator names the CR-07 realization to be demonstrated.</w:t>
      </w:r>
    </w:p>
    <w:p>
      <w:r>
        <w:rPr>
          <w:rFonts w:ascii="Times New Roman" w:hAnsi="Times New Roman" w:cs="Times New Roman"/>
          <w:sz w:val="22"/>
        </w:rPr>
        <w:t>•  M3 (per existing milestone) — first CR-07 demonstration on two tenants per vendor; harness Section 9.8 tests I-01 through I-09 executed.</w:t>
      </w:r>
    </w:p>
    <w:sectPr w:rsidR="0089686D">
      <w:headerReference w:type="default" r:id="rId7"/>
      <w:footerReference w:type="default" r:id="rId8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0A61" w14:textId="77777777" w:rsidR="00C54C34" w:rsidRDefault="00C54C34">
      <w:pPr>
        <w:spacing w:after="0" w:line="240" w:lineRule="auto"/>
      </w:pPr>
      <w:r>
        <w:separator/>
      </w:r>
    </w:p>
  </w:endnote>
  <w:endnote w:type="continuationSeparator" w:id="0">
    <w:p w14:paraId="5F2A4DF7" w14:textId="77777777" w:rsidR="00C54C34" w:rsidRDefault="00C54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0EC9" w14:textId="77777777" w:rsidR="0089686D" w:rsidRDefault="00000000">
    <w:pPr>
      <w:jc w:val="right"/>
    </w:pPr>
    <w:r>
      <w:rPr>
        <w:i/>
        <w:iCs/>
        <w:color w:val="888888"/>
        <w:sz w:val="16"/>
        <w:szCs w:val="16"/>
      </w:rPr>
      <w:t xml:space="preserve">Page </w:t>
    </w:r>
    <w:r>
      <w:rPr>
        <w:i/>
        <w:iCs/>
        <w:color w:val="888888"/>
        <w:sz w:val="16"/>
        <w:szCs w:val="16"/>
      </w:rPr>
      <w:fldChar w:fldCharType="begin"/>
    </w:r>
    <w:r>
      <w:rPr>
        <w:i/>
        <w:iCs/>
        <w:color w:val="888888"/>
        <w:sz w:val="16"/>
        <w:szCs w:val="16"/>
      </w:rPr>
      <w:instrText>PAGE</w:instrText>
    </w:r>
    <w:r>
      <w:rPr>
        <w:i/>
        <w:iCs/>
        <w:color w:val="888888"/>
        <w:sz w:val="16"/>
        <w:szCs w:val="16"/>
      </w:rPr>
      <w:fldChar w:fldCharType="separate"/>
    </w:r>
    <w:r w:rsidR="00A3064A">
      <w:rPr>
        <w:i/>
        <w:iCs/>
        <w:noProof/>
        <w:color w:val="888888"/>
        <w:sz w:val="16"/>
        <w:szCs w:val="16"/>
      </w:rPr>
      <w:t>1</w:t>
    </w:r>
    <w:r>
      <w:rPr>
        <w:i/>
        <w:iCs/>
        <w:color w:val="888888"/>
        <w:sz w:val="16"/>
        <w:szCs w:val="16"/>
      </w:rPr>
      <w:fldChar w:fldCharType="end"/>
    </w:r>
    <w:r>
      <w:rPr>
        <w:i/>
        <w:iCs/>
        <w:color w:val="888888"/>
        <w:sz w:val="16"/>
        <w:szCs w:val="16"/>
      </w:rPr>
      <w:t xml:space="preserve"> of </w:t>
    </w:r>
    <w:r>
      <w:rPr>
        <w:i/>
        <w:iCs/>
        <w:color w:val="888888"/>
        <w:sz w:val="16"/>
        <w:szCs w:val="16"/>
      </w:rPr>
      <w:fldChar w:fldCharType="begin"/>
    </w:r>
    <w:r>
      <w:rPr>
        <w:i/>
        <w:iCs/>
        <w:color w:val="888888"/>
        <w:sz w:val="16"/>
        <w:szCs w:val="16"/>
      </w:rPr>
      <w:instrText>NUMPAGES</w:instrText>
    </w:r>
    <w:r>
      <w:rPr>
        <w:i/>
        <w:iCs/>
        <w:color w:val="888888"/>
        <w:sz w:val="16"/>
        <w:szCs w:val="16"/>
      </w:rPr>
      <w:fldChar w:fldCharType="separate"/>
    </w:r>
    <w:r w:rsidR="00A3064A">
      <w:rPr>
        <w:i/>
        <w:iCs/>
        <w:noProof/>
        <w:color w:val="888888"/>
        <w:sz w:val="16"/>
        <w:szCs w:val="16"/>
      </w:rPr>
      <w:t>2</w:t>
    </w:r>
    <w:r>
      <w:rPr>
        <w:i/>
        <w:iCs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892E5" w14:textId="77777777" w:rsidR="00C54C34" w:rsidRDefault="00C54C34">
      <w:pPr>
        <w:spacing w:after="0" w:line="240" w:lineRule="auto"/>
      </w:pPr>
      <w:r>
        <w:separator/>
      </w:r>
    </w:p>
  </w:footnote>
  <w:footnote w:type="continuationSeparator" w:id="0">
    <w:p w14:paraId="3DDE809C" w14:textId="77777777" w:rsidR="00C54C34" w:rsidRDefault="00C54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AD68" w14:textId="77777777" w:rsidR="0089686D" w:rsidRDefault="00000000">
    <w:pPr>
      <w:jc w:val="left"/>
    </w:pPr>
    <w:r>
      <w:rPr>
        <w:i/>
        <w:iCs/>
        <w:color w:val="888888"/>
        <w:sz w:val="16"/>
        <w:szCs w:val="16"/>
      </w:rPr>
      <w:t>3PLZ Inspection-Plane Expansion — Executive Summary of Changes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40D7"/>
    <w:multiLevelType w:val="hybridMultilevel"/>
    <w:tmpl w:val="5728F3BE"/>
    <w:lvl w:ilvl="0" w:tplc="430ED2D2">
      <w:start w:val="1"/>
      <w:numFmt w:val="bullet"/>
      <w:lvlText w:val="●"/>
      <w:lvlJc w:val="left"/>
      <w:pPr>
        <w:ind w:left="720" w:hanging="360"/>
      </w:pPr>
    </w:lvl>
    <w:lvl w:ilvl="1" w:tplc="73BC8784">
      <w:start w:val="1"/>
      <w:numFmt w:val="bullet"/>
      <w:lvlText w:val="○"/>
      <w:lvlJc w:val="left"/>
      <w:pPr>
        <w:ind w:left="1440" w:hanging="360"/>
      </w:pPr>
    </w:lvl>
    <w:lvl w:ilvl="2" w:tplc="5DF260C0">
      <w:start w:val="1"/>
      <w:numFmt w:val="bullet"/>
      <w:lvlText w:val="■"/>
      <w:lvlJc w:val="left"/>
      <w:pPr>
        <w:ind w:left="2160" w:hanging="360"/>
      </w:pPr>
    </w:lvl>
    <w:lvl w:ilvl="3" w:tplc="0E02D9C0">
      <w:start w:val="1"/>
      <w:numFmt w:val="bullet"/>
      <w:lvlText w:val="●"/>
      <w:lvlJc w:val="left"/>
      <w:pPr>
        <w:ind w:left="2880" w:hanging="360"/>
      </w:pPr>
    </w:lvl>
    <w:lvl w:ilvl="4" w:tplc="3B4ADE4C">
      <w:start w:val="1"/>
      <w:numFmt w:val="bullet"/>
      <w:lvlText w:val="○"/>
      <w:lvlJc w:val="left"/>
      <w:pPr>
        <w:ind w:left="3600" w:hanging="360"/>
      </w:pPr>
    </w:lvl>
    <w:lvl w:ilvl="5" w:tplc="C666BAC0">
      <w:start w:val="1"/>
      <w:numFmt w:val="bullet"/>
      <w:lvlText w:val="■"/>
      <w:lvlJc w:val="left"/>
      <w:pPr>
        <w:ind w:left="4320" w:hanging="360"/>
      </w:pPr>
    </w:lvl>
    <w:lvl w:ilvl="6" w:tplc="F42836AE">
      <w:start w:val="1"/>
      <w:numFmt w:val="bullet"/>
      <w:lvlText w:val="●"/>
      <w:lvlJc w:val="left"/>
      <w:pPr>
        <w:ind w:left="5040" w:hanging="360"/>
      </w:pPr>
    </w:lvl>
    <w:lvl w:ilvl="7" w:tplc="1E0C3CDC">
      <w:start w:val="1"/>
      <w:numFmt w:val="bullet"/>
      <w:lvlText w:val="●"/>
      <w:lvlJc w:val="left"/>
      <w:pPr>
        <w:ind w:left="5760" w:hanging="360"/>
      </w:pPr>
    </w:lvl>
    <w:lvl w:ilvl="8" w:tplc="518E3E68">
      <w:start w:val="1"/>
      <w:numFmt w:val="bullet"/>
      <w:lvlText w:val="●"/>
      <w:lvlJc w:val="left"/>
      <w:pPr>
        <w:ind w:left="6480" w:hanging="360"/>
      </w:pPr>
    </w:lvl>
  </w:abstractNum>
  <w:num w:numId="1" w16cid:durableId="791442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86D"/>
    <w:rsid w:val="000942F2"/>
    <w:rsid w:val="0089686D"/>
    <w:rsid w:val="00A3064A"/>
    <w:rsid w:val="00C5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6C4E7"/>
  <w15:docId w15:val="{F2E48C84-0452-B441-9015-248F146A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Heading1">
    <w:name w:val="heading 1"/>
    <w:uiPriority w:val="9"/>
    <w:qFormat/>
    <w:pPr>
      <w:spacing w:before="360" w:after="160"/>
      <w:jc w:val="left"/>
      <w:outlineLvl w:val="0"/>
    </w:pPr>
    <w:rPr>
      <w:b/>
      <w:bCs/>
      <w:caps/>
      <w:sz w:val="26"/>
      <w:szCs w:val="26"/>
    </w:rPr>
  </w:style>
  <w:style w:type="paragraph" w:styleId="Heading2">
    <w:name w:val="heading 2"/>
    <w:uiPriority w:val="9"/>
    <w:unhideWhenUsed/>
    <w:qFormat/>
    <w:pPr>
      <w:spacing w:before="280"/>
      <w:jc w:val="left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10790</Words>
  <Characters>64852</Characters>
  <Application>Microsoft Office Word</Application>
  <DocSecurity>0</DocSecurity>
  <Lines>1323</Lines>
  <Paragraphs>957</Paragraphs>
  <ScaleCrop>false</ScaleCrop>
  <Company/>
  <LinksUpToDate>false</LinksUpToDate>
  <CharactersWithSpaces>74685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3PLZ POC Test Environment &amp; Harness Specification</dc:title>
  <dc:creator>Michael J. Martin</dc:creator>
  <dc:description>POC harness specification for the comparative evaluation of Cloudflare and F5 Distributed Cloud</dc:description>
  <cp:lastModifiedBy>Sam Martin</cp:lastModifiedBy>
  <cp:revision>2</cp:revision>
  <dcterms:created xsi:type="dcterms:W3CDTF">2026-04-30T02:21:00Z</dcterms:created>
  <dcterms:modified xsi:type="dcterms:W3CDTF">2026-04-30T02:27:00Z</dcterms:modified>
</cp:coreProperties>
</file>