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THIRD-PARTY LANDING ZONE (3PLZ)</w:t>
      </w:r>
    </w:p>
    <w:p>
      <w:pPr>
        <w:spacing w:after="60"/>
        <w:jc w:val="center"/>
      </w:pPr>
      <w:r>
        <w:rPr>
          <w:rFonts w:ascii="Times New Roman" w:cs="Times New Roman" w:eastAsia="Times New Roman" w:hAnsi="Times New Roman"/>
          <w:sz w:val="26"/>
          <w:szCs w:val="26"/>
        </w:rPr>
        <w:t xml:space="preserve">Secure Access Edge Platform</w:t>
      </w:r>
    </w:p>
    <w:p>
      <w:pPr>
        <w:spacing w:after="60"/>
        <w:jc w:val="center"/>
      </w:pPr>
      <w:r>
        <w:rPr>
          <w:rFonts w:ascii="Times New Roman" w:cs="Times New Roman" w:eastAsia="Times New Roman" w:hAnsi="Times New Roman"/>
          <w:b/>
          <w:bCs/>
          <w:sz w:val="26"/>
          <w:szCs w:val="26"/>
        </w:rPr>
        <w:t xml:space="preserve">CLOUDFLARE</w:t>
      </w:r>
    </w:p>
    <w:p>
      <w:pPr>
        <w:spacing w:after="120"/>
        <w:jc w:val="center"/>
      </w:pPr>
      <w:r>
        <w:rPr>
          <w:rFonts w:ascii="Times New Roman" w:cs="Times New Roman" w:eastAsia="Times New Roman" w:hAnsi="Times New Roman"/>
          <w:sz w:val="24"/>
          <w:szCs w:val="24"/>
        </w:rPr>
        <w:t xml:space="preserve">POC Deliverables &amp; Engineering Implementation Workflows</w:t>
      </w:r>
    </w:p>
    <w:p>
      <w:pPr>
        <w:spacing w:after="80" w:before="120"/>
        <w:jc w:val="center"/>
      </w:pPr>
      <w:r>
        <w:rPr>
          <w:rFonts w:ascii="Times New Roman" w:cs="Times New Roman" w:eastAsia="Times New Roman" w:hAnsi="Times New Roman"/>
          <w:i/>
          <w:iCs/>
          <w:sz w:val="20"/>
          <w:szCs w:val="20"/>
        </w:rPr>
        <w:t xml:space="preserve">Table 1. Document Metadata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Field</w:t>
            </w:r>
          </w:p>
        </w:tc>
        <w:tc>
          <w:tcPr>
            <w:tcW w:type="dxa" w:w="4928"/>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Value</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Document Type</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POC Specification &amp; Engineering Workflow</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Program</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CVS Health — Third-Party Landing Zone (3PLZ)</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Vendor</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Cloudflare (with Systems Integrator)</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POC Completion</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July 30, 2026</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Self-Service Target</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September 30, 2026</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Revision</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r/>
            <w:r>
              <w:rPr>
                <w:rFonts w:ascii="Times New Roman" w:hAnsi="Times New Roman"/>
                <w:sz w:val="22"/>
              </w:rPr>
              <w:t>Rev 4 — Third-Party Inspection Plane Added (CR-07)</w:t>
            </w:r>
          </w:p>
        </w:tc>
      </w:tr>
      <w:tr>
        <w:tc>
          <w:tcPr>
            <w:tcW w:type="dxa" w:w="4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Classification</w:t>
            </w:r>
          </w:p>
        </w:tc>
        <w:tc>
          <w:tcPr>
            <w:tcW w:type="dxa" w:w="4928"/>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Confidential — Restricted Distribution</w:t>
            </w:r>
          </w:p>
        </w:tc>
      </w:tr>
    </w:tbl>
    <w:p>
      <w:pPr>
        <w:spacing w:after="0"/>
      </w:pPr>
      <w:r>
        <w:t xml:space="preserve"/>
      </w:r>
    </w:p>
    <w:p>
      <w:pPr>
        <w:shd w:fill="F5F5F5" w:val="clear"/>
        <w:spacing w:after="120" w:line="276" w:lineRule="exact"/>
        <w:jc w:val="both"/>
      </w:pPr>
      <w:r>
        <w:rPr>
          <w:rFonts w:ascii="Times New Roman" w:cs="Times New Roman" w:eastAsia="Times New Roman" w:hAnsi="Times New Roman"/>
          <w:i/>
          <w:iCs/>
          <w:sz w:val="20"/>
          <w:szCs w:val="20"/>
        </w:rPr>
        <w:t xml:space="preserve">STRUCTURAL CHALLENGE: Cloudflare's mTLS implementation is designed for internet-facing application protection within a single trust domain. This POC must demonstrate that per-tenant CA isolation — where each tenant has a dedicated intermediate CA whose trust scope is structurally separated from all other tenants — is achievable on the Cloudflare platform. This is the primary evaluation challenge for Cloudflare. If per-tenant CA isolation requires engineering construction rather than native platform capability, the implementation approach must be fully documented, and its structural integrity demonstrated under adversarial test conditions.</w:t>
      </w:r>
    </w:p>
    <w:p>
      <w:pPr>
        <w:spacing w:after="0"/>
      </w:pPr>
      <w:r>
        <w:t xml:space="preserve"/>
      </w:r>
    </w:p>
    <w:p>
      <w:pPr>
        <w:pageBreakBefore/>
      </w:pPr>
      <w:r>
        <w:t xml:space="preserve"/>
      </w:r>
    </w:p>
    <w:p>
      <w:pPr>
        <w:pStyle w:val="Heading1"/>
        <w:spacing w:after="160" w:before="360"/>
        <w:jc w:val="left"/>
      </w:pPr>
      <w:r>
        <w:rPr>
          <w:rFonts w:ascii="Times New Roman" w:cs="Times New Roman" w:eastAsia="Times New Roman" w:hAnsi="Times New Roman"/>
          <w:b/>
          <w:bCs/>
          <w:sz w:val="26"/>
          <w:szCs w:val="26"/>
        </w:rPr>
        <w:t xml:space="preserve">1. PURPOSE AND CONTEXT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document defines the proof-of-concept (POC) deliverables and engineering implementation workflows required from Cloudflare and its designated systems integrator to demonstrate fitness for the CVS Health Third-Party Landing Zone (3PLZ) platform.</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POC is not a vendor demonstration. It is a structured capability proof against a defined functional specification. The GW Platform RC3 POC — an operationally validated multi-tenant secure access edge — serves as the functional baseline. Cloudflare must demonstrate that equivalent capability can be delivered on the Cloudflare platform, implemented and operated by the integrator, with engineering workflows that form the foundation of the subsequent self-service delivery layer.</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Every requirement in this document maps directly to a proven capability in the GW Platform POC. The acceptance criteria are derived from that baseline. Demonstrating capability in isolation is insufficient — the POC must prove that capabilities compose correctly in a multi-tenant context with genuine per-tenant isolation.</w:t>
      </w:r>
    </w:p>
    <w:p>
      <w:pPr>
        <w:pStyle w:val="Heading2"/>
        <w:spacing w:after="120" w:before="280"/>
        <w:jc w:val="left"/>
      </w:pPr>
      <w:r>
        <w:rPr>
          <w:rFonts w:ascii="Times New Roman" w:cs="Times New Roman" w:eastAsia="Times New Roman" w:hAnsi="Times New Roman"/>
          <w:b/>
          <w:bCs/>
          <w:sz w:val="22"/>
          <w:szCs w:val="22"/>
        </w:rPr>
        <w:t xml:space="preserve">1.1 Evaluation Context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Cloudflare is being evaluated in parallel with F5 Distributed Cloud. Both vendors receive identical capability requirements and acceptance criteria. The evaluation is comparative and evidence-based. The vendor whose POC most completely and cleanly demonstrates the required capabilities — particularly per-tenant mTLS CA isolation, SSH managed access with credential vaulting, per-tenant DNS segmentation, and governed outbound mediation — will be selected as the production platform.</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Cloudflare's native strengths are edge network delivery, DNS control, HTTP/S inspection at global scale, and Zero Trust Gateway forward proxy. This POC must demonstrate whether those strengths extend to the specific multi-tenant service plane requirements of the 3PLZ program — including whether Cloudflare Gateway's per-policy architecture can deliver genuine per-tenant egress isolation — or whether the implementation requires significant custom engineering that introduces operational complexity and supportability risk.</w:t>
      </w:r>
    </w:p>
    <w:p>
      <w:pPr>
        <w:pStyle w:val="Heading2"/>
        <w:spacing w:after="120" w:before="280"/>
        <w:jc w:val="left"/>
      </w:pPr>
      <w:r>
        <w:rPr>
          <w:rFonts w:ascii="Times New Roman" w:cs="Times New Roman" w:eastAsia="Times New Roman" w:hAnsi="Times New Roman"/>
          <w:b/>
          <w:bCs/>
          <w:sz w:val="22"/>
          <w:szCs w:val="22"/>
        </w:rPr>
        <w:t xml:space="preserve">1.2 POC Scope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POC scope covers the three traffic patterns required for a minimum viable technical solution: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HTTPS/API — Bidirectional mTLS termination proxy with tenant-scoped CA trust isolation, backend application credential concealment, and service-catalog-driven provisioning. mTLS is required on both the inbound vector (partner-to-CVS) and the outbound vector (CVS-to-3PLZ): CVS must present a valid client certificate when initiating outbound connections through the 3PLZ platform. Full SSL/TLS session termination and inspection is required on both inbound and outbound paths — passthrough is not acceptable for SSL/TLS traffic.</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SSH Managed Access — Bidirectional SSH proxy with full session termination and inspection (not TCP passthrough). Inbound: TOTP-authenticated partner SSH sessions proxied to CVS internal hosts with per-service ACL enforcement, transparent credential injection from a vaulted credential store, and full session attribution. Outbound: CVS-initiated SSH sessions to third-party and partner hosts proxied through the governed platform with per-service ACL enforcement, credential vaulting, full session attribution, and complete session content inspection. SSH traffic must be terminated and inspected at the platform — TCP passthrough of SSH connections is not acceptable in either direction.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HTTPS/API Outbound (Enterprise-to-Partner) — CVS Health-initiated governed forward proxy with per-tenant destination allow-list (explicit host ACL), per-tenant DNS rewriting through the same CoreDNS construct, egress session audit, and mandatory full TLS inspection and mTLS enforcement. mTLS is required on the outbound vector: CVS must present a valid client certificate when connecting through the 3PLZ platform to third-party endpoints. TLS passthrough is not acceptable — all outbound SSL/TLS traffic must be terminated and inspected at the platform boundary.</w:t>
      </w:r>
    </w:p>
    <w:p>
      <w:r>
        <w:rPr>
          <w:rFonts w:ascii="Times New Roman" w:hAnsi="Times New Roman"/>
          <w:sz w:val="22"/>
        </w:rPr>
        <w:t>Third-Party Inline Inspection Plumbing — Plumbing for an external inspection device (Palo Alto NGFW VM-Series in the reference implementation; vendor-neutral contract) attached inline between mediation tiers for decrypted SSL/TLS and SSH workloads. The POC validates per-Tenant context preservation, key-custody boundary, fail-closed semantics, decrypt-exclusion handling, and lifecycle reversibility. The POC does not evaluate DLP or Threat Prevention profile content quality — only the integration plane.</w:t>
      </w:r>
    </w:p>
    <w:p>
      <w:pPr>
        <w:spacing w:after="120" w:before="0" w:line="276" w:lineRule="exact"/>
        <w:jc w:val="both"/>
      </w:pPr>
      <w:r>
        <w:rPr>
          <w:rFonts w:ascii="Times New Roman" w:cs="Times New Roman" w:eastAsia="Times New Roman" w:hAnsi="Times New Roman"/>
          <w:b w:val="false"/>
          <w:bCs w:val="false"/>
          <w:i w:val="false"/>
          <w:iCs w:val="false"/>
          <w:sz w:val="22"/>
          <w:szCs w:val="22"/>
        </w:rPr>
        <w:t>The following are explicitly out of scope for the POC phase: VDI proxy, deep SFTP payload inspection, and internet-facing WAF capability. These may be addressed in subsequent platform phases. Note: third-party inline inspection (DLP and Threat Prevention on decrypted SSL/SSH workloads) was previously listed as out of scope; as of Rev 4 it is in scope as plumbing/integration only — see CR-07 in section 2.7.</w:t>
      </w:r>
    </w:p>
    <w:p>
      <w:pPr>
        <w:spacing w:after="120" w:before="0" w:line="276" w:lineRule="exact"/>
        <w:jc w:val="both"/>
      </w:pPr>
      <w:r>
        <w:rPr>
          <w:rFonts w:ascii="Times New Roman" w:cs="Times New Roman" w:eastAsia="Times New Roman" w:hAnsi="Times New Roman"/>
          <w:b w:val="false"/>
          <w:bCs w:val="false"/>
          <w:i w:val="false"/>
          <w:iCs w:val="false"/>
          <w:sz w:val="22"/>
          <w:szCs w:val="22"/>
        </w:rPr>
        <w:t>Scope rationale: Third-party connectivity is architecturally bidirectional. Inbound mediation governs partner-to-CVS traffic. Outbound mediation governs CVS-to-partner traffic — API calls to vendor platforms, data pushes to partners, and outbound SaaS integrations. Without outbound coverage, the POC validates only half the trust boundary. CVS-initiated connections to third-party systems would continue to operate outside the governed exposure model, creating a structural asymmetry the 3PLZ program is explicitly designed to eliminate. Rev 4 adds a fourth dimension: content-level enforcement on decrypted flows. The architecture (v1.1, Appendix P) treats this as a Tenant-isolated, vendor-neutral inspection plane. The POC must demonstrate that the platform supports this plane as plumbing without violating Tenant isolation, without disclosing key material to the inspection device, and without altering Tenant routing or mediation topology when inspection is enabled or withdrawn.</w:t>
      </w:r>
    </w:p>
    <w:p>
      <w:pPr>
        <w:pStyle w:val="Heading1"/>
        <w:spacing w:after="160" w:before="360"/>
        <w:jc w:val="left"/>
      </w:pPr>
      <w:r>
        <w:rPr>
          <w:rFonts w:ascii="Times New Roman" w:cs="Times New Roman" w:eastAsia="Times New Roman" w:hAnsi="Times New Roman"/>
          <w:b/>
          <w:bCs/>
          <w:sz w:val="26"/>
          <w:szCs w:val="26"/>
        </w:rPr>
        <w:t xml:space="preserve">2. POC CAPABILITY REQUIREMENTS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following capabilities must be demonstrated during the POC. Each capability has defined acceptance criteria derived from the GW Platform functional specification. Partial demonstrations or capability-in-isolation demonstrations do not satisfy acceptance criteria — all capabilities must operate simultaneously across a minimum of five concurrent tenants.</w:t>
      </w:r>
    </w:p>
    <w:p>
      <w:pPr>
        <w:pStyle w:val="Heading2"/>
        <w:spacing w:after="120" w:before="280"/>
        <w:jc w:val="left"/>
      </w:pPr>
      <w:r>
        <w:rPr>
          <w:rFonts w:ascii="Times New Roman" w:cs="Times New Roman" w:eastAsia="Times New Roman" w:hAnsi="Times New Roman"/>
          <w:b/>
          <w:bCs/>
          <w:sz w:val="22"/>
          <w:szCs w:val="22"/>
        </w:rPr>
        <w:t xml:space="preserve">2.1 Capability CR-01: Per-Tenant mTLS Termination with CA Isolation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is the primary differentiating capability and the most structurally challenging requirement for the Cloudflare platform. Cloudflare's native mTLS model is designed for single-organization certificate validation at the edge — not multi-tenant CA isolation where each tenant's trust anchor must be structurally independent. The Cloudflare POC must either demonstrate native per-tenant CA isolation or provide a fully engineered and structurally sound implementation approach that achieves equivalent isolation guarantees. A policy-based workaround over a shared CA will not satisfy this requirement. mTLS is required bidirectionally: on the inbound path (partner presents cert to 3PLZ) and on the outbound path (CVS presents cert when connecting through 3PLZ to third-party endpoints). Per-tenant CA isolation must be enforced on both vectors. Full SSL/TLS session termination and inspection is mandatory — passthrough is not an acceptable implementation for either direction.</w:t>
      </w:r>
    </w:p>
    <w:p>
      <w:pPr>
        <w:spacing w:after="80" w:before="120"/>
        <w:jc w:val="center"/>
      </w:pPr>
      <w:r>
        <w:rPr>
          <w:rFonts w:ascii="Times New Roman" w:cs="Times New Roman" w:eastAsia="Times New Roman" w:hAnsi="Times New Roman"/>
          <w:i/>
          <w:iCs/>
          <w:sz w:val="20"/>
          <w:szCs w:val="20"/>
        </w:rPr>
        <w:t xml:space="preserve">Table 2. CR-01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Each tenant must have a dedicated intermediate CA. The CA private key must be scoped to that tenant and must not be accessible to any other tenant context. The tenant CA issues client certificates for both directions: partner client certs (for inbound mTLS) and CVS client certs (for outbound mTLS when CVS initiates connections through 3PLZ). Cloudflare must document whether this is a native platform capability or an engineered implementation.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Demonstrate five tenants with five independent CA chains. Show that a certificate issued under Tenant A CA is rejected by Tenant B proxy listener. Provide documentation of the isolation mechanism — whether native platform or engineered construct.</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Bidirectional mTLS enforcement. Inbound: partner presents a client certificate issued by the tenant intermediate CA; Cloudflare validates the certificate against that tenant's CA chain before proxying the request. Outbound: CVS presents a client certificate when connecting through 3PLZ to third-party endpoints; the platform validates the CVS certificate before forwarding the connection.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Inbound: successful connection with valid partner cert; rejected with cert from wrong CA; rejected with expired cert. Outbound: successful CVS-initiated connection with valid CVS client cert; rejected without valid cert.</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Backend application receives plain HTTP from Cloudflare. The application has no visibility into the mTLS exchange. No application modification is required.</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Capture traffic at the backend host and confirm plain HTTP with no client cert headers unless explicitly configured.</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 compromise or revocation for one tenant must have zero impact on other tenants.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Revoke Tenant A CA. Confirm Tenant B mTLS sessions continue uninterrupted.</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Certificate issuance workflow must be documented as a repeatable engineering step. The workflow must map to the onboarding workbook mTLS Certificate Requirements sheet.</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Provide the step-by-step issuance workflow. Execute it live during POC review for a new test tenant.</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2.2 Capability CR-02: SSH Managed Access with Credential Vaulting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SSH managed access capability must deliver the full managed session model in both directions — not TCP passthrough in either direction. The platform terminates every SSH session at the platform boundary, performs full SSH session inspection, authenticates the user independently of internal credentials, and opens the proxied session using credentials retrieved from a secure vault. TCP passthrough of SSH connections is explicitly prohibited. Inbound SSH: partner-initiated sessions to CVS internal hosts. Outbound SSH: CVS-initiated sessions to third-party/partner hosts, governed through the same platform with per-tenant ACL, credential vaulting, and full session audit.</w:t>
      </w:r>
    </w:p>
    <w:p>
      <w:pPr>
        <w:spacing w:after="80" w:before="120"/>
        <w:jc w:val="center"/>
      </w:pPr>
      <w:r>
        <w:rPr>
          <w:rFonts w:ascii="Times New Roman" w:cs="Times New Roman" w:eastAsia="Times New Roman" w:hAnsi="Times New Roman"/>
          <w:i/>
          <w:iCs/>
          <w:sz w:val="20"/>
          <w:szCs w:val="20"/>
        </w:rPr>
        <w:t xml:space="preserve">Table 3. CR-02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Bidirectional SSH authentication. Inbound: partner user authenticates to the Cloudflare platform using email identity and TOTP before any backend CVS connection is established. Outbound: CVS user or service account authenticates to the platform before any SSH connection to a third-party host is established. The platform validates TOTP (or equivalent strong authentication) in both directions.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Inbound: successful auth with valid TOTP; rejected with invalid TOTP; rejected with expired TOTP window. Outbound: successful CVS-initiated SSH session with valid authentication; rejected without valid authentication.</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Per-service ACL enforcement. Each service has a named user list. A user not in the service ACL must be denied even if TOTP passes.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User in ACL for Service A but not Service B. Confirm access to A, denial on B, with audit log for both.</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Credential vault is required for both directions. Inbound: internal CVS credentials (username/password or private key for backend host access) are stored in the vault; the partner user never handles internal CVS credentials; the platform injects them transparently. Outbound: third-party host credentials are stored in the vault; the CVS user or service never handles partner credentials directly; the platform injects them transparently.</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Inbound: connect as partner user; confirm backend CVS SSH daemon sees only the internal service account; confirm partner session provides no mechanism to retrieve internal credentials. Outbound: connect as CVS user; confirm third-party SSH host sees only the injected service account; confirm CVS session provides no mechanism to retrieve vault credentials.</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Full session audit log for both inbound and outbound SSH sessions: direction (inbound/outbound), source IP, user email or service account identity, service accessed, authentication outcome, ACL outcome, proxied host connected, session duration, bytes transferred, and session content summary (commands executed or data transferred where inspection is active).</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Review session log after a completed session. Confirm all fields present and accurate.</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isolation: a failure or misconfiguration in one tenant's SSH proxy must not affect any other tenant's SSH sessions.</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Force a proxy failure on Tenant A. Confirm Tenant B sessions continue without interruption.</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2.3 Capability CR-03: Per-Tenant DNS Rewriting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DNS rewriting is a load-bearing dependency for all name-initiated connections. The platform must provide genuinely isolated per-tenant DNS contexts — not shared DNS with per-tenant filtering rules.</w:t>
      </w:r>
    </w:p>
    <w:p>
      <w:pPr>
        <w:spacing w:after="80" w:before="120"/>
        <w:jc w:val="center"/>
      </w:pPr>
      <w:r>
        <w:rPr>
          <w:rFonts w:ascii="Times New Roman" w:cs="Times New Roman" w:eastAsia="Times New Roman" w:hAnsi="Times New Roman"/>
          <w:i/>
          <w:iCs/>
          <w:sz w:val="20"/>
          <w:szCs w:val="20"/>
        </w:rPr>
        <w:t xml:space="preserve">Table 4. CR-03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CR-03.1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Each tenant has an isolated DNS resolution context. A DNS query in Tenant A's context must not be resolvable in Tenant B's context unless both tenants have been explicitly configured with access to the same service.</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Query an internal name from Tenant A context. Confirm the SNAT inbound IP is returned. Query the same name from Tenant B context. Confirm no result or a different result appropriate to Tenant B.</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CR-03.2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A-record rewriting: when an internal DNS name resolves to a real internal IP, the platform intercepts the response and returns the tenant SNAT inbound identity. The real internal IP is never disclosed.</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Capture DNS response from the partner side. Confirm the returned A record is the SNAT inbound IP, not the real internal host address.</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CR-03.3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Conditional forwarding: internal domain queries forwarded to internal DNS resolvers, external queries forwarded to external resolvers. Forwarding configuration must be per-tenant.</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Configure Tenant A with internal domain suffix X and Tenant B with suffix Y. Confirm correct forwarder is used per tenant per query.</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CR-03.4</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DNS listener runs on tenant-specific VIP. No shared DNS listener is used across tenants.</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Show the DNS listener configuration for five tenants. Confirm each has a dedicated listener address.</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2.4 Capability CR-04: Tenant Lifecycle — Provisioning and Offboarding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lifecycle workflow is the foundation for the self-service delivery layer targeted for September 30. The POC must demonstrate that tenant provisioning and offboarding are fully automated, deterministic, and leave no residual state.</w:t>
      </w:r>
    </w:p>
    <w:p>
      <w:pPr>
        <w:spacing w:after="80" w:before="120"/>
        <w:jc w:val="center"/>
      </w:pPr>
      <w:r>
        <w:rPr>
          <w:rFonts w:ascii="Times New Roman" w:cs="Times New Roman" w:eastAsia="Times New Roman" w:hAnsi="Times New Roman"/>
          <w:i/>
          <w:iCs/>
          <w:sz w:val="20"/>
          <w:szCs w:val="20"/>
        </w:rPr>
        <w:t xml:space="preserve">Table 5. CR-04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Tenant onboarding is driven by a defined input schema that maps to the CVS Health Tenant Onboarding Workbook. All fields in the workbook must have a corresponding platform configuration parameter.</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Provide the input schema. Walk through workbook-to-schema field mapping during POC review.</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Provisioning is fully automated from the input schema. No manual per-tenant configuration steps are permitted after schema submission.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Submit a new tenant schema. Confirm all platform objects (proxy listener, CA, DNS context, vault entry, ACL, forward proxy policy) are created without manual intervention.</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Offboarding removes all tenant state. No residual objects, rules, certificates, vault entries, DNS configuration, outbound governed access policies, or DNS rewriting rules remain after offboarding completes.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Offboard a test tenant. Enumerate all platform objects and confirm zero residual state for that tenant ID.</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Acceptance test suite executes post-provisioning and confirms all capabilities — including inbound and outbound mediation — are functional before the tenant is marked active.</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Provision a tenant. Review the acceptance test output. Confirm all tests pass before ACTIVE state is set.</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The provisioning workflow must be documented as a step-by-step engineering workflow suitable for automation into a self-service portal API.</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Deliver the engineering workflow document as a POC deliverable. Each step must have a defined API call or CLI command.</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2.5 Capability CR-05: Multi-Tenant Isolation at Scale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All capabilities must operate simultaneously across a minimum of five concurrent tenants. Isolation properties must be verified across all tenant boundaries, not just demonstrated per-tenant in isolation.</w:t>
      </w:r>
    </w:p>
    <w:p>
      <w:pPr>
        <w:spacing w:after="80" w:before="120"/>
        <w:jc w:val="center"/>
      </w:pPr>
      <w:r>
        <w:rPr>
          <w:rFonts w:ascii="Times New Roman" w:cs="Times New Roman" w:eastAsia="Times New Roman" w:hAnsi="Times New Roman"/>
          <w:i/>
          <w:iCs/>
          <w:sz w:val="20"/>
          <w:szCs w:val="20"/>
        </w:rPr>
        <w:t xml:space="preserve">Table 6. CR-05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Five concurrent tenants with active mTLS proxy listeners, SSH managed access proxies, DNS listeners, and forward proxy policies running simultaneously.</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Demonstrate simultaneous active sessions across all five tenants during POC review.</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 certificate valid for Tenant A must be rejected by any other tenant's proxy listener.</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Attempt connection to Tenant B proxy using Tenant A certificate. Confirm rejection with appropriate TLS alert.</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An SSH session authenticated as a user in Tenant A must have no path to Tenant B resources.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From an active Tenant A SSH session, attempt to reach Tenant B internal host via any path. Confirm no reachability.</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CR-05.4</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Performance under concurrent load: all five tenants must maintain functional connectivity — both inbound and outbound — with no session interruption during a simulated load test.</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Run concurrent inbound and outbound connections across all five tenants for 30 minutes. Confirm zero session drops attributable to platform resource contention.</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2.6 Capability CR-06: Outbound Governed Access (Enterprise-to-Partner)</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capability addresses the outbound vector of the third-party connectivity use case. CVS-initiated connections to third-party systems must traverse a governed enforcement construct with per-tenant destination allow-list (explicit host ACL), per-tenant DNS rewriting through the same CoreDNS construct used for inbound, egress session audit, and mandatory full TLS inspection and mTLS enforcement. mTLS is required on the outbound vector — CVS must present a valid client certificate when initiating connections through 3PLZ to third-party endpoints. TLS passthrough is not an acceptable implementation for outbound SSL/TLS traffic.</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Cloudflare platform must demonstrate that outbound connections from CVS systems to third-party endpoints are mediated through a governed per-tenant enforcement path, that destinations are constrained to the tenant's declared service scope via explicit host ACL, that DNS resolution for outbound traffic traverses the same CoreDNS per-tenant construct, and that full egress audit telemetry is produced.</w:t>
      </w:r>
    </w:p>
    <w:p>
      <w:pPr>
        <w:shd w:fill="F5F5F5" w:val="clear"/>
        <w:spacing w:after="120" w:line="276" w:lineRule="exact"/>
        <w:jc w:val="both"/>
      </w:pPr>
      <w:r>
        <w:rPr>
          <w:rFonts w:ascii="Times New Roman" w:cs="Times New Roman" w:eastAsia="Times New Roman" w:hAnsi="Times New Roman"/>
          <w:i/>
          <w:iCs/>
          <w:sz w:val="20"/>
          <w:szCs w:val="20"/>
        </w:rPr>
        <w:t xml:space="preserve">Platform Note: Cloudflare Zero Trust Gateway and the existing CoreDNS per-tenant DNS construct are the candidate capabilities for outbound governed access. Cloudflare Gateway supports per-policy egress control, destination allow/block lists, and TLS inspection. The same CoreDNS rewriting used for inbound (CR-03) provides outbound DNS resolution through the governed path. mTLS is required on the outbound vector — CVS must present a valid client certificate when initiating connections through 3PLZ to third-party endpoints, and the platform must enforce and inspect those connections. Full TLS inspection is mandatory on the outbound path; passthrough is not acceptable. Outbound SSH must also be terminated and inspected — TCP passthrough is prohibited. The per-tenant policy isolation requirement remains: each tenant's Gateway policy must be structurally scoped so that Tenant A's egress policy cannot affect Tenant B's egress path. Cloudflare must document whether this is a native Zero Trust account-level construct or requires an engineered multi-account or namespace implementation, and must demonstrate structural isolation under adversarial test conditions.</w:t>
      </w:r>
    </w:p>
    <w:p>
      <w:pPr>
        <w:spacing w:after="80" w:before="120"/>
        <w:jc w:val="center"/>
      </w:pPr>
      <w:r>
        <w:rPr>
          <w:rFonts w:ascii="Times New Roman" w:cs="Times New Roman" w:eastAsia="Times New Roman" w:hAnsi="Times New Roman"/>
          <w:i/>
          <w:iCs/>
          <w:sz w:val="20"/>
          <w:szCs w:val="20"/>
        </w:rPr>
        <w:t xml:space="preserve">Table 7. CR-06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Each tenant has a dedicated outbound governed access policy scoped to its context with an explicit host ACL (destination allow-list). CVS-initiated outbound traffic destined for third-party endpoints must traverse the tenant's governed path. No shared or cross-tenant policy is permitted. Cloudflare must document whether per-tenant policy isolation is a native platform construct or an engineered implementation.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Configure outbound governed access policies for five tenants with distinct destination allow-lists. Show that a CVS system in Tenant A's context is governed through Tenant A's policy and cannot traverse Tenant B's policy. Provide documentation of the isolation mechanism.</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DNS rewriting for outbound traffic uses the same CoreDNS construct as inbound (CR-03). Outbound DNS resolution traverses the tenant's DNS context, ensuring all name-initiated outbound connections are governed. Destination allow-listing is enforced per tenant via explicit host ACL.</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Confirm outbound DNS queries resolve through the tenant's CoreDNS context. Confirm destination allow-list enforcement: connection to declared destination succeeds, connection to undeclared destination is blocked with audit log entry.</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Full outbound TLS inspection is mandatory. The platform must terminate and inspect all outbound SSL/TLS traffic. Passthrough configurations are not acceptable. The platform must also enforce mTLS client certificate presentation for CVS-initiated outbound connections.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Confirm full L7 TLS inspection is active for all tenant outbound traffic. Confirm CVS client certificate is presented and validated on outbound mTLS connections. Confirm that any attempt to configure passthrough is rejected by the platform or flagged as a policy violation.</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Full egress session audit log: source identity (CVS system or service account), tenant context, destination hostname/IP, destination port, connection outcome (allowed/blocked), bytes transferred, and timestamp.</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Review egress session log after completed allowed and blocked connection attempts. Confirm all fields present and accurate for both outcomes.</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isolation on egress: a misconfiguration or policy failure in one tenant's outbound governed access policy must not affect any other tenant's outbound connectivity.</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Force an outbound governed access policy failure on Tenant A. Confirm Tenant B outbound sessions continue without interruption and Tenant B policy is not affected.</w:t>
            </w:r>
          </w:p>
        </w:tc>
      </w:tr>
    </w:tbl>
    <w:p>
      <w:pPr>
        <w:spacing w:after="0"/>
      </w:pPr>
      <w:r>
        <w:t xml:space="preserve"/>
      </w:r>
    </w:p>
    <w:p>
      <w:pPr>
        <w:pageBreakBefore/>
      </w:pPr>
      <w:r>
        <w:t xml:space="preserve"/>
      </w:r>
    </w:p>
    <w:p>
      <w:pPr>
        <w:pStyle w:val="Heading2"/>
      </w:pPr>
      <w:r>
        <w:t>2.7 Capability CR-07: Third-Party Inline Inspection Plane</w:t>
      </w:r>
    </w:p>
    <w:p>
      <w:r>
        <w:rPr>
          <w:rFonts w:ascii="Times New Roman" w:hAnsi="Times New Roman"/>
          <w:sz w:val="22"/>
        </w:rPr>
        <w:t>Capability CR-07 establishes the integration contract for an external, third-party inspection device attached inline to the Cloudflare mediation path. Decrypted SSL/TLS and SSH cleartext is steered from the Cloudflare termination point through the inspection device and back, before re-encryption to the destination. The reference inspection device is Palo Alto Networks NGFW (VM-Series); the contract is vendor-neutral. This requirement is structurally challenging on the Cloudflare platform because Cloudflare's edge is not designed to hand decrypted traffic to a customer-managed inline appliance with per-Tenant context preservation. The Cloudflare integrator must propose the implementation approach during M1.</w:t>
      </w:r>
    </w:p>
    <w:p>
      <w:r>
        <w:rPr>
          <w:rFonts w:ascii="Times New Roman" w:hAnsi="Times New Roman"/>
          <w:sz w:val="22"/>
        </w:rPr>
        <w:t>Platform Note: Cloudflare's candidate primitives include Magic Network Interconnect with GENEVE-encapsulated steering to a customer-managed inspection cluster; sub-tenant or per-tenant Worker-based egress steering; or anchoring inspection at a customer-operated Magic WAN on-ramp adjacent to the inspection device. Whichever primitive is proposed must satisfy per-Tenant context preservation, flow symmetry, and key-custody boundary. This is the second-highest structural risk in the Cloudflare evaluation after CR-01.</w:t>
      </w:r>
    </w:p>
    <w:p>
      <w:r>
        <w:rPr>
          <w:rFonts w:ascii="Times New Roman" w:hAnsi="Times New Roman"/>
          <w:i/>
          <w:sz w:val="22"/>
        </w:rPr>
        <w:t>Table 8. CR-07 Acceptance Criteria</w:t>
      </w:r>
    </w:p>
    <w:tbl>
      <w:tblPr>
        <w:tblLook w:firstColumn="1" w:firstRow="1" w:lastColumn="0" w:lastRow="0" w:noHBand="0" w:noVBand="1" w:val="04A0"/>
        <w:tblW w:type="dxa" w:w="8928"/>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865"/>
        <w:gridCol w:w="2865"/>
        <w:gridCol w:w="2865"/>
      </w:tblGrid>
      <w:tr>
        <w:tc>
          <w:tcPr>
            <w:tcW w:type="dxa" w:w="2000"/>
          </w:tcPr>
          <w:p>
            <w:r/>
            <w:r>
              <w:rPr>
                <w:rFonts w:ascii="Times New Roman" w:hAnsi="Times New Roman"/>
                <w:b/>
                <w:sz w:val="22"/>
              </w:rPr>
              <w:t>Requirement</w:t>
            </w:r>
          </w:p>
        </w:tc>
        <w:tc>
          <w:tcPr>
            <w:tcW w:type="dxa" w:w="3464"/>
          </w:tcPr>
          <w:p>
            <w:r/>
            <w:r>
              <w:rPr>
                <w:rFonts w:ascii="Times New Roman" w:hAnsi="Times New Roman"/>
                <w:b/>
                <w:sz w:val="22"/>
              </w:rPr>
              <w:t>Description</w:t>
            </w:r>
          </w:p>
        </w:tc>
        <w:tc>
          <w:tcPr>
            <w:tcW w:type="dxa" w:w="3464"/>
          </w:tcPr>
          <w:p>
            <w:r/>
            <w:r>
              <w:rPr>
                <w:rFonts w:ascii="Times New Roman" w:hAnsi="Times New Roman"/>
                <w:b/>
                <w:sz w:val="22"/>
              </w:rPr>
              <w:t>Acceptance Criteria</w:t>
            </w:r>
          </w:p>
        </w:tc>
      </w:tr>
      <w:tr>
        <w:tc>
          <w:tcPr>
            <w:tcW w:type="dxa" w:w="2000"/>
          </w:tcPr>
          <w:p>
            <w:r/>
            <w:r>
              <w:rPr>
                <w:rFonts w:ascii="Times New Roman" w:hAnsi="Times New Roman"/>
                <w:sz w:val="22"/>
              </w:rPr>
              <w:t>CR-07.1</w:t>
            </w:r>
          </w:p>
        </w:tc>
        <w:tc>
          <w:tcPr>
            <w:tcW w:type="dxa" w:w="3464"/>
          </w:tcPr>
          <w:p>
            <w:r/>
            <w:r>
              <w:rPr>
                <w:rFonts w:ascii="Times New Roman" w:hAnsi="Times New Roman"/>
                <w:sz w:val="22"/>
              </w:rPr>
              <w:t>Traffic-Steering Primitive. The platform must redirect decrypted TLS and SSH cleartext from the mediation tier to a customer-managed third-party inspection device (Palo Alto NGFW VM-Series in the POC) and return it to the mediation tier for re-encryption. The chosen primitive (service chain, PBR-into-VRF, L2 redirect, or GENEVE/VXLAN encapsulation) must preserve flow symmetry.</w:t>
            </w:r>
          </w:p>
        </w:tc>
        <w:tc>
          <w:tcPr>
            <w:tcW w:type="dxa" w:w="3464"/>
          </w:tcPr>
          <w:p>
            <w:r/>
            <w:r>
              <w:rPr>
                <w:rFonts w:ascii="Times New Roman" w:hAnsi="Times New Roman"/>
                <w:sz w:val="22"/>
              </w:rPr>
              <w:t>Demonstrate inbound HTTPS and outbound HTTPS flows traversing the inspection device for a Tenant with inspection enabled; confirm via packet capture at the inspection device and at the egress that request and response transit the same inspection context. Disabling inspection for the Tenant withdraws the steering primitive cleanly without altering Tenant routing or mediation topology.</w:t>
            </w:r>
          </w:p>
        </w:tc>
      </w:tr>
      <w:tr>
        <w:tc>
          <w:tcPr>
            <w:tcW w:type="dxa" w:w="2000"/>
          </w:tcPr>
          <w:p>
            <w:r/>
            <w:r>
              <w:rPr>
                <w:rFonts w:ascii="Times New Roman" w:hAnsi="Times New Roman"/>
                <w:sz w:val="22"/>
              </w:rPr>
              <w:t>CR-07.2</w:t>
            </w:r>
          </w:p>
        </w:tc>
        <w:tc>
          <w:tcPr>
            <w:tcW w:type="dxa" w:w="3464"/>
          </w:tcPr>
          <w:p>
            <w:r/>
            <w:r>
              <w:rPr>
                <w:rFonts w:ascii="Times New Roman" w:hAnsi="Times New Roman"/>
                <w:sz w:val="22"/>
              </w:rPr>
              <w:t>Per-Tenant Context on Inspection Device. The inspection device must expose an isolated logical container per Tenant (vsys, VDOM, sub-tenant, or equivalent) with independent security policy, decryption profile, and log forwarding scope. No global policy rule observes traffic across Tenants.</w:t>
            </w:r>
          </w:p>
        </w:tc>
        <w:tc>
          <w:tcPr>
            <w:tcW w:type="dxa" w:w="3464"/>
          </w:tcPr>
          <w:p>
            <w:r/>
            <w:r>
              <w:rPr>
                <w:rFonts w:ascii="Times New Roman" w:hAnsi="Times New Roman"/>
                <w:sz w:val="22"/>
              </w:rPr>
              <w:t>Configure three Tenants on the inspection device, each in its own container. An operator role scoped to Tenant A's container must be unable to read or modify Tenant B's policies or logs (verified by adversarial test). A flow from Tenant A must produce a hit only in Tenant A's policy scope, never in Tenant B's.</w:t>
            </w:r>
          </w:p>
        </w:tc>
      </w:tr>
      <w:tr>
        <w:tc>
          <w:tcPr>
            <w:tcW w:type="dxa" w:w="2000"/>
          </w:tcPr>
          <w:p>
            <w:r/>
            <w:r>
              <w:rPr>
                <w:rFonts w:ascii="Times New Roman" w:hAnsi="Times New Roman"/>
                <w:sz w:val="22"/>
              </w:rPr>
              <w:t>CR-07.3</w:t>
            </w:r>
          </w:p>
        </w:tc>
        <w:tc>
          <w:tcPr>
            <w:tcW w:type="dxa" w:w="3464"/>
          </w:tcPr>
          <w:p>
            <w:r/>
            <w:r>
              <w:rPr>
                <w:rFonts w:ascii="Times New Roman" w:hAnsi="Times New Roman"/>
                <w:sz w:val="22"/>
              </w:rPr>
              <w:t>Key-Custody Boundary. TLS private keys and SSH host keys remain exclusively on the mediation platform. The inspection device receives cleartext only and does not perform TLS termination or SSH key exchange.</w:t>
            </w:r>
          </w:p>
        </w:tc>
        <w:tc>
          <w:tcPr>
            <w:tcW w:type="dxa" w:w="3464"/>
          </w:tcPr>
          <w:p>
            <w:r/>
            <w:r>
              <w:rPr>
                <w:rFonts w:ascii="Times New Roman" w:hAnsi="Times New Roman"/>
                <w:sz w:val="22"/>
              </w:rPr>
              <w:t>Configuration export from the inspection device confirms the absence of mediation-tier private key material. Negative test: the inspection device, with the mediation tier removed from the path, cannot independently terminate the same TLS or SSH session.</w:t>
            </w:r>
          </w:p>
        </w:tc>
      </w:tr>
      <w:tr>
        <w:tc>
          <w:tcPr>
            <w:tcW w:type="dxa" w:w="2000"/>
          </w:tcPr>
          <w:p>
            <w:r/>
            <w:r>
              <w:rPr>
                <w:rFonts w:ascii="Times New Roman" w:hAnsi="Times New Roman"/>
                <w:sz w:val="22"/>
              </w:rPr>
              <w:t>CR-07.4</w:t>
            </w:r>
          </w:p>
        </w:tc>
        <w:tc>
          <w:tcPr>
            <w:tcW w:type="dxa" w:w="3464"/>
          </w:tcPr>
          <w:p>
            <w:r/>
            <w:r>
              <w:rPr>
                <w:rFonts w:ascii="Times New Roman" w:hAnsi="Times New Roman"/>
                <w:sz w:val="22"/>
              </w:rPr>
              <w:t>Decrypt-Exclusion List. The mediation tier supports a per-Tenant decrypt-exclusion list (FQDN, URL category, destination IP range). Excluded flows are not decrypted and are not handed in cleartext to the inspection device.</w:t>
            </w:r>
          </w:p>
        </w:tc>
        <w:tc>
          <w:tcPr>
            <w:tcW w:type="dxa" w:w="3464"/>
          </w:tcPr>
          <w:p>
            <w:r/>
            <w:r>
              <w:rPr>
                <w:rFonts w:ascii="Times New Roman" w:hAnsi="Times New Roman"/>
                <w:sz w:val="22"/>
              </w:rPr>
              <w:t>Add at least three exclusion entries per test Tenant: one FQDN, one URL category (e.g., Health and Medicine), one destination IP range. Verify by pcap that excluded flows show no TLS termination by the mediation tier and produce no decryption or DLP event on the inspection device. The exclusion-application event itself is logged in the audit pipeline.</w:t>
            </w:r>
          </w:p>
        </w:tc>
      </w:tr>
      <w:tr>
        <w:tc>
          <w:tcPr>
            <w:tcW w:type="dxa" w:w="2000"/>
          </w:tcPr>
          <w:p>
            <w:r/>
            <w:r>
              <w:rPr>
                <w:rFonts w:ascii="Times New Roman" w:hAnsi="Times New Roman"/>
                <w:sz w:val="22"/>
              </w:rPr>
              <w:t>CR-07.5</w:t>
            </w:r>
          </w:p>
        </w:tc>
        <w:tc>
          <w:tcPr>
            <w:tcW w:type="dxa" w:w="3464"/>
          </w:tcPr>
          <w:p>
            <w:r/>
            <w:r>
              <w:rPr>
                <w:rFonts w:ascii="Times New Roman" w:hAnsi="Times New Roman"/>
                <w:sz w:val="22"/>
              </w:rPr>
              <w:t>Failure Semantics. Each Tenant declares fail-closed (default) or fail-open behavior on inspection-plane outage. The mediation tier enforces the declared behavior and the failure event is auditable.</w:t>
            </w:r>
          </w:p>
        </w:tc>
        <w:tc>
          <w:tcPr>
            <w:tcW w:type="dxa" w:w="3464"/>
          </w:tcPr>
          <w:p>
            <w:r/>
            <w:r>
              <w:rPr>
                <w:rFonts w:ascii="Times New Roman" w:hAnsi="Times New Roman"/>
                <w:sz w:val="22"/>
              </w:rPr>
              <w:t>Force the inspection device unreachable for one Tenant declared fail-closed: new sessions for that Tenant are denied with a policy-decision audit entry. Repeat for a Tenant declared fail-open: new sessions transit uninspected with an elevated audit entry. A second concurrent Tenant on the same path is unaffected.</w:t>
            </w:r>
          </w:p>
        </w:tc>
      </w:tr>
      <w:tr>
        <w:tc>
          <w:tcPr>
            <w:tcW w:type="dxa" w:w="2000"/>
          </w:tcPr>
          <w:p>
            <w:r/>
            <w:r>
              <w:rPr>
                <w:rFonts w:ascii="Times New Roman" w:hAnsi="Times New Roman"/>
                <w:sz w:val="22"/>
              </w:rPr>
              <w:t>CR-07.6</w:t>
            </w:r>
          </w:p>
        </w:tc>
        <w:tc>
          <w:tcPr>
            <w:tcW w:type="dxa" w:w="3464"/>
          </w:tcPr>
          <w:p>
            <w:r/>
            <w:r>
              <w:rPr>
                <w:rFonts w:ascii="Times New Roman" w:hAnsi="Times New Roman"/>
                <w:sz w:val="22"/>
              </w:rPr>
              <w:t>SSH Session Inspection. Decrypted SSH channel content (shell transcript, exec commands, sftp-subsystem operations) is exposed to the inspection device for content-level evaluation. Channel-type constraints are enforced.</w:t>
            </w:r>
          </w:p>
        </w:tc>
        <w:tc>
          <w:tcPr>
            <w:tcW w:type="dxa" w:w="3464"/>
          </w:tcPr>
          <w:p>
            <w:r/>
            <w:r>
              <w:rPr>
                <w:rFonts w:ascii="Times New Roman" w:hAnsi="Times New Roman"/>
                <w:sz w:val="22"/>
              </w:rPr>
              <w:t>From a partner SSH session through the mediation tier, run shell commands and an sftp file transfer. Confirm command transcripts and file metadata appear in the inspection device's logs under the correct Tenant container, with the session correlation ID carried through. A port-forward attempt is denied per protocol constraint and recorded.</w:t>
            </w:r>
          </w:p>
        </w:tc>
      </w:tr>
      <w:tr>
        <w:tc>
          <w:tcPr>
            <w:tcW w:type="dxa" w:w="2000"/>
          </w:tcPr>
          <w:p>
            <w:r/>
            <w:r>
              <w:rPr>
                <w:rFonts w:ascii="Times New Roman" w:hAnsi="Times New Roman"/>
                <w:sz w:val="22"/>
              </w:rPr>
              <w:t>CR-07.7</w:t>
            </w:r>
          </w:p>
        </w:tc>
        <w:tc>
          <w:tcPr>
            <w:tcW w:type="dxa" w:w="3464"/>
          </w:tcPr>
          <w:p>
            <w:r/>
            <w:r>
              <w:rPr>
                <w:rFonts w:ascii="Times New Roman" w:hAnsi="Times New Roman"/>
                <w:sz w:val="22"/>
              </w:rPr>
              <w:t>Telemetry Export with Correlation. Inspection device logs (verdict, threat, DLP, decryption) include the per-Tenant context identifier and the session correlation ID, and are exportable to enterprise SIEM and to Cortex XDR (or equivalent) over Tenant-isolated channels.</w:t>
            </w:r>
          </w:p>
        </w:tc>
        <w:tc>
          <w:tcPr>
            <w:tcW w:type="dxa" w:w="3464"/>
          </w:tcPr>
          <w:p>
            <w:r/>
            <w:r>
              <w:rPr>
                <w:rFonts w:ascii="Times New Roman" w:hAnsi="Times New Roman"/>
                <w:sz w:val="22"/>
              </w:rPr>
              <w:t>Generate a synthetic DLP-trigger payload (test PII pattern) on Tenant A; confirm the verdict log appears in the SIEM with both Tenant A's identifier and the originating session correlation ID, matching the mediation-tier session record. Tenant B's log channel must contain no Tenant A events.</w:t>
            </w:r>
          </w:p>
        </w:tc>
      </w:tr>
    </w:tbl>
    <w:p>
      <w:pPr>
        <w:pStyle w:val="Heading1"/>
        <w:spacing w:after="160" w:before="360"/>
        <w:jc w:val="left"/>
      </w:pPr>
      <w:r>
        <w:rPr>
          <w:rFonts w:ascii="Times New Roman" w:cs="Times New Roman" w:eastAsia="Times New Roman" w:hAnsi="Times New Roman"/>
          <w:b/>
          <w:bCs/>
          <w:sz w:val="26"/>
          <w:szCs w:val="26"/>
        </w:rPr>
        <w:t xml:space="preserve">3. ENGINEERING IMPLEMENTATION WORKFLOWS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following workflows define the step-by-step engineering implementation for each capability. These workflows serve two purposes: they define the POC implementation methodology, and they form the engineering blueprint for the self-service automation layer to be delivered by September 30. Each step must be executable as a discrete, automatable operation.</w:t>
      </w:r>
    </w:p>
    <w:p>
      <w:pPr>
        <w:pStyle w:val="Heading2"/>
        <w:spacing w:after="120" w:before="280"/>
        <w:jc w:val="left"/>
      </w:pPr>
      <w:r>
        <w:rPr>
          <w:rFonts w:ascii="Times New Roman" w:cs="Times New Roman" w:eastAsia="Times New Roman" w:hAnsi="Times New Roman"/>
          <w:b/>
          <w:bCs/>
          <w:sz w:val="22"/>
          <w:szCs w:val="22"/>
        </w:rPr>
        <w:t xml:space="preserve">3.1 Workflow EW-01: Tenant Provisioning End-to-End</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workflow covers the complete provisioning sequence for a new tenant from schema intake to ACTIVE state. It is the master workflow that orchestrates all sub-workflows below.</w:t>
      </w:r>
    </w:p>
    <w:p>
      <w:pPr>
        <w:spacing w:after="80" w:before="200"/>
        <w:jc w:val="left"/>
      </w:pPr>
      <w:r>
        <w:rPr>
          <w:rFonts w:ascii="Times New Roman" w:cs="Times New Roman" w:eastAsia="Times New Roman" w:hAnsi="Times New Roman"/>
          <w:b/>
          <w:bCs/>
          <w:i/>
          <w:iCs/>
          <w:sz w:val="22"/>
          <w:szCs w:val="22"/>
        </w:rPr>
        <w:t xml:space="preserve">Step 1: Receive and Validate Tenant Onboarding Schema</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Intake the completed Tenant Onboarding Workbook. Validate all mandatory fields: tenant organization details, IKE peer IP (must be public routable), remote network prefixes (must be unique across all active tenants), application access FQDN list, SSH proxy requirements if applicable, mTLS certificate subject and SAN, and outbound service scope (third-party destination hostnames and IP ranges). Reject incomplete submissions before proceeding.</w:t>
      </w:r>
    </w:p>
    <w:p>
      <w:pPr>
        <w:spacing w:after="80" w:before="200"/>
        <w:jc w:val="left"/>
      </w:pPr>
      <w:r>
        <w:rPr>
          <w:rFonts w:ascii="Times New Roman" w:cs="Times New Roman" w:eastAsia="Times New Roman" w:hAnsi="Times New Roman"/>
          <w:b/>
          <w:bCs/>
          <w:i/>
          <w:iCs/>
          <w:sz w:val="22"/>
          <w:szCs w:val="22"/>
        </w:rPr>
        <w:t xml:space="preserve">Step 2: Allocate Tenant Resources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Invoke the IPAM service to allocate: SNAT inbound identity (/32), SNAT outbound identity (/32), DNS listener VIP, SSH proxy VIP (if SSH enabled), and forward proxy egress VIP. Record all allocations in the tenant state store. Confirm uniqueness enforcement — no two tenants may share any allocated address.</w:t>
      </w:r>
    </w:p>
    <w:p>
      <w:pPr>
        <w:spacing w:after="80" w:before="200"/>
        <w:jc w:val="left"/>
      </w:pPr>
      <w:r>
        <w:rPr>
          <w:rFonts w:ascii="Times New Roman" w:cs="Times New Roman" w:eastAsia="Times New Roman" w:hAnsi="Times New Roman"/>
          <w:b/>
          <w:bCs/>
          <w:i/>
          <w:iCs/>
          <w:sz w:val="22"/>
          <w:szCs w:val="22"/>
        </w:rPr>
        <w:t xml:space="preserve">Step 3: Initialize Tenant PKI</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tenant intermediate CA under the platform root CA hierarchy. Store the CA private key in the tenant-scoped PKI store. Generate the CA chain bundle. Issue the initial client certificate based on the workbook mTLS Certificate Requirements sheet (CN and SAN as specified). Create the CRL distribution point. Enable the CRL refresh timer. Confirm: CA initialized, certificate issued, CRL active.</w:t>
      </w:r>
    </w:p>
    <w:p>
      <w:pPr>
        <w:spacing w:after="80" w:before="200"/>
        <w:jc w:val="left"/>
      </w:pPr>
      <w:r>
        <w:rPr>
          <w:rFonts w:ascii="Times New Roman" w:cs="Times New Roman" w:eastAsia="Times New Roman" w:hAnsi="Times New Roman"/>
          <w:b/>
          <w:bCs/>
          <w:i/>
          <w:iCs/>
          <w:sz w:val="22"/>
          <w:szCs w:val="22"/>
        </w:rPr>
        <w:t xml:space="preserve">Step 4: Provision mTLS Proxy Listener</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per-tenant Cloudflare service configuration on the assigned SNAT inbound IP. Attach the tenant SSL profile referencing the tenant intermediate CA chain. Configure the mTLS termination policy: client certificate required, CA trust anchored to tenant intermediate CA, certificate validation including CRL check. Configure the backend origin pointing to the internal application host(s) as defined in the Application Access sheet. Configure plain HTTP backend connection. Apply tenant-specific traffic policy. Document whether per-tenant CA trust is implemented via native Cloudflare capability or custom engineering construct. Additionally provision the outbound mTLS enforcement: configure the CVS client certificate and outbound SSL profile so that CVS-initiated connections through 3PLZ present a valid mTLS certificate to third-party endpoints. Full TLS inspection must be active on the outbound path — passthrough is not permitted.</w:t>
      </w:r>
    </w:p>
    <w:p>
      <w:pPr>
        <w:spacing w:after="80" w:before="200"/>
        <w:jc w:val="left"/>
      </w:pPr>
      <w:r>
        <w:rPr>
          <w:rFonts w:ascii="Times New Roman" w:cs="Times New Roman" w:eastAsia="Times New Roman" w:hAnsi="Times New Roman"/>
          <w:b/>
          <w:bCs/>
          <w:i/>
          <w:iCs/>
          <w:sz w:val="22"/>
          <w:szCs w:val="22"/>
        </w:rPr>
        <w:t xml:space="preserve">Step 5: Provision SSH Managed Access Proxy (if required)</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per-tenant SSH proxy listeners — one for inbound (partner-to-CVS) and one for outbound (CVS-to-third-party) on the assigned SSH proxy VIPs. Inbound: initialize the credential vault entry for internal CVS SSH credentials; configure TOTP provisioning for partner users; import the partner user access matrix; generate per-user TOTP secrets; configure per-service ACL files. Outbound: initialize the credential vault entry for third-party host credentials; configure CVS user or service account authentication; import the CVS outbound service access matrix; configure per-service ACL files for outbound sessions. Both listeners must perform full SSH session termination and inspection — TCP passthrough is prohibited. Confirm: vault initialized for both directions, TOTP secrets generated, ACLs loaded, both listeners active.</w:t>
      </w:r>
    </w:p>
    <w:p>
      <w:pPr>
        <w:spacing w:after="80" w:before="200"/>
        <w:jc w:val="left"/>
      </w:pPr>
      <w:r>
        <w:rPr>
          <w:rFonts w:ascii="Times New Roman" w:cs="Times New Roman" w:eastAsia="Times New Roman" w:hAnsi="Times New Roman"/>
          <w:b/>
          <w:bCs/>
          <w:i/>
          <w:iCs/>
          <w:sz w:val="22"/>
          <w:szCs w:val="22"/>
        </w:rPr>
        <w:t xml:space="preserve">Step 6: Provision Per-Tenant DNS Context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tenant DNS listener on the assigned DNS VIP port 53. Configure conditional forwarding rules: internal domain suffixes forwarded to internal DNS resolvers as defined in the DNS Rewriting sheet, external queries forwarded to external resolvers. Configure A-record rewrite rules: one per application service, mapping internal FQDN to SNAT inbound identity. Confirm: listener active, test query returns SNAT inbound IP, real internal IP is not disclosed in any response.</w:t>
      </w:r>
    </w:p>
    <w:p>
      <w:pPr>
        <w:spacing w:after="80" w:before="200"/>
        <w:jc w:val="left"/>
      </w:pPr>
      <w:r>
        <w:rPr>
          <w:rFonts w:ascii="Times New Roman" w:cs="Times New Roman" w:eastAsia="Times New Roman" w:hAnsi="Times New Roman"/>
          <w:b/>
          <w:bCs/>
          <w:i/>
          <w:iCs/>
          <w:sz w:val="22"/>
          <w:szCs w:val="22"/>
        </w:rPr>
        <w:t xml:space="preserve">Step 7: Provision Outbound Governed Access Policy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per-tenant Cloudflare Gateway outbound governed access policy scoped to the tenant context. Configure per-tenant DNS rewriting for outbound through the same CoreDNS construct (CR-03). Import the declared outbound service scope from the onboarding workbook (third-party hostnames and IP ranges). Build the destination allow-list (explicit host ACL): one entry per declared third-party service endpoint. Configure TLS inspection (full inspection mandatory; passthrough is not permitted). Configure egress audit logging to the tenant audit store. Assign the governed access policy to the tenant egress path. Document whether the per-tenant policy isolation is implemented via a native Cloudflare Zero Trust construct or an engineered implementation. Confirm: policy active, allow-list loaded, DNS rewriting functional, test connection to declared destination succeeds, test connection to undeclared destination is blocked with audit log entry.</w:t>
      </w:r>
    </w:p>
    <w:p>
      <w:pPr>
        <w:spacing w:after="80" w:before="200"/>
        <w:jc w:val="left"/>
      </w:pPr>
      <w:r>
        <w:rPr>
          <w:rFonts w:ascii="Times New Roman" w:cs="Times New Roman" w:eastAsia="Times New Roman" w:hAnsi="Times New Roman"/>
          <w:b/>
          <w:bCs/>
          <w:i/>
          <w:iCs/>
          <w:sz w:val="22"/>
          <w:szCs w:val="22"/>
        </w:rPr>
        <w:t xml:space="preserve">Step 8: Execute Acceptance Test Suite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Run the automated acceptance test suite: (1) Inbound mTLS connection with valid partner cert succeeds; (2) Inbound mTLS connection with invalid/wrong-tenant cert fails with correct TLS alert; (3) Outbound mTLS — CVS-initiated connection presents valid CVS client cert and succeeds; (4) Outbound mTLS — CVS-initiated connection without valid cert is rejected; (5) Inbound SSH managed access with valid TOTP succeeds; (6) Inbound SSH managed access with invalid TOTP fails; (7) Outbound SSH managed access — CVS-initiated session authenticates and succeeds; (8) Outbound SSH session is terminated and inspected at the platform — confirm no TCP passthrough; (9) DNS query returns SNAT inbound IP; (10) DNS query does not return real internal IP; (11) Outbound HTTPS connection to declared destination succeeds through governed path with full TLS inspection active; (12) Outbound connection to undeclared destination is blocked with audit log entry; (13) Outbound DNS resolves through tenant CoreDNS context; (14) Session log entries written for all inbound and outbound tests including SSH and mTLS; (15) Tenant isolation verified — Tenant A cert rejected by any other tenant listener; (16) Tenant A outbound governed access policy does not affect Tenant B egress. All tests must pass before proceeding.</w:t>
      </w:r>
    </w:p>
    <w:p>
      <w:pPr>
        <w:spacing w:after="80" w:before="200"/>
        <w:jc w:val="left"/>
      </w:pPr>
      <w:r>
        <w:rPr>
          <w:rFonts w:ascii="Times New Roman" w:cs="Times New Roman" w:eastAsia="Times New Roman" w:hAnsi="Times New Roman"/>
          <w:b/>
          <w:bCs/>
          <w:i/>
          <w:iCs/>
          <w:sz w:val="22"/>
          <w:szCs w:val="22"/>
        </w:rPr>
        <w:t xml:space="preserve">Step 9: Activate Tenant and Notify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Set tenant state to ACTIVE in the tenant state store. Record workflow run ID, provisioning timestamp, and accepting engineer identity. Update ServiceNow request to provisioned state. Deliver the mTLS client certificate P12 bundle to the partner contact via the secure delivery mechanism. Deliver the TOTP provisioning link to authorized users (if SSH enabled). Notify the tenant technical contact that provisioning is complete with connection test instructions.</w:t>
      </w:r>
    </w:p>
    <w:p>
      <w:pPr>
        <w:pStyle w:val="Heading2"/>
        <w:spacing w:after="120" w:before="280"/>
        <w:jc w:val="left"/>
      </w:pPr>
      <w:r>
        <w:rPr>
          <w:rFonts w:ascii="Times New Roman" w:cs="Times New Roman" w:eastAsia="Times New Roman" w:hAnsi="Times New Roman"/>
          <w:b/>
          <w:bCs/>
          <w:sz w:val="22"/>
          <w:szCs w:val="22"/>
        </w:rPr>
        <w:t xml:space="preserve">3.2 Workflow EW-02: mTLS Certificate Issuance and Delivery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workflow covers the certificate lifecycle operations that will occur routinely during production operation and must be automatable.</w:t>
      </w:r>
    </w:p>
    <w:p>
      <w:pPr>
        <w:spacing w:after="80" w:before="200"/>
        <w:jc w:val="left"/>
      </w:pPr>
      <w:r>
        <w:rPr>
          <w:rFonts w:ascii="Times New Roman" w:cs="Times New Roman" w:eastAsia="Times New Roman" w:hAnsi="Times New Roman"/>
          <w:b/>
          <w:bCs/>
          <w:i/>
          <w:iCs/>
          <w:sz w:val="22"/>
          <w:szCs w:val="22"/>
        </w:rPr>
        <w:t xml:space="preserve">Step 1: Receive Certificate Request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Accept CSR from partner (preferred) or generate key and certificate server-side (POC convenience only, not recommended for production). Validate CN and SAN match the onboarding workbook specification. Confirm tenant intermediate CA is initialized and CRL is active.</w:t>
      </w:r>
    </w:p>
    <w:p>
      <w:pPr>
        <w:spacing w:after="80" w:before="200"/>
        <w:jc w:val="left"/>
      </w:pPr>
      <w:r>
        <w:rPr>
          <w:rFonts w:ascii="Times New Roman" w:cs="Times New Roman" w:eastAsia="Times New Roman" w:hAnsi="Times New Roman"/>
          <w:b/>
          <w:bCs/>
          <w:i/>
          <w:iCs/>
          <w:sz w:val="22"/>
          <w:szCs w:val="22"/>
        </w:rPr>
        <w:t xml:space="preserve">Step 2: Issue Certificate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Sign the CSR (or generated key) with the tenant intermediate CA. Record certificate serial in the CA index. Set validity period per workbook specification (default 365 days, maximum 825 days). Generate the certificate bundle including the full CA chain.</w:t>
      </w:r>
    </w:p>
    <w:p>
      <w:pPr>
        <w:spacing w:after="80" w:before="200"/>
        <w:jc w:val="left"/>
      </w:pPr>
      <w:r>
        <w:rPr>
          <w:rFonts w:ascii="Times New Roman" w:cs="Times New Roman" w:eastAsia="Times New Roman" w:hAnsi="Times New Roman"/>
          <w:b/>
          <w:bCs/>
          <w:i/>
          <w:iCs/>
          <w:sz w:val="22"/>
          <w:szCs w:val="22"/>
        </w:rPr>
        <w:t xml:space="preserve">Step 3: Deliver Certificate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Package the certificate as a P12 bundle if requested. Stand up the temporary delivery endpoint on the tenant VIP port 8443. Authenticate the recipient with a one-time password delivered out-of-band. Provide download link with 3-attempt / 15-minute window. Shut down delivery endpoint automatically after delivery or expiry.</w:t>
      </w:r>
    </w:p>
    <w:p>
      <w:pPr>
        <w:spacing w:after="80" w:before="200"/>
        <w:jc w:val="left"/>
      </w:pPr>
      <w:r>
        <w:rPr>
          <w:rFonts w:ascii="Times New Roman" w:cs="Times New Roman" w:eastAsia="Times New Roman" w:hAnsi="Times New Roman"/>
          <w:b/>
          <w:bCs/>
          <w:i/>
          <w:iCs/>
          <w:sz w:val="22"/>
          <w:szCs w:val="22"/>
        </w:rPr>
        <w:t xml:space="preserve">Step 4: Record and Schedule Renewal</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Record issued certificate serial, subject, expiry date in the tenant certificate inventory. Schedule renewal notification at 60 days before expiry. Schedule automated renewal workflow at 30 days before expiry if the partner has provided standing CSR authorization.</w:t>
      </w:r>
    </w:p>
    <w:p>
      <w:pPr>
        <w:pStyle w:val="Heading2"/>
        <w:spacing w:after="120" w:before="280"/>
        <w:jc w:val="left"/>
      </w:pPr>
      <w:r>
        <w:rPr>
          <w:rFonts w:ascii="Times New Roman" w:cs="Times New Roman" w:eastAsia="Times New Roman" w:hAnsi="Times New Roman"/>
          <w:b/>
          <w:bCs/>
          <w:sz w:val="22"/>
          <w:szCs w:val="22"/>
        </w:rPr>
        <w:t xml:space="preserve">3.3 Workflow EW-03: Tenant Offboarding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offboarding workflow must be deterministic and must produce zero residual state. This workflow is as important as the provisioning workflow — ungoverned residual state is a primary risk driver in the current ASA estate.</w:t>
      </w:r>
    </w:p>
    <w:p>
      <w:pPr>
        <w:spacing w:after="80" w:before="200"/>
        <w:jc w:val="left"/>
      </w:pPr>
      <w:r>
        <w:rPr>
          <w:rFonts w:ascii="Times New Roman" w:cs="Times New Roman" w:eastAsia="Times New Roman" w:hAnsi="Times New Roman"/>
          <w:b/>
          <w:bCs/>
          <w:i/>
          <w:iCs/>
          <w:sz w:val="22"/>
          <w:szCs w:val="22"/>
        </w:rPr>
        <w:t xml:space="preserve">Step 1: Initiate Offboarding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Set tenant state to DEPROVISIONING. Record offboarding initiator identity, timestamp, and ServiceNow change reference. Block new connections to tenant listeners. Block new outbound connections through tenant governed access path. Allow existing sessions to drain with a defined grace period (default 5 minutes).</w:t>
      </w:r>
    </w:p>
    <w:p>
      <w:pPr>
        <w:spacing w:after="80" w:before="200"/>
        <w:jc w:val="left"/>
      </w:pPr>
      <w:r>
        <w:rPr>
          <w:rFonts w:ascii="Times New Roman" w:cs="Times New Roman" w:eastAsia="Times New Roman" w:hAnsi="Times New Roman"/>
          <w:b/>
          <w:bCs/>
          <w:i/>
          <w:iCs/>
          <w:sz w:val="22"/>
          <w:szCs w:val="22"/>
        </w:rPr>
        <w:t xml:space="preserve">Step 2: Remove Service Plane Objects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Delete the mTLS proxy virtual server and SSL profile. Delete the backend pool. Delete the SSH proxy listener, ACL files, and TOTP secrets. Delete the DNS listener, forwarding rules, and A-record rewrite rules. Delete the outbound governed access policy, destination allow-list entries, DNS rewriting rules for outbound, and TLS inspection configuration. Confirm each deletion before proceeding to the next object.</w:t>
      </w:r>
    </w:p>
    <w:p>
      <w:pPr>
        <w:spacing w:after="80" w:before="200"/>
        <w:jc w:val="left"/>
      </w:pPr>
      <w:r>
        <w:rPr>
          <w:rFonts w:ascii="Times New Roman" w:cs="Times New Roman" w:eastAsia="Times New Roman" w:hAnsi="Times New Roman"/>
          <w:b/>
          <w:bCs/>
          <w:i/>
          <w:iCs/>
          <w:sz w:val="22"/>
          <w:szCs w:val="22"/>
        </w:rPr>
        <w:t xml:space="preserve">Step 3: Revoke PKI</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Revoke the tenant intermediate CA. Update CRL. Revoke all issued certificates under the tenant CA. Remove CA chain from the platform CA store. Delete the CA private key and all associated key material. Confirm no references to the tenant CA remain in any active proxy configuration.</w:t>
      </w:r>
    </w:p>
    <w:p>
      <w:pPr>
        <w:spacing w:after="80" w:before="200"/>
        <w:jc w:val="left"/>
      </w:pPr>
      <w:r>
        <w:rPr>
          <w:rFonts w:ascii="Times New Roman" w:cs="Times New Roman" w:eastAsia="Times New Roman" w:hAnsi="Times New Roman"/>
          <w:b/>
          <w:bCs/>
          <w:i/>
          <w:iCs/>
          <w:sz w:val="22"/>
          <w:szCs w:val="22"/>
        </w:rPr>
        <w:t xml:space="preserve">Step 4: Release Address Allocations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Return SNAT inbound IP, SNAT outbound IP, DNS listener VIP, SSH proxy VIP, and forward proxy egress VIP to the IPAM pool. Confirm allocations are released and available for new tenant assignment.</w:t>
      </w:r>
    </w:p>
    <w:p>
      <w:pPr>
        <w:spacing w:after="80" w:before="200"/>
        <w:jc w:val="left"/>
      </w:pPr>
      <w:r>
        <w:rPr>
          <w:rFonts w:ascii="Times New Roman" w:cs="Times New Roman" w:eastAsia="Times New Roman" w:hAnsi="Times New Roman"/>
          <w:b/>
          <w:bCs/>
          <w:i/>
          <w:iCs/>
          <w:sz w:val="22"/>
          <w:szCs w:val="22"/>
        </w:rPr>
        <w:t xml:space="preserve">Step 5: Purge Credential Vault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Delete all credential vault entries for this tenant. Confirm vault has no remaining entries with this tenant ID. Confirm vault audit log records the deletion event with timestamp and operator identity.</w:t>
      </w:r>
    </w:p>
    <w:p>
      <w:pPr>
        <w:spacing w:after="80" w:before="200"/>
        <w:jc w:val="left"/>
      </w:pPr>
      <w:r>
        <w:rPr>
          <w:rFonts w:ascii="Times New Roman" w:cs="Times New Roman" w:eastAsia="Times New Roman" w:hAnsi="Times New Roman"/>
          <w:b/>
          <w:bCs/>
          <w:i/>
          <w:iCs/>
          <w:sz w:val="22"/>
          <w:szCs w:val="22"/>
        </w:rPr>
        <w:t xml:space="preserve">Step 6: Verify Zero Residual State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Execute the residual state verification scan: enumerate all platform objects tagged with this tenant ID — including outbound governed access policies, DNS rewriting rules, and egress allow-list entries. The result must be empty. Record the verification result in the offboarding record. Set tenant state to OFFBOARDED. Close the ServiceNow change record.</w:t>
      </w:r>
    </w:p>
    <w:p>
      <w:pPr>
        <w:pStyle w:val="Heading2"/>
        <w:spacing w:after="120" w:before="280"/>
        <w:jc w:val="left"/>
      </w:pPr>
      <w:r>
        <w:rPr>
          <w:rFonts w:ascii="Times New Roman" w:cs="Times New Roman" w:eastAsia="Times New Roman" w:hAnsi="Times New Roman"/>
          <w:b/>
          <w:bCs/>
          <w:sz w:val="22"/>
          <w:szCs w:val="22"/>
        </w:rPr>
        <w:t xml:space="preserve">3.4 Workflow EW-04: User Access Management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workflow covers the ongoing management of user access within an active tenant — adding users, removing users, and modifying service ACLs. This workflow must be self-service automatable.</w:t>
      </w:r>
    </w:p>
    <w:p>
      <w:pPr>
        <w:spacing w:after="80" w:before="200"/>
        <w:jc w:val="left"/>
      </w:pPr>
      <w:r>
        <w:rPr>
          <w:rFonts w:ascii="Times New Roman" w:cs="Times New Roman" w:eastAsia="Times New Roman" w:hAnsi="Times New Roman"/>
          <w:b/>
          <w:bCs/>
          <w:i/>
          <w:iCs/>
          <w:sz w:val="22"/>
          <w:szCs w:val="22"/>
        </w:rPr>
        <w:t xml:space="preserve">Step 1: Add User to Tenant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Validate user email address. Generate TOTP secret for the user. Add user to the service ACL files for each authorized service as defined in the updated User Access Matrix. Issue mTLS certificate if the user requires HTTPS application access. Record user entry in the tenant user inventory with service authorization scope.</w:t>
      </w:r>
    </w:p>
    <w:p>
      <w:pPr>
        <w:spacing w:after="80" w:before="200"/>
        <w:jc w:val="left"/>
      </w:pPr>
      <w:r>
        <w:rPr>
          <w:rFonts w:ascii="Times New Roman" w:cs="Times New Roman" w:eastAsia="Times New Roman" w:hAnsi="Times New Roman"/>
          <w:b/>
          <w:bCs/>
          <w:i/>
          <w:iCs/>
          <w:sz w:val="22"/>
          <w:szCs w:val="22"/>
        </w:rPr>
        <w:t xml:space="preserve">Step 2: Remove User from Tenant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Remove user from all service ACL files. Revoke the user's mTLS certificate if one was issued. Invalidate the user's TOTP secret. Confirm all active sessions for this user are terminated. Record removal in the tenant audit log.</w:t>
      </w:r>
    </w:p>
    <w:p>
      <w:pPr>
        <w:spacing w:after="80" w:before="200"/>
        <w:jc w:val="left"/>
      </w:pPr>
      <w:r>
        <w:rPr>
          <w:rFonts w:ascii="Times New Roman" w:cs="Times New Roman" w:eastAsia="Times New Roman" w:hAnsi="Times New Roman"/>
          <w:b/>
          <w:bCs/>
          <w:i/>
          <w:iCs/>
          <w:sz w:val="22"/>
          <w:szCs w:val="22"/>
        </w:rPr>
        <w:t xml:space="preserve">Step 3: Modify Service Authorization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Update the user's ACL membership across affected service ACL files. Hot-reload ACL files without service interruption. Confirm the updated authorization is effective for the next connection attempt. Record the change with before/after ACL state in the tenant audit log.</w:t>
      </w:r>
    </w:p>
    <w:p>
      <w:pPr>
        <w:pStyle w:val="Heading2"/>
        <w:spacing w:after="120" w:before="280"/>
        <w:jc w:val="left"/>
      </w:pPr>
      <w:r>
        <w:rPr>
          <w:rFonts w:ascii="Times New Roman" w:cs="Times New Roman" w:eastAsia="Times New Roman" w:hAnsi="Times New Roman"/>
          <w:b/>
          <w:bCs/>
          <w:sz w:val="22"/>
          <w:szCs w:val="22"/>
        </w:rPr>
        <w:t xml:space="preserve">3.5 Workflow EW-05: Outbound Governed Access Scope Management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workflow covers ongoing management of the declared outbound governed access scope for an active tenant — adding permitted third-party destinations to the explicit host ACL, removing destinations, modifying TLS inspection policy, and validating CoreDNS per-tenant DNS rewriting. This workflow must be self-service automatable and must enforce that no CVS-to-third-party traffic flows outside the declared scope.</w:t>
      </w:r>
    </w:p>
    <w:p>
      <w:pPr>
        <w:spacing w:after="80" w:before="200"/>
        <w:jc w:val="left"/>
      </w:pPr>
      <w:r>
        <w:rPr>
          <w:rFonts w:ascii="Times New Roman" w:cs="Times New Roman" w:eastAsia="Times New Roman" w:hAnsi="Times New Roman"/>
          <w:b/>
          <w:bCs/>
          <w:i/>
          <w:iCs/>
          <w:sz w:val="22"/>
          <w:szCs w:val="22"/>
        </w:rPr>
        <w:t xml:space="preserve">Step 1: Add Outbound Destination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Validate the requested destination (hostname or CIDR) against the enterprise destination policy — confirm the destination is not on the enterprise block-list. Add the destination entry to the tenant's Cloudflare Gateway governed access allow-list. Confirm the allow-list is hot-reloaded without service interruption to existing permitted connections. Record the addition in the tenant audit log with requestor identity, destination, and timestamp. Confirm a test connection to the new destination succeeds through the tenant governed access path.</w:t>
      </w:r>
    </w:p>
    <w:p>
      <w:pPr>
        <w:spacing w:after="80" w:before="200"/>
        <w:jc w:val="left"/>
      </w:pPr>
      <w:r>
        <w:rPr>
          <w:rFonts w:ascii="Times New Roman" w:cs="Times New Roman" w:eastAsia="Times New Roman" w:hAnsi="Times New Roman"/>
          <w:b/>
          <w:bCs/>
          <w:i/>
          <w:iCs/>
          <w:sz w:val="22"/>
          <w:szCs w:val="22"/>
        </w:rPr>
        <w:t xml:space="preserve">Step 2: Remove Outbound Destination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Remove the destination entry from the tenant's Cloudflare Gateway governed access allow-list. Terminate any active connections to the removed destination with a defined grace period (default 2 minutes). Confirm the policy is reloaded and test connections to the removed destination are now blocked. Record the removal in the tenant audit log with operator identity, destination, removal reason, and timestamp.</w:t>
      </w:r>
    </w:p>
    <w:p>
      <w:pPr>
        <w:spacing w:after="80" w:before="200"/>
        <w:jc w:val="left"/>
      </w:pPr>
      <w:r>
        <w:rPr>
          <w:rFonts w:ascii="Times New Roman" w:cs="Times New Roman" w:eastAsia="Times New Roman" w:hAnsi="Times New Roman"/>
          <w:b/>
          <w:bCs/>
          <w:i/>
          <w:iCs/>
          <w:sz w:val="22"/>
          <w:szCs w:val="22"/>
        </w:rPr>
        <w:t xml:space="preserve">Step 3: Modify TLS Inspection Policy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Update the TLS handling configuration for the specified destination scope (inspection on/off, certificate pinning). Confirm the change takes effect for new connections without interrupting existing permitted sessions. Record the before/after policy state in the tenant audit log.</w:t>
      </w:r>
    </w:p>
    <w:p>
      <w:pPr>
        <w:spacing w:after="80" w:before="200"/>
        <w:jc w:val="left"/>
      </w:pPr>
      <w:r>
        <w:rPr>
          <w:rFonts w:ascii="Times New Roman" w:cs="Times New Roman" w:eastAsia="Times New Roman" w:hAnsi="Times New Roman"/>
          <w:b/>
          <w:bCs/>
          <w:i/>
          <w:iCs/>
          <w:sz w:val="22"/>
          <w:szCs w:val="22"/>
        </w:rPr>
        <w:t xml:space="preserve">Step 4: Validate Scope Integrity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After any allow-list modification, run the scope integrity check: enumerate all active Cloudflare Gateway governed access allow-list entries for the tenant and confirm each entry maps to a destination declared in the current onboarding workbook or an approved scope extension request. Flag any entry without a matching declaration for operator review. Record the validation result in the tenant audit log.</w:t>
      </w:r>
    </w:p>
    <w:p>
      <w:pPr>
        <w:pageBreakBefore/>
      </w:pPr>
      <w:r>
        <w:t xml:space="preserve"/>
      </w:r>
    </w:p>
    <w:p>
      <w:pPr>
        <w:pStyle w:val="Heading2"/>
      </w:pPr>
      <w:r>
        <w:t>3.6 Workflow EW-06: Inspection Plane Provisioning and Lifecycle</w:t>
      </w:r>
    </w:p>
    <w:p>
      <w:r>
        <w:rPr>
          <w:rFonts w:ascii="Times New Roman" w:hAnsi="Times New Roman"/>
          <w:sz w:val="22"/>
        </w:rPr>
        <w:t>EW-06 covers the engineering workflow for enabling, modifying, and withdrawing the third-party inspection plane for a Tenant. It is the self-service-targeted workflow for CR-07 and must be expressible as an automatable API sequence by July 30 (see Section 4.1). EW-06 is executed only on Tenants whose service catalog declares inspection.</w:t>
      </w:r>
    </w:p>
    <w:p>
      <w:r>
        <w:rPr>
          <w:rFonts w:ascii="Times New Roman" w:hAnsi="Times New Roman"/>
          <w:sz w:val="22"/>
        </w:rPr>
        <w:t>Step 1: Validate Inspection Declaration in Tenant Configuration</w:t>
      </w:r>
    </w:p>
    <w:p>
      <w:r>
        <w:rPr>
          <w:rFonts w:ascii="Times New Roman" w:hAnsi="Times New Roman"/>
          <w:sz w:val="22"/>
        </w:rPr>
        <w:t>Read the inspection block from the Tenant Onboarding Workbook: inspection-enabled flag (boolean), failure mode (fail-closed | fail-open), inspection-device target (vsys/VDOM/sub-tenant identifier on the integrator-managed inspection appliance), DLP profile binding (reference to a CVS-supplied profile name), Threat Prevention profile binding, and decrypt-exclusion list (FQDNs, URL categories, IP ranges). Reject the workflow if inspection is enabled but any required field is missing.</w:t>
      </w:r>
    </w:p>
    <w:p>
      <w:r>
        <w:rPr>
          <w:rFonts w:ascii="Times New Roman" w:hAnsi="Times New Roman"/>
          <w:sz w:val="22"/>
        </w:rPr>
        <w:t>Step 2: Provision Per-Tenant Container on the Inspection Device</w:t>
      </w:r>
    </w:p>
    <w:p>
      <w:r>
        <w:rPr>
          <w:rFonts w:ascii="Times New Roman" w:hAnsi="Times New Roman"/>
          <w:sz w:val="22"/>
        </w:rPr>
        <w:t>Create the Tenant's logical container on the inspection appliance (Palo Alto vsys-tNN, or equivalent) via inspection-device API. Bind the declared DLP and Threat Prevention profiles. Bind the decrypt policy with the supplied exclusion list. Configure log forwarding to the Tenant-scoped SIEM channel and to the Cortex XDR collector. Verify by querying the device API that the container exists, profiles are attached, and log forwarding is active.</w:t>
      </w:r>
    </w:p>
    <w:p>
      <w:r>
        <w:rPr>
          <w:rFonts w:ascii="Times New Roman" w:hAnsi="Times New Roman"/>
          <w:sz w:val="22"/>
        </w:rPr>
        <w:t>Step 3: Configure Steering Primitive on the Mediation Platform</w:t>
      </w:r>
    </w:p>
    <w:p>
      <w:r>
        <w:rPr>
          <w:rFonts w:ascii="Times New Roman" w:hAnsi="Times New Roman"/>
          <w:sz w:val="22"/>
        </w:rPr>
        <w:t>Attach the chosen steering primitive (service chain, PBR-into-VRF, L2 redirect, or GENEVE/VXLAN encapsulation) to the Tenant's mediation objects so that decrypted ingress and egress flows transit the inspection container. Configure the failure-mode behavior (fail-closed or fail-open) per the Tenant declaration.</w:t>
      </w:r>
    </w:p>
    <w:p>
      <w:r>
        <w:rPr>
          <w:rFonts w:ascii="Times New Roman" w:hAnsi="Times New Roman"/>
          <w:sz w:val="22"/>
        </w:rPr>
        <w:t>Step 4: Validate End-to-End</w:t>
      </w:r>
    </w:p>
    <w:p>
      <w:r>
        <w:rPr>
          <w:rFonts w:ascii="Times New Roman" w:hAnsi="Times New Roman"/>
          <w:sz w:val="22"/>
        </w:rPr>
        <w:t>Run the EW-06 acceptance subset: an inbound mTLS request through the Tenant produces a decryption event in the correct inspection container and a verdict log in the Tenant's SIEM channel; an excluded destination produces no decryption event; inducing inspection-device unreachability produces the declared failure-mode behavior. Record results to the Tenant's audit log.</w:t>
      </w:r>
    </w:p>
    <w:p>
      <w:r>
        <w:rPr>
          <w:rFonts w:ascii="Times New Roman" w:hAnsi="Times New Roman"/>
          <w:sz w:val="22"/>
        </w:rPr>
        <w:t>Step 5: Modify Inspection Scope</w:t>
      </w:r>
    </w:p>
    <w:p>
      <w:r>
        <w:rPr>
          <w:rFonts w:ascii="Times New Roman" w:hAnsi="Times New Roman"/>
          <w:sz w:val="22"/>
        </w:rPr>
        <w:t>For an active Tenant, support runtime modification: add or remove decrypt-exclusion entries, change failure mode, swap DLP or Threat Prevention profile bindings. Each modification produces an audit event and takes effect for new sessions without interrupting existing permitted sessions.</w:t>
      </w:r>
    </w:p>
    <w:p>
      <w:r>
        <w:rPr>
          <w:rFonts w:ascii="Times New Roman" w:hAnsi="Times New Roman"/>
          <w:sz w:val="22"/>
        </w:rPr>
        <w:t>Step 6: Withdraw Inspection (Tenant-Scoped)</w:t>
      </w:r>
    </w:p>
    <w:p>
      <w:r>
        <w:rPr>
          <w:rFonts w:ascii="Times New Roman" w:hAnsi="Times New Roman"/>
          <w:sz w:val="22"/>
        </w:rPr>
        <w:t>When inspection is withdrawn for a Tenant (without deleting the Tenant), the steering primitive is removed cleanly, the per-Tenant container on the inspection device is suspended (retention window configurable; default 30 days), and Tenant routing and mediation topology remain unchanged. Verify by acceptance test that subsequent Tenant traffic transits the mediation tier without inspection and with no residual references to the suspended container.</w:t>
      </w:r>
    </w:p>
    <w:p>
      <w:r>
        <w:rPr>
          <w:rFonts w:ascii="Times New Roman" w:hAnsi="Times New Roman"/>
          <w:sz w:val="22"/>
        </w:rPr>
        <w:t>Step 7: Withdraw Inspection (Tenant Deletion)</w:t>
      </w:r>
    </w:p>
    <w:p>
      <w:r>
        <w:rPr>
          <w:rFonts w:ascii="Times New Roman" w:hAnsi="Times New Roman"/>
          <w:sz w:val="22"/>
        </w:rPr>
        <w:t>On Tenant deletion (per EW-03), the per-Tenant container, policy scope, decrypt-exclusion entries, and log forwarding configuration are removed from the inspection device. Confirm via inspection-device API that no objects retain references to the deleted Tenant and that log retention rolls off according to the configured retention window.</w:t>
      </w:r>
    </w:p>
    <w:p>
      <w:pPr>
        <w:pStyle w:val="Heading1"/>
        <w:spacing w:after="160" w:before="360"/>
        <w:jc w:val="left"/>
      </w:pPr>
      <w:r>
        <w:rPr>
          <w:rFonts w:ascii="Times New Roman" w:cs="Times New Roman" w:eastAsia="Times New Roman" w:hAnsi="Times New Roman"/>
          <w:b/>
          <w:bCs/>
          <w:sz w:val="26"/>
          <w:szCs w:val="26"/>
        </w:rPr>
        <w:t xml:space="preserve">4. POC DELIVERABLE SCHEDULE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All deliverables must be submitted by July 30, 2026. Partial submissions are not accepted — all deliverables in each milestone must be complete before the milestone is considered met.</w:t>
      </w:r>
    </w:p>
    <w:p>
      <w:pPr>
        <w:spacing w:after="80" w:before="120"/>
        <w:jc w:val="center"/>
      </w:pPr>
      <w:r>
        <w:rPr>
          <w:rFonts w:ascii="Times New Roman" w:cs="Times New Roman" w:eastAsia="Times New Roman" w:hAnsi="Times New Roman"/>
          <w:i/>
          <w:iCs/>
          <w:sz w:val="20"/>
          <w:szCs w:val="20"/>
        </w:rPr>
        <w:t>Table 9. POC Milestone Schedule</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Milestone</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Target Date</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Deliverables &amp; Owner</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April 14, 2026</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Environment setup confirmed. Platform tenancy model documented. Input schema mapped to Tenant Onboarding Workbook (including outbound service scope fields). Cloudflare and integrator resource plan confirmed. — Owner: Integrator</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May 16, 2026</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 mTLS per-tenant CA isolation demonstrated across 3 tenants — with documentation of isolation mechanism (native vs. engineered). EW-02 certificate issuance workflow documented and executed live. CR-03 DNS rewriting demonstrated. — Owner: Integrator + Cloudflare</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June 13, 2026</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 SSH managed access demonstrated. Credential vault operational. TOTP and ACL enforcement demonstrated. CR-06 outbound governed access demonstrated for 3 tenants: destination allow-list (explicit host ACL), CoreDNS per-tenant DNS rewriting, per-tenant Gateway policy isolation documented, egress audit log confirmed, blocked-destination test confirmed. EW-01 and EW-05 provisioning workflows documented. — Owner: Integrator</w:t>
            </w:r>
          </w:p>
          <w:p>
            <w:r>
              <w:rPr>
                <w:rFonts w:ascii="Times New Roman" w:hAnsi="Times New Roman"/>
                <w:sz w:val="22"/>
              </w:rPr>
              <w:t>CR-07 third-party inspection plane plumbing demonstrated on at least two Tenants — per-Tenant container on the inspection device, key-custody boundary verified, decrypt-exclusion list honored, and fail-closed behavior demonstrated.</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July 11, 2026</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 full multi-tenant (5 tenants) simultaneous operation demonstrated — inbound and outbound. CR-04 lifecycle automation demonstrated including offboarding with residual state verification (including outbound governed access policy teardown). All acceptance test suites passing including CR-06. — Owner: Integrator + Cloudflare</w:t>
            </w:r>
          </w:p>
          <w:p>
            <w:r>
              <w:rPr>
                <w:rFonts w:ascii="Times New Roman" w:hAnsi="Times New Roman"/>
                <w:sz w:val="22"/>
              </w:rPr>
              <w:t>CR-07 third-party inspection plane operating concurrently across the same five Tenants with no cross-Tenant policy bleed and per-Tenant log isolation verified.</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July 30, 2026</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Final POC report delivered. All engineering workflow documents finalized (EW-01 through EW-05). Self-service automation API specification delivered (foundation for September 30 target). POC review meeting conducted. — Owner: Integrator</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4.1 Self-Service Delivery Foundation (September 30 Target)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engineering workflows documented during the POC phase must be structured as automatable API sequences that form the foundation for the self-service portal. By July 30, the following must be delivered as part of the POC output: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API specification for each step in EW-01 (Tenant Provisioning) expressed as Cloudflare API calls or equivalent platform API operations — including outbound governed access policy provisioning (Step 7)</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API specification for EW-03 (Tenant Offboarding) with the same structure — including outbound governed access teardown, DNS rewriting cleanup, and residual state verification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API specification for EW-04 (User Access Management)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API specification for EW-05 (Outbound Governed Access Scope Management) — including destination add, remove, and scope integrity validation</w:t>
      </w:r>
    </w:p>
    <w:p>
      <w:r>
        <w:rPr>
          <w:rFonts w:ascii="Times New Roman" w:hAnsi="Times New Roman"/>
          <w:sz w:val="22"/>
        </w:rPr>
        <w:t>API specification for EW-06 (Inspection Plane Provisioning and Lifecycle) — including per-Tenant container provisioning, profile binding, decrypt-exclusion management, failure-mode declaration, and clean withdrawal sequences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Data schema definition mapping the Tenant Onboarding Workbook to platform API inputs — including the outbound service scope fields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Automation dependency map showing the sequence constraints and rollback points in each workflow</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These outputs enable the self-service portal development to begin immediately after POC completion, targeting September 30 delivery.</w:t>
      </w:r>
    </w:p>
    <w:p>
      <w:pPr>
        <w:pStyle w:val="Heading1"/>
        <w:spacing w:after="160" w:before="360"/>
        <w:jc w:val="left"/>
      </w:pPr>
      <w:r>
        <w:rPr>
          <w:rFonts w:ascii="Times New Roman" w:cs="Times New Roman" w:eastAsia="Times New Roman" w:hAnsi="Times New Roman"/>
          <w:b/>
          <w:bCs/>
          <w:sz w:val="26"/>
          <w:szCs w:val="26"/>
        </w:rPr>
        <w:t xml:space="preserve">5. POC ENVIRONMENT REQUIREMENTS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Cloudflare and the integrator are responsible for provisioning and operating the POC environment. The following requirements apply.</w:t>
      </w:r>
    </w:p>
    <w:p>
      <w:pPr>
        <w:pStyle w:val="Heading2"/>
        <w:spacing w:after="120" w:before="280"/>
        <w:jc w:val="left"/>
      </w:pPr>
      <w:r>
        <w:rPr>
          <w:rFonts w:ascii="Times New Roman" w:cs="Times New Roman" w:eastAsia="Times New Roman" w:hAnsi="Times New Roman"/>
          <w:b/>
          <w:bCs/>
          <w:sz w:val="22"/>
          <w:szCs w:val="22"/>
        </w:rPr>
        <w:t xml:space="preserve">5.1 Platform Configuration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Minimum five tenant contexts provisioned and simultaneously active during POC review</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Cloudflare tenant or dedicated environment — shared multi-customer environments are not acceptable for POC isolation testing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Dedicated integrator-managed credential vault (HashiCorp Vault or equivalent) — not a shared or demo instance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PKI hierarchy initialized with a platform root CA, five tenant intermediate CAs (one per test tenant), and operational CRL distribution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DNS listeners provisioned on per-tenant VIPs — shared DNS listener configurations are not acceptable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Per-tenant Cloudflare Gateway outbound governed access policies provisioned with distinct destination allow-lists (explicit host ACL) and CoreDNS per-tenant DNS rewriting — shared or default-permit egress configurations are not acceptable. Documentation of the Gateway policy isolation model (native vs. engineered) required before M3.</w:t>
      </w:r>
    </w:p>
    <w:p>
      <w:pPr>
        <w:pStyle w:val="Heading2"/>
        <w:spacing w:after="120" w:before="280"/>
        <w:jc w:val="left"/>
      </w:pPr>
      <w:r>
        <w:rPr>
          <w:rFonts w:ascii="Times New Roman" w:cs="Times New Roman" w:eastAsia="Times New Roman" w:hAnsi="Times New Roman"/>
          <w:b/>
          <w:bCs/>
          <w:sz w:val="22"/>
          <w:szCs w:val="22"/>
        </w:rPr>
        <w:t xml:space="preserve">5.2 Test Application Targets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integrator must provide or simulate the following backend targets for POC demonstration: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Two HTTPS application endpoints (simulating legacy HTTP applications that cannot support mTLS natively)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Two SSH-accessible hosts (simulating internal Linux hosts with SSH daemon)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Internal DNS resolver (simulating enterprise internal DNS)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Two simulated third-party HTTPS endpoints (simulating external vendor API platforms reachable via outbound governed access path — one declared in tenant allow-list, one not declared, to validate allow-list enforcement and CoreDNS DNS rewriting)</w:t>
      </w:r>
    </w:p>
    <w:p>
      <w:r>
        <w:rPr>
          <w:rFonts w:ascii="Times New Roman" w:hAnsi="Times New Roman"/>
          <w:sz w:val="22"/>
        </w:rPr>
        <w:t>Synthetic DLP test corpus — files and HTTP payload bodies containing benign synthetic PII patterns (test SSN, test credit-card numbers from public test BIN ranges, test PHI patterns) designed to trigger standard DLP profiles. Files are clearly labeled as test material. The corpus is staged on at least one internal host and one third-party endpoint to exercise inbound and outbound DLP paths.</w:t>
      </w:r>
    </w:p>
    <w:p>
      <w:r>
        <w:rPr>
          <w:rFonts w:ascii="Times New Roman" w:hAnsi="Times New Roman"/>
          <w:sz w:val="22"/>
        </w:rPr>
        <w:t>EICAR-style benign threat-detection artifact staged on at least one internal host and one third-party endpoint to exercise Threat Prevention profile detection without introducing real malware into the POC environment.</w:t>
      </w:r>
    </w:p>
    <w:p>
      <w:pPr>
        <w:pStyle w:val="Heading2"/>
        <w:spacing w:after="120" w:before="280"/>
        <w:jc w:val="left"/>
      </w:pPr>
      <w:r>
        <w:rPr>
          <w:rFonts w:ascii="Times New Roman" w:cs="Times New Roman" w:eastAsia="Times New Roman" w:hAnsi="Times New Roman"/>
          <w:b/>
          <w:bCs/>
          <w:sz w:val="22"/>
          <w:szCs w:val="22"/>
        </w:rPr>
        <w:t xml:space="preserve">5.3 CVS Health Participation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CVS Health will provide: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Two designated engineers to participate in milestone reviews and acceptance testing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 completed Tenant Onboarding Workbook template as the input specification (including outbound service scope fields)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Test partner credential packages (certificates and TOTP seeds) for POC connectivity testing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Acceptance test scenarios based on the GW Platform use case catalogue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Outbound scope declarations for each test tenant defining the permitted third-party destinations</w:t>
      </w:r>
    </w:p>
    <w:p>
      <w:r>
        <w:rPr>
          <w:rFonts w:ascii="Times New Roman" w:hAnsi="Times New Roman"/>
          <w:sz w:val="22"/>
        </w:rPr>
        <w:t>Per-tenant decrypt-exclusion list (FQDNs, URL categories, and destination IP ranges) reflecting the categories the enterprise privacy office requires to remain end-to-end encrypted (HR, healthcare, certificate-pinned destinations)</w:t>
      </w:r>
    </w:p>
    <w:p>
      <w:r>
        <w:rPr>
          <w:rFonts w:ascii="Times New Roman" w:hAnsi="Times New Roman"/>
          <w:sz w:val="22"/>
        </w:rPr>
        <w:t>DLP profile policy intent per tenant — pattern families to detect, verdict actions (alert vs block), and SIEM routing — expressed at policy-intent level for the integrator to translate into the inspection device's profile language</w:t>
      </w:r>
    </w:p>
    <w:p>
      <w:pPr>
        <w:pStyle w:val="Heading2"/>
        <w:spacing w:after="120" w:before="280"/>
        <w:jc w:val="left"/>
      </w:pPr>
      <w:r>
        <w:rPr>
          <w:rFonts w:ascii="Times New Roman" w:cs="Times New Roman" w:eastAsia="Times New Roman" w:hAnsi="Times New Roman"/>
          <w:b/>
          <w:bCs/>
          <w:sz w:val="22"/>
          <w:szCs w:val="22"/>
        </w:rPr>
        <w:t xml:space="preserve">5.4 Documentation Requirements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following documentation must be delivered as part of the POC:</w:t>
      </w:r>
    </w:p>
    <w:p>
      <w:pPr>
        <w:spacing w:after="80" w:before="120"/>
        <w:jc w:val="center"/>
      </w:pPr>
      <w:r>
        <w:rPr>
          <w:rFonts w:ascii="Times New Roman" w:cs="Times New Roman" w:eastAsia="Times New Roman" w:hAnsi="Times New Roman"/>
          <w:i/>
          <w:iCs/>
          <w:sz w:val="20"/>
          <w:szCs w:val="20"/>
        </w:rPr>
        <w:t>Table 10. Required Documentation</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Document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Content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Required By</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Platform Architecture</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How Cloudflare implements per-tenant proxy tenancy, CA isolation, DNS segmentation, and outbound governed access (explicit host ACL, CoreDNS DNS rewriting, egress audit) — distinguishing native platform capabilities from engineered constructs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M1</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Engineering Workflow Document</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Step-by-step workflows EW-01 through EW-05 with API call specifications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M4</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Tenant Isolation Model</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Formal description of the isolation boundaries between tenants — what is shared, what is per-tenant, and what structural enforcement prevents cross-tenant access on both inbound and outbound paths. Must explicitly address Cloudflare's mTLS CA isolation and outbound governed access policy isolation model.</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M2</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Self-Service API Specification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API sequence specifications for all lifecycle workflows including EW-05, structured for portal integration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M5</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POC Final Report</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Capability demonstration results against all acceptance criteria (CR-01 through CR-06), gap analysis distinguishing native capabilities from engineered constructs, and production readiness assessment</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M5</w:t>
            </w:r>
          </w:p>
        </w:tc>
      </w:tr>
    </w:tbl>
    <w:p>
      <w:pPr>
        <w:spacing w:after="0"/>
      </w:pPr>
      <w:r>
        <w:t xml:space="preserve"/>
      </w:r>
    </w:p>
    <w:p>
      <w:pPr>
        <w:pageBreakBefore/>
      </w:pPr>
      <w:r>
        <w:t xml:space="preserve"/>
      </w:r>
    </w:p>
    <w:p>
      <w:pPr>
        <w:pStyle w:val="Heading1"/>
        <w:spacing w:after="160" w:before="360"/>
        <w:jc w:val="left"/>
      </w:pPr>
      <w:r>
        <w:rPr>
          <w:rFonts w:ascii="Times New Roman" w:cs="Times New Roman" w:eastAsia="Times New Roman" w:hAnsi="Times New Roman"/>
          <w:b/>
          <w:bCs/>
          <w:sz w:val="26"/>
          <w:szCs w:val="26"/>
        </w:rPr>
        <w:t xml:space="preserve">6. EVALUATION CRITERIA AND SCORING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POC evaluation is comparative. Cloudflare is evaluated against F5 Distributed Cloud using the same criteria and weighting. The evaluation is conducted by the CVS Health architecture team with input from the designated integrator assessment lead.</w:t>
      </w:r>
    </w:p>
    <w:p>
      <w:pPr>
        <w:spacing w:after="80" w:before="120"/>
        <w:jc w:val="center"/>
      </w:pPr>
      <w:r>
        <w:rPr>
          <w:rFonts w:ascii="Times New Roman" w:cs="Times New Roman" w:eastAsia="Times New Roman" w:hAnsi="Times New Roman"/>
          <w:i/>
          <w:iCs/>
          <w:sz w:val="20"/>
          <w:szCs w:val="20"/>
        </w:rPr>
        <w:t>Table 11. Evaluation Scoring</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Evaluation Dimension (Weight)</w:t>
            </w:r>
          </w:p>
        </w:tc>
        <w:tc>
          <w:tcPr>
            <w:tcW w:type="dxa" w:w="4928"/>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What Is Being Assessed</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r/>
            <w:r>
              <w:rPr>
                <w:rFonts w:ascii="Times New Roman" w:hAnsi="Times New Roman"/>
                <w:b/>
                <w:sz w:val="22"/>
              </w:rPr>
              <w:t>Per-Tenant CA Isolation — CR-01 (23%)</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Genuine per-tenant CA trust separation at the platform level, not policy-based isolation over a shared CA. Native platform capability is weighted more favorably than an engineered construct of equivalent functional outcome.</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r/>
            <w:r>
              <w:rPr>
                <w:rFonts w:ascii="Times New Roman" w:hAnsi="Times New Roman"/>
                <w:b/>
                <w:sz w:val="22"/>
              </w:rPr>
              <w:t>SSH Managed Access Completeness — CR-02 (18%)</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Full managed session model including credential vaulting and transparent injection — not TCP passthrough. Bidirectional: both inbound (partner-to-CVS) and outbound (CVS-to-third-party) SSH must be fully terminated and inspected.</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r/>
            <w:r>
              <w:rPr>
                <w:rFonts w:ascii="Times New Roman" w:hAnsi="Times New Roman"/>
                <w:b/>
                <w:sz w:val="22"/>
              </w:rPr>
              <w:t>DNS Tenant Segmentation — CR-03 (10%)</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Genuine per-tenant DNS isolation — dedicated listener per tenant, not shared resolver with per-tenant filters</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r/>
            <w:r>
              <w:rPr>
                <w:rFonts w:ascii="Times New Roman" w:hAnsi="Times New Roman"/>
                <w:b/>
                <w:sz w:val="22"/>
              </w:rPr>
              <w:t>Lifecycle Automation Quality — CR-04 (18%)</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Completeness and quality of provisioning/offboarding workflows, including zero residual state on offboarding across all service plane objects including outbound governed access policies and DNS rewriting rules</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r/>
            <w:r>
              <w:rPr>
                <w:rFonts w:ascii="Times New Roman" w:hAnsi="Times New Roman"/>
                <w:b/>
                <w:sz w:val="22"/>
              </w:rPr>
              <w:t>Outbound Governed Access — CR-06 (10%)</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governed egress: explicit host ACL (destination allow-list), CoreDNS per-tenant rewriting, egress audit completeness, mandatory full TLS inspection, mTLS enforcement on outbound connections, SSH session termination and inspection, and isolation under failure. Native Cloudflare Gateway capability will be evaluated on both structural isolation quality and ability to enforce mandatory inspection and mTLS on all outbound traffic.</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r/>
            <w:r>
              <w:rPr>
                <w:rFonts w:ascii="Times New Roman" w:hAnsi="Times New Roman"/>
                <w:b/>
                <w:sz w:val="22"/>
              </w:rPr>
              <w:t>Self-Service API Readiness (8%)</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Quality and completeness of the API specifications delivered as POC output — these directly determine September 30 feasibility</w:t>
            </w:r>
          </w:p>
        </w:tc>
      </w:tr>
      <w:tr>
        <w:tc>
          <w:tcPr>
            <w:tcW w:type="dxa" w:w="4000"/>
            <w:tcBorders>
              <w:top w:val="none" w:color="000000" w:sz="0"/>
              <w:left w:val="none" w:color="000000" w:sz="0"/>
              <w:bottom w:val="single" w:color="000000" w:sz="12"/>
              <w:right w:val="none" w:color="000000" w:sz="0"/>
            </w:tcBorders>
            <w:tcMar>
              <w:top w:type="dxa" w:w="40"/>
              <w:left w:type="dxa" w:w="80"/>
              <w:bottom w:type="dxa" w:w="40"/>
              <w:right w:type="dxa" w:w="80"/>
            </w:tcMar>
          </w:tcPr>
          <w:p>
            <w:r/>
            <w:r>
              <w:rPr>
                <w:rFonts w:ascii="Times New Roman" w:hAnsi="Times New Roman"/>
                <w:b/>
                <w:sz w:val="22"/>
              </w:rPr>
              <w:t>Multi-Tenant Scale and Isolation — CR-05 (5%)</w:t>
            </w:r>
          </w:p>
        </w:tc>
        <w:tc>
          <w:tcPr>
            <w:tcW w:type="dxa" w:w="4928"/>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Demonstrated simultaneous operation across five tenants with verified cross-tenant isolation on both inbound and outbound paths</w:t>
            </w:r>
          </w:p>
        </w:tc>
      </w:tr>
      <w:tr>
        <w:tc>
          <w:tcPr>
            <w:tcW w:type="dxa" w:w="100"/>
          </w:tcPr>
          <w:p>
            <w:r/>
            <w:r>
              <w:rPr>
                <w:rFonts w:ascii="Times New Roman" w:hAnsi="Times New Roman"/>
                <w:b/>
                <w:sz w:val="22"/>
              </w:rPr>
              <w:t>Third-Party Inspection Plane — CR-07 (8%)</w:t>
            </w:r>
          </w:p>
        </w:tc>
        <w:tc>
          <w:tcPr>
            <w:tcW w:type="dxa" w:w="100"/>
          </w:tcPr>
          <w:p>
            <w:r/>
            <w:r>
              <w:rPr>
                <w:rFonts w:ascii="Times New Roman" w:hAnsi="Times New Roman"/>
                <w:sz w:val="22"/>
              </w:rPr>
              <w:t>Plumbing-only evaluation: per-Tenant context preservation on the inspection device, key-custody boundary, decrypt-exclusion handling, fail-closed semantics, lifecycle reversibility, telemetry correlation. DLP and Threat Prevention profile content quality is not scored.</w:t>
            </w:r>
          </w:p>
        </w:tc>
      </w:tr>
    </w:tbl>
    <w:p>
      <w:pPr>
        <w:spacing w:after="0"/>
      </w:pPr>
      <w:r>
        <w:t xml:space="preserve"/>
      </w:r>
    </w:p>
    <w:p>
      <w:pPr>
        <w:shd w:fill="F5F5F5" w:val="clear"/>
        <w:spacing w:after="120" w:line="276" w:lineRule="exact"/>
        <w:jc w:val="both"/>
      </w:pPr>
      <w:r>
        <w:rPr>
          <w:rFonts w:ascii="Times New Roman" w:cs="Times New Roman" w:eastAsia="Times New Roman" w:hAnsi="Times New Roman"/>
          <w:i/>
          <w:iCs/>
          <w:sz w:val="20"/>
          <w:szCs w:val="20"/>
        </w:rPr>
        <w:t xml:space="preserve">CRITICAL NOTE — CR-01: Per-tenant CA isolation carries the highest single weight (25%) because this is the requirement where Cloudflare faces the greatest structural challenge. Cloudflare's mTLS model is not natively designed for tenant-scoped CA isolation. The Cloudflare POC must either demonstrate this capability as a native platform feature or deliver a fully engineered implementation whose structural integrity is verifiable under adversarial test conditions. The quality and robustness of the CA isolation approach will be the decisive factor in the comparative evaluation against F5.</w:t>
      </w:r>
    </w:p>
    <w:p>
      <w:pPr>
        <w:shd w:fill="F5F5F5" w:val="clear"/>
        <w:spacing w:after="120" w:line="276" w:lineRule="exact"/>
        <w:jc w:val="both"/>
      </w:pPr>
      <w:r>
        <w:rPr>
          <w:rFonts w:ascii="Times New Roman" w:cs="Times New Roman" w:eastAsia="Times New Roman" w:hAnsi="Times New Roman"/>
          <w:i/>
          <w:iCs/>
          <w:sz w:val="20"/>
          <w:szCs w:val="20"/>
        </w:rPr>
        <w:t xml:space="preserve">OUTBOUND MEDIATION NOTE: CR-06 (Outbound Governed Access) is a minimum viable solution requirement. mTLS is required on the outbound vector — CVS must present a valid client certificate when connecting through 3PLZ to third-party endpoints. Full TLS session inspection is mandatory; passthrough is not acceptable. Outbound SSH must be terminated and inspected at the platform. Governed access control (destination allow-listing via explicit host ACL), CoreDNS per-tenant DNS rewriting, and egress audit are also mandatory. A POC that does not demonstrate governed outbound access validates only the inbound half of the third-party connectivity use case. Failure to demonstrate CR-06 renders the POC incomplete regardless of performance on other criteria.</w:t>
      </w:r>
    </w:p>
    <w:p>
      <w:r>
        <w:rPr>
          <w:rFonts w:ascii="Times New Roman" w:hAnsi="Times New Roman"/>
          <w:sz w:val="22"/>
        </w:rPr>
        <w:t>INSPECTION PLANE NOTE: CR-07 (Third-Party Inline Inspection) is a plumbing/integration requirement — not a DLP or Threat Prevention product evaluation. The POC verifies that the platform can attach an external inspection device inline with per-Tenant context preservation, key-custody integrity, decrypt-exclusion handling, fail-closed semantics, and clean lifecycle reversibility. The quality of the DLP profiles, threat signatures, and content engines on the inspection device is the responsibility of the inspection-device vendor (Palo Alto in the reference implementation) and is evaluated separately by the CVS Health security architecture team. A platform that satisfies CR-07 can be paired with any conformant inspection device per the vendor-neutral contract in Architecture v1.1, Appendix P.</w:t>
      </w:r>
    </w:p>
    <w:sectPr>
      <w:headerReference w:type="default" r:id="rId7"/>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Times New Roman" w:cs="Times New Roman" w:eastAsia="Times New Roman" w:hAnsi="Times New Roman"/>
        <w:i/>
        <w:iCs/>
        <w:color w:val="888888"/>
        <w:sz w:val="16"/>
        <w:szCs w:val="16"/>
      </w:rPr>
      <w:t xml:space="preserve">3PLZ POC Deliverables — Cloudflare</w:t>
    </w:r>
    <w:r>
      <w:rPr>
        <w:rFonts w:ascii="Times New Roman" w:cs="Times New Roman" w:eastAsia="Times New Roman" w:hAnsi="Times New Roman"/>
        <w:i/>
        <w:iCs/>
        <w:color w:val="888888"/>
        <w:sz w:val="16"/>
        <w:szCs w:val="16"/>
      </w:rPr>
      <w:t xml:space="preserve">			Page </w:t>
    </w:r>
    <w:r>
      <w:rPr>
        <w:rFonts w:ascii="Times New Roman" w:cs="Times New Roman" w:eastAsia="Times New Roman" w:hAnsi="Times New Roman"/>
        <w:i/>
        <w:iCs/>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i/>
        <w:iCs/>
        <w:color w:val="888888"/>
        <w:sz w:val="16"/>
        <w:szCs w:val="16"/>
      </w:rPr>
      <w:t xml:space="preserve"> of </w:t>
    </w:r>
    <w:r>
      <w:rPr>
        <w:rFonts w:ascii="Times New Roman" w:cs="Times New Roman" w:eastAsia="Times New Roman" w:hAnsi="Times New Roman"/>
        <w:i/>
        <w:iCs/>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20" w:before="280"/>
      <w:jc w:val="left"/>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2026-04-22T19:56:14.490Z</dcterms:created>
  <dcterms:modified xsi:type="dcterms:W3CDTF">2026-04-22T19:56:14.490Z</dcterms:modified>
</cp:coreProperties>
</file>

<file path=docProps/custom.xml><?xml version="1.0" encoding="utf-8"?>
<Properties xmlns="http://schemas.openxmlformats.org/officeDocument/2006/custom-properties" xmlns:vt="http://schemas.openxmlformats.org/officeDocument/2006/docPropsVTypes"/>
</file>