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pBdr>
          <w:left w:val="single" w:color="17447C" w:sz="24" w:space="12"/>
        </w:pBdr>
        <w:spacing w:after="60"/>
        <w:ind w:left="280"/>
      </w:pPr>
      <w:r>
        <w:rPr>
          <w:rFonts w:ascii="Arial" w:cs="Arial" w:eastAsia="Arial" w:hAnsi="Arial"/>
          <w:b w:val="false"/>
          <w:bCs w:val="false"/>
          <w:color w:val="595959"/>
          <w:sz w:val="18"/>
          <w:szCs w:val="18"/>
        </w:rPr>
        <w:t xml:space="preserve">CVS Health  |  Information Security</w:t>
      </w:r>
    </w:p>
    <w:p>
      <w:pPr>
        <w:pBdr>
          <w:left w:val="single" w:color="17447C" w:sz="24" w:space="12"/>
        </w:pBdr>
        <w:spacing w:after="60"/>
        <w:ind w:left="280"/>
      </w:pPr>
      <w:r>
        <w:rPr>
          <w:rFonts w:ascii="Arial" w:cs="Arial" w:eastAsia="Arial" w:hAnsi="Arial"/>
          <w:b w:val="false"/>
          <w:bCs w:val="false"/>
          <w:color w:val="404040"/>
          <w:sz w:val="40"/>
          <w:szCs w:val="40"/>
        </w:rPr>
        <w:t xml:space="preserve">CCD Platform — Intent-Based Networking &amp; Firewall Policy Modernization</w:t>
      </w:r>
    </w:p>
    <w:p>
      <w:pPr>
        <w:pBdr>
          <w:left w:val="single" w:color="17447C" w:sz="24" w:space="12"/>
        </w:pBdr>
        <w:spacing w:after="60"/>
        <w:ind w:left="280"/>
      </w:pPr>
      <w:r>
        <w:rPr>
          <w:rFonts w:ascii="Arial" w:cs="Arial" w:eastAsia="Arial" w:hAnsi="Arial"/>
          <w:b w:val="false"/>
          <w:bCs w:val="false"/>
          <w:color w:val="17447C"/>
          <w:sz w:val="28"/>
          <w:szCs w:val="28"/>
        </w:rPr>
        <w:t xml:space="preserve">Mid-Year Program Review  |  H1 2026</w:t>
      </w:r>
    </w:p>
    <w:p>
      <w:pPr>
        <w:pBdr>
          <w:left w:val="single" w:color="17447C" w:sz="24" w:space="12"/>
        </w:pBdr>
        <w:spacing w:after="480"/>
        <w:ind w:left="280"/>
      </w:pPr>
      <w:r>
        <w:rPr>
          <w:rFonts w:ascii="Arial" w:cs="Arial" w:eastAsia="Arial" w:hAnsi="Arial"/>
          <w:b w:val="false"/>
          <w:bCs w:val="false"/>
          <w:color w:val="595959"/>
          <w:sz w:val="18"/>
          <w:szCs w:val="18"/>
        </w:rPr>
        <w:t xml:space="preserve">June 2026  —  Lead Director, Information Security  |  CCD Platform Team</w:t>
      </w:r>
    </w:p>
    <w:p>
      <w:pPr>
        <w:spacing w:after="80"/>
      </w:pPr>
      <w:r>
        <w:t xml:space="preserve"/>
      </w:r>
    </w:p>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1.  Executive Summary</w:t>
      </w:r>
    </w:p>
    <w:p>
      <w:pPr>
        <w:spacing w:after="100"/>
      </w:pPr>
      <w:r>
        <w:rPr>
          <w:rFonts w:ascii="Arial" w:cs="Arial" w:eastAsia="Arial" w:hAnsi="Arial"/>
          <w:color w:val="595959"/>
          <w:sz w:val="20"/>
          <w:szCs w:val="20"/>
        </w:rPr>
        <w:t xml:space="preserve">The CCD (Cyber &amp; Compliance Data) Platform is an enterprise network security data engineering capability built to support intent-based firewall policy management across the merged CVS/Aetna estate. In H1 2026, the team completed the foundational data substrate and delivered a suite of purpose-built intelligence, analytics, and automation tools that directly support the July 30, 2026 Cisco Mesh Policy Engine (MPE) POC gate and the broader firewall consolidation program.</w:t>
      </w:r>
    </w:p>
    <w:p>
      <w:pPr>
        <w:spacing w:after="100"/>
      </w:pPr>
      <w:r>
        <w:rPr>
          <w:rFonts w:ascii="Arial" w:cs="Arial" w:eastAsia="Arial" w:hAnsi="Arial"/>
          <w:color w:val="595959"/>
          <w:sz w:val="20"/>
          <w:szCs w:val="20"/>
        </w:rPr>
        <w:t xml:space="preserve">The platform manages over 25,281 registered IP prefixes across three routing domains (Internal-PBM, Internal-HCB, Internal-Retail), feeds Palo Alto Panorama firewall object libraries, CSNA Stealthwatch exports, and Externally Defined List (EDL) feeds. It provides authoritative attribution for every IP address in the CVS Health enterprise — the data prerequisite for any intent-based policy system.</w:t>
      </w:r>
    </w:p>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2.  Platform Architecture — Five-Layer Data Model</w:t>
      </w:r>
    </w:p>
    <w:p>
      <w:pPr>
        <w:spacing w:after="100"/>
      </w:pPr>
      <w:r>
        <w:rPr>
          <w:rFonts w:ascii="Arial" w:cs="Arial" w:eastAsia="Arial" w:hAnsi="Arial"/>
          <w:color w:val="595959"/>
          <w:sz w:val="20"/>
          <w:szCs w:val="20"/>
        </w:rPr>
        <w:t xml:space="preserve">The CCD Platform is organized as a layered data model. Each layer depends on the one below it, and each layer is managed by purpose-built tooling. All datasets are versioned, validated against cross-check rules (CX1–CX13), and registered in a central dataset registry on Yggdrasil (~/Documents/IP_Lookup/).</w:t>
      </w:r>
    </w:p>
    <w:p>
      <w:pPr>
        <w:spacing w:after="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5000"/>
        <w:gridCol w:w="3280"/>
      </w:tblGrid>
      <w:tr>
        <w:tc>
          <w:tcPr>
            <w:tcW w:type="dxa" w:w="1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5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Key Datasets</w:t>
            </w:r>
          </w:p>
        </w:tc>
        <w:tc>
          <w:tcPr>
            <w:tcW w:type="dxa" w:w="3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 — Location Master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Single source of truth for all network-connected CVS Health locations. Every IP must have a validated CANONICAL_LOCATION before entering IPAM.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location_master_v5.30.csv  (11,595 locations)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 Aetna enterprise estate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 — IPAM Registry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Authoritative IP prefix registry. Every subnet attributed to a location, routing domain, heritage, and facility type. Enforced by 13 cross-check rules (CX1–CX13) with 0 HIGH violation requirement.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all_IP_networks_v20260611r36.csv  (25,281 rows)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Enterprise + public BGP space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 — Host &amp; Device Intelligence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Server and network device masters linking IP to application, OS, PCI scope, risk tier, and FW configuration status.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ent_host_master (61,492 rows)  |  ent_network_device_master (10,875 rows)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Full enterprise fleet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4 — Firewall Topology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 FW assignment per CIDR, FW interface inventory, SNAT pool registry, VPN peer registry, and F5 VIP/pool member datasets.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EGRESS-FW-TOPOLOGY (100,976 rows)  |  FW-INTERFACE-INVENTORY (5,078 rows)  |  FW-SNAT-POOLS  |  VPN-PEER-REGISTRY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24 firewall sources, 587 configs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 — Canonical Object Library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Application-centric network and service objects compiled from IPAM and host intelligence. Direct input to Panorama EDL and intent policy compilation.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canonical_app_objects (3,338)  |  canonical_user_access_objects (36)  |  network_object_catalog (13,943)  |  service_object_catalog (3,243)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Enterprise application portfolio</w:t>
            </w:r>
          </w:p>
        </w:tc>
      </w:tr>
    </w:tbl>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3.  Tool Platforms Delivered — H1 2026</w:t>
      </w:r>
    </w:p>
    <w:p>
      <w:pPr>
        <w:pStyle w:val="Heading2"/>
        <w:spacing w:after="100" w:before="240"/>
      </w:pPr>
      <w:r>
        <w:rPr>
          <w:rFonts w:ascii="Arial" w:cs="Arial" w:eastAsia="Arial" w:hAnsi="Arial"/>
          <w:b w:val="false"/>
          <w:bCs w:val="false"/>
          <w:color w:val="404040"/>
          <w:sz w:val="24"/>
          <w:szCs w:val="24"/>
        </w:rPr>
        <w:t xml:space="preserve">3.1  IPAM Database Engine  (ipam-db.py  v3.15.17)</w:t>
      </w:r>
    </w:p>
    <w:p>
      <w:pPr>
        <w:spacing w:after="100"/>
      </w:pPr>
      <w:r>
        <w:rPr>
          <w:rFonts w:ascii="Arial" w:cs="Arial" w:eastAsia="Arial" w:hAnsi="Arial"/>
          <w:color w:val="595959"/>
          <w:sz w:val="20"/>
          <w:szCs w:val="20"/>
        </w:rPr>
        <w:t xml:space="preserve">The enterprise IPAM registry manager. Provides authoritative subnet registration, cross-check validation, patch management, and dataset governance for all 25,281 registered prefixes. Built from the ground up to handle the CVS/Aetna merged estate, including RFC1918 overlap across three routing domains and CGNAT 100.64.x space.</w:t>
      </w:r>
    </w:p>
    <w:p>
      <w:pPr>
        <w:spacing w:after="100"/>
      </w:pPr>
      <w:r>
        <w:rPr>
          <w:rFonts w:ascii="Arial" w:cs="Arial" w:eastAsia="Arial" w:hAnsi="Arial"/>
          <w:color w:val="595959"/>
          <w:sz w:val="20"/>
          <w:szCs w:val="20"/>
        </w:rPr>
        <w:t xml:space="preserve">Key capabilities delivered in H1 2026:</w:t>
      </w:r>
    </w:p>
    <w:p>
      <w:pPr>
        <w:pStyle w:val="ListParagraph"/>
        <w:numPr>
          <w:ilvl w:val="0"/>
          <w:numId w:val="2"/>
        </w:numPr>
        <w:spacing w:after="60"/>
      </w:pPr>
      <w:r>
        <w:rPr>
          <w:rFonts w:ascii="Arial" w:cs="Arial" w:eastAsia="Arial" w:hAnsi="Arial"/>
          <w:color w:val="595959"/>
          <w:sz w:val="20"/>
          <w:szCs w:val="20"/>
        </w:rPr>
        <w:t xml:space="preserve">13-rule cross-check engine (CX1–CX13) enforcing location FK integrity, NET_TYPE taxonomy, routing domain consistency, BGP-announced public prefix classification (CX11), and CSNA registry synchronization</w:t>
      </w:r>
    </w:p>
    <w:p>
      <w:pPr>
        <w:pStyle w:val="ListParagraph"/>
        <w:numPr>
          <w:ilvl w:val="0"/>
          <w:numId w:val="2"/>
        </w:numPr>
        <w:spacing w:after="60"/>
      </w:pPr>
      <w:r>
        <w:rPr>
          <w:rFonts w:ascii="Arial" w:cs="Arial" w:eastAsia="Arial" w:hAnsi="Arial"/>
          <w:color w:val="595959"/>
          <w:sz w:val="20"/>
          <w:szCs w:val="20"/>
        </w:rPr>
        <w:t xml:space="preserve">--update-patch / --apply-patch workflow enforcing ADD/REMOVE-only operations (never blind UPDATE) with pre-flight LM validation and automated archive on every write</w:t>
      </w:r>
    </w:p>
    <w:p>
      <w:pPr>
        <w:pStyle w:val="ListParagraph"/>
        <w:numPr>
          <w:ilvl w:val="0"/>
          <w:numId w:val="2"/>
        </w:numPr>
        <w:spacing w:after="60"/>
      </w:pPr>
      <w:r>
        <w:rPr>
          <w:rFonts w:ascii="Arial" w:cs="Arial" w:eastAsia="Arial" w:hAnsi="Arial"/>
          <w:color w:val="595959"/>
          <w:sz w:val="20"/>
          <w:szCs w:val="20"/>
        </w:rPr>
        <w:t xml:space="preserve">Full dataset registry managing 42 registered files including IPAM core, ipdatasets, and derived analytics</w:t>
      </w:r>
    </w:p>
    <w:p>
      <w:pPr>
        <w:pStyle w:val="ListParagraph"/>
        <w:numPr>
          <w:ilvl w:val="0"/>
          <w:numId w:val="2"/>
        </w:numPr>
        <w:spacing w:after="60"/>
      </w:pPr>
      <w:r>
        <w:rPr>
          <w:rFonts w:ascii="Arial" w:cs="Arial" w:eastAsia="Arial" w:hAnsi="Arial"/>
          <w:color w:val="595959"/>
          <w:sz w:val="20"/>
          <w:szCs w:val="20"/>
        </w:rPr>
        <w:t xml:space="preserve">Automated stray version sweep, SHA-256 checksums, and dataset diff on every import</w:t>
      </w:r>
    </w:p>
    <w:p>
      <w:pPr>
        <w:pStyle w:val="ListParagraph"/>
        <w:numPr>
          <w:ilvl w:val="0"/>
          <w:numId w:val="2"/>
        </w:numPr>
        <w:spacing w:after="60"/>
      </w:pPr>
      <w:r>
        <w:rPr>
          <w:rFonts w:ascii="Arial" w:cs="Arial" w:eastAsia="Arial" w:hAnsi="Arial"/>
          <w:color w:val="595959"/>
          <w:sz w:val="20"/>
          <w:szCs w:val="20"/>
        </w:rPr>
        <w:t xml:space="preserve">Cross-check reached 0 HIGH violations on all_IP_networks_v20260611r36 (25,281 rows) as of June 24, 2026</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3.2  IP Lookup Shell  (iplookup.sh  v3.33)</w:t>
      </w:r>
    </w:p>
    <w:p>
      <w:pPr>
        <w:spacing w:after="100"/>
      </w:pPr>
      <w:r>
        <w:rPr>
          <w:rFonts w:ascii="Arial" w:cs="Arial" w:eastAsia="Arial" w:hAnsi="Arial"/>
          <w:color w:val="595959"/>
          <w:sz w:val="20"/>
          <w:szCs w:val="20"/>
        </w:rPr>
        <w:t xml:space="preserve">The primary operator query interface for the entire CCD Platform. A single-command CLI that performs longest-prefix match (LPM) lookup against all 42 registered datasets simultaneously, returning full IP context in under one second. Used daily by InfoSec analysts, network engineers, and the SOC for incident triage, rule authoring support, and CMDB validation.</w:t>
      </w:r>
    </w:p>
    <w:p>
      <w:pPr>
        <w:spacing w:after="100"/>
      </w:pPr>
      <w:r>
        <w:rPr>
          <w:rFonts w:ascii="Arial" w:cs="Arial" w:eastAsia="Arial" w:hAnsi="Arial"/>
          <w:color w:val="595959"/>
          <w:sz w:val="20"/>
          <w:szCs w:val="20"/>
        </w:rPr>
        <w:t xml:space="preserve">Key query capabilities:</w:t>
      </w:r>
    </w:p>
    <w:p>
      <w:pPr>
        <w:pStyle w:val="ListParagraph"/>
        <w:numPr>
          <w:ilvl w:val="0"/>
          <w:numId w:val="2"/>
        </w:numPr>
        <w:spacing w:after="60"/>
      </w:pPr>
      <w:r>
        <w:rPr>
          <w:rFonts w:ascii="Arial" w:cs="Arial" w:eastAsia="Arial" w:hAnsi="Arial"/>
          <w:color w:val="595959"/>
          <w:sz w:val="20"/>
          <w:szCs w:val="20"/>
        </w:rPr>
        <w:t xml:space="preserve">Core LPM: resolves any IP to CANONICAL_LOCATION, ROUTING_DOMAIN, HERITAGE, LOCATION_TYPE, NET_TYPE, and DATA_QUALITY in one call</w:t>
      </w:r>
    </w:p>
    <w:p>
      <w:pPr>
        <w:pStyle w:val="ListParagraph"/>
        <w:numPr>
          <w:ilvl w:val="0"/>
          <w:numId w:val="2"/>
        </w:numPr>
        <w:spacing w:after="60"/>
      </w:pPr>
      <w:r>
        <w:rPr>
          <w:rFonts w:ascii="Arial" w:cs="Arial" w:eastAsia="Arial" w:hAnsi="Arial"/>
          <w:color w:val="595959"/>
          <w:sz w:val="20"/>
          <w:szCs w:val="20"/>
        </w:rPr>
        <w:t xml:space="preserve">--egress-fw: per-IP egress firewall assignment — which PA cluster enforces policy for this source IP</w:t>
      </w:r>
    </w:p>
    <w:p>
      <w:pPr>
        <w:pStyle w:val="ListParagraph"/>
        <w:numPr>
          <w:ilvl w:val="0"/>
          <w:numId w:val="2"/>
        </w:numPr>
        <w:spacing w:after="60"/>
      </w:pPr>
      <w:r>
        <w:rPr>
          <w:rFonts w:ascii="Arial" w:cs="Arial" w:eastAsia="Arial" w:hAnsi="Arial"/>
          <w:color w:val="595959"/>
          <w:sz w:val="20"/>
          <w:szCs w:val="20"/>
        </w:rPr>
        <w:t xml:space="preserve">--rd / --ds: routing domain and full dataset cross-reference</w:t>
      </w:r>
    </w:p>
    <w:p>
      <w:pPr>
        <w:pStyle w:val="ListParagraph"/>
        <w:numPr>
          <w:ilvl w:val="0"/>
          <w:numId w:val="2"/>
        </w:numPr>
        <w:spacing w:after="60"/>
      </w:pPr>
      <w:r>
        <w:rPr>
          <w:rFonts w:ascii="Arial" w:cs="Arial" w:eastAsia="Arial" w:hAnsi="Arial"/>
          <w:color w:val="595959"/>
          <w:sz w:val="20"/>
          <w:szCs w:val="20"/>
        </w:rPr>
        <w:t xml:space="preserve">--sc / --sc-list / --sc-subnets: site code queries with full subnet enumeration</w:t>
      </w:r>
    </w:p>
    <w:p>
      <w:pPr>
        <w:pStyle w:val="ListParagraph"/>
        <w:numPr>
          <w:ilvl w:val="0"/>
          <w:numId w:val="2"/>
        </w:numPr>
        <w:spacing w:after="60"/>
      </w:pPr>
      <w:r>
        <w:rPr>
          <w:rFonts w:ascii="Arial" w:cs="Arial" w:eastAsia="Arial" w:hAnsi="Arial"/>
          <w:color w:val="595959"/>
          <w:sz w:val="20"/>
          <w:szCs w:val="20"/>
        </w:rPr>
        <w:t xml:space="preserve">--ng / --ng-list: network group and Panorama EDL object lookup</w:t>
      </w:r>
    </w:p>
    <w:p>
      <w:pPr>
        <w:pStyle w:val="ListParagraph"/>
        <w:numPr>
          <w:ilvl w:val="0"/>
          <w:numId w:val="2"/>
        </w:numPr>
        <w:spacing w:after="60"/>
      </w:pPr>
      <w:r>
        <w:rPr>
          <w:rFonts w:ascii="Arial" w:cs="Arial" w:eastAsia="Arial" w:hAnsi="Arial"/>
          <w:color w:val="595959"/>
          <w:sz w:val="20"/>
          <w:szCs w:val="20"/>
        </w:rPr>
        <w:t xml:space="preserve">--csna: CSNA Stealthwatch hostgroup membership for any IP</w:t>
      </w:r>
    </w:p>
    <w:p>
      <w:pPr>
        <w:pStyle w:val="ListParagraph"/>
        <w:numPr>
          <w:ilvl w:val="0"/>
          <w:numId w:val="2"/>
        </w:numPr>
        <w:spacing w:after="60"/>
      </w:pPr>
      <w:r>
        <w:rPr>
          <w:rFonts w:ascii="Arial" w:cs="Arial" w:eastAsia="Arial" w:hAnsi="Arial"/>
          <w:color w:val="595959"/>
          <w:sz w:val="20"/>
          <w:szCs w:val="20"/>
        </w:rPr>
        <w:t xml:space="preserve">Batch mode, JSON output mode, and direct integration with build_fw_rule_db.py and generate_csna_hostgroups.py</w:t>
      </w:r>
    </w:p>
    <w:p>
      <w:pPr>
        <w:spacing w:after="100"/>
      </w:pPr>
      <w:r>
        <w:rPr>
          <w:rFonts w:ascii="Arial" w:cs="Arial" w:eastAsia="Arial" w:hAnsi="Arial"/>
          <w:color w:val="595959"/>
          <w:sz w:val="20"/>
          <w:szCs w:val="20"/>
        </w:rPr>
        <w:t xml:space="preserve">The tool eliminates the manual process of cross-referencing multiple spreadsheets and systems to answer 'what is this IP' — a query that previously required 4–6 tool touches and 10–15 minutes per IP during incident response.</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3.3  FW Rule Lookup  (fwlookup.py)</w:t>
      </w:r>
    </w:p>
    <w:p>
      <w:pPr>
        <w:spacing w:after="100"/>
      </w:pPr>
      <w:r>
        <w:rPr>
          <w:rFonts w:ascii="Arial" w:cs="Arial" w:eastAsia="Arial" w:hAnsi="Arial"/>
          <w:color w:val="595959"/>
          <w:sz w:val="20"/>
          <w:szCs w:val="20"/>
        </w:rPr>
        <w:t xml:space="preserve">Operator-facing query interface for the FW Rule Database. Enables sub-second lookup across 461,281 indexed firewall rules and 10.7M rule-IP index entries without requiring live firewall access or Panorama connectivity. Designed for rule analysis, policy auditing, and pre-change impact assessment.</w:t>
      </w:r>
    </w:p>
    <w:p>
      <w:pPr>
        <w:spacing w:after="100"/>
      </w:pPr>
      <w:r>
        <w:rPr>
          <w:rFonts w:ascii="Arial" w:cs="Arial" w:eastAsia="Arial" w:hAnsi="Arial"/>
          <w:color w:val="595959"/>
          <w:sz w:val="20"/>
          <w:szCs w:val="20"/>
        </w:rPr>
        <w:t xml:space="preserve">Query modes:</w:t>
      </w:r>
    </w:p>
    <w:p>
      <w:pPr>
        <w:pStyle w:val="ListParagraph"/>
        <w:numPr>
          <w:ilvl w:val="0"/>
          <w:numId w:val="2"/>
        </w:numPr>
        <w:spacing w:after="60"/>
      </w:pPr>
      <w:r>
        <w:rPr>
          <w:rFonts w:ascii="Arial" w:cs="Arial" w:eastAsia="Arial" w:hAnsi="Arial"/>
          <w:color w:val="595959"/>
          <w:sz w:val="20"/>
          <w:szCs w:val="20"/>
        </w:rPr>
        <w:t xml:space="preserve">--ip &lt;address&gt;: all rules that reference this IP — source or destination — across all collected FW configs</w:t>
      </w:r>
    </w:p>
    <w:p>
      <w:pPr>
        <w:pStyle w:val="ListParagraph"/>
        <w:numPr>
          <w:ilvl w:val="0"/>
          <w:numId w:val="2"/>
        </w:numPr>
        <w:spacing w:after="60"/>
      </w:pPr>
      <w:r>
        <w:rPr>
          <w:rFonts w:ascii="Arial" w:cs="Arial" w:eastAsia="Arial" w:hAnsi="Arial"/>
          <w:color w:val="595959"/>
          <w:sz w:val="20"/>
          <w:szCs w:val="20"/>
        </w:rPr>
        <w:t xml:space="preserve">--rule &lt;name&gt;: full rule details including zone pair, App-ID, service objects, and policy membership</w:t>
      </w:r>
    </w:p>
    <w:p>
      <w:pPr>
        <w:pStyle w:val="ListParagraph"/>
        <w:numPr>
          <w:ilvl w:val="0"/>
          <w:numId w:val="2"/>
        </w:numPr>
        <w:spacing w:after="60"/>
      </w:pPr>
      <w:r>
        <w:rPr>
          <w:rFonts w:ascii="Arial" w:cs="Arial" w:eastAsia="Arial" w:hAnsi="Arial"/>
          <w:color w:val="595959"/>
          <w:sz w:val="20"/>
          <w:szCs w:val="20"/>
        </w:rPr>
        <w:t xml:space="preserve">--policy &lt;name&gt;: all rules within a named policy or device group</w:t>
      </w:r>
    </w:p>
    <w:p>
      <w:pPr>
        <w:pStyle w:val="ListParagraph"/>
        <w:numPr>
          <w:ilvl w:val="0"/>
          <w:numId w:val="2"/>
        </w:numPr>
        <w:spacing w:after="60"/>
      </w:pPr>
      <w:r>
        <w:rPr>
          <w:rFonts w:ascii="Arial" w:cs="Arial" w:eastAsia="Arial" w:hAnsi="Arial"/>
          <w:color w:val="595959"/>
          <w:sz w:val="20"/>
          <w:szCs w:val="20"/>
        </w:rPr>
        <w:t xml:space="preserve">--service &lt;port/protocol&gt;: all rules permitting a specific service — identifies scope of any port-based exposure</w:t>
      </w:r>
    </w:p>
    <w:p>
      <w:pPr>
        <w:pStyle w:val="ListParagraph"/>
        <w:numPr>
          <w:ilvl w:val="0"/>
          <w:numId w:val="2"/>
        </w:numPr>
        <w:spacing w:after="60"/>
      </w:pPr>
      <w:r>
        <w:rPr>
          <w:rFonts w:ascii="Arial" w:cs="Arial" w:eastAsia="Arial" w:hAnsi="Arial"/>
          <w:color w:val="595959"/>
          <w:sz w:val="20"/>
          <w:szCs w:val="20"/>
        </w:rPr>
        <w:t xml:space="preserve">--context &lt;ip&gt;: full IP context from IPAM, geo-IP, and ASN data combined with matching rules</w:t>
      </w:r>
    </w:p>
    <w:p>
      <w:pPr>
        <w:spacing w:after="100"/>
      </w:pPr>
      <w:r>
        <w:rPr>
          <w:rFonts w:ascii="Arial" w:cs="Arial" w:eastAsia="Arial" w:hAnsi="Arial"/>
          <w:color w:val="595959"/>
          <w:sz w:val="20"/>
          <w:szCs w:val="20"/>
        </w:rPr>
        <w:t xml:space="preserve">The --context flag is the key pre-change workflow: given a source or destination IP, it returns the IPAM location, routing domain, egress FW assignment, geographic attribution, ASN, and every existing rule that touches that IP — in one command. This is the data an engineer needs before submitting a firewall change request.</w:t>
      </w:r>
    </w:p>
    <w:p>
      <w:pPr>
        <w:pStyle w:val="ListParagraph"/>
        <w:numPr>
          <w:ilvl w:val="0"/>
          <w:numId w:val="2"/>
        </w:numPr>
        <w:spacing w:after="60"/>
      </w:pPr>
      <w:r>
        <w:rPr>
          <w:rFonts w:ascii="Arial" w:cs="Arial" w:eastAsia="Arial" w:hAnsi="Arial"/>
          <w:color w:val="595959"/>
          <w:sz w:val="20"/>
          <w:szCs w:val="20"/>
        </w:rPr>
        <w:t xml:space="preserve">Test suite: 25/25 PASS on the full 1.4 GB production database in 8.2 seconds</w:t>
      </w:r>
    </w:p>
    <w:p>
      <w:pPr>
        <w:pStyle w:val="ListParagraph"/>
        <w:numPr>
          <w:ilvl w:val="0"/>
          <w:numId w:val="2"/>
        </w:numPr>
        <w:spacing w:after="60"/>
      </w:pPr>
      <w:r>
        <w:rPr>
          <w:rFonts w:ascii="Arial" w:cs="Arial" w:eastAsia="Arial" w:hAnsi="Arial"/>
          <w:color w:val="595959"/>
          <w:sz w:val="20"/>
          <w:szCs w:val="20"/>
        </w:rPr>
        <w:t xml:space="preserve">Replaces the prior workflow of manual Panorama policy search + spreadsheet cross-reference — reducing pre-change analysis from 30+ minutes to under 60 seconds</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3.4  Geographic IP Intelligence  (geo_ip.py  v1.3)</w:t>
      </w:r>
    </w:p>
    <w:p>
      <w:pPr>
        <w:spacing w:after="100"/>
      </w:pPr>
      <w:r>
        <w:rPr>
          <w:rFonts w:ascii="Arial" w:cs="Arial" w:eastAsia="Arial" w:hAnsi="Arial"/>
          <w:color w:val="595959"/>
          <w:sz w:val="20"/>
          <w:szCs w:val="20"/>
        </w:rPr>
        <w:t xml:space="preserve">Real-time and cached geographic IP attribution integrated across the CCD Platform. Combines IP2Location LITE database with iptoasn ASN data to provide country, city, ISP, and ASN context for any IP address. Used in incident triage, unknown subnet analysis, and FW rule enrichment.</w:t>
      </w:r>
    </w:p>
    <w:p>
      <w:pPr>
        <w:pStyle w:val="ListParagraph"/>
        <w:numPr>
          <w:ilvl w:val="0"/>
          <w:numId w:val="2"/>
        </w:numPr>
        <w:spacing w:after="60"/>
      </w:pPr>
      <w:r>
        <w:rPr>
          <w:rFonts w:ascii="Arial" w:cs="Arial" w:eastAsia="Arial" w:hAnsi="Arial"/>
          <w:color w:val="595959"/>
          <w:sz w:val="20"/>
          <w:szCs w:val="20"/>
        </w:rPr>
        <w:t xml:space="preserve">Daemon mode with numpy-backed memory cache — eliminates repeated disk reads on batch lookups; handles 10M+ IP resolutions per pipeline run</w:t>
      </w:r>
    </w:p>
    <w:p>
      <w:pPr>
        <w:pStyle w:val="ListParagraph"/>
        <w:numPr>
          <w:ilvl w:val="0"/>
          <w:numId w:val="2"/>
        </w:numPr>
        <w:spacing w:after="60"/>
      </w:pPr>
      <w:r>
        <w:rPr>
          <w:rFonts w:ascii="Arial" w:cs="Arial" w:eastAsia="Arial" w:hAnsi="Arial"/>
          <w:color w:val="595959"/>
          <w:sz w:val="20"/>
          <w:szCs w:val="20"/>
        </w:rPr>
        <w:t xml:space="preserve">ASN attribution: identifies cloud provider, hosting company, or ISP for any public IP — distinguishes AWS/Azure/GCP infrastructure from unknown internet sources</w:t>
      </w:r>
    </w:p>
    <w:p>
      <w:pPr>
        <w:pStyle w:val="ListParagraph"/>
        <w:numPr>
          <w:ilvl w:val="0"/>
          <w:numId w:val="2"/>
        </w:numPr>
        <w:spacing w:after="60"/>
      </w:pPr>
      <w:r>
        <w:rPr>
          <w:rFonts w:ascii="Arial" w:cs="Arial" w:eastAsia="Arial" w:hAnsi="Arial"/>
          <w:color w:val="595959"/>
          <w:sz w:val="20"/>
          <w:szCs w:val="20"/>
        </w:rPr>
        <w:t xml:space="preserve">Integrated into fwlookup.py --context output, the FW Rule Database ip_context table (164,620 entries), and the unknown_ip_subnets pipeline</w:t>
      </w:r>
    </w:p>
    <w:p>
      <w:pPr>
        <w:pStyle w:val="ListParagraph"/>
        <w:numPr>
          <w:ilvl w:val="0"/>
          <w:numId w:val="2"/>
        </w:numPr>
        <w:spacing w:after="60"/>
      </w:pPr>
      <w:r>
        <w:rPr>
          <w:rFonts w:ascii="Arial" w:cs="Arial" w:eastAsia="Arial" w:hAnsi="Arial"/>
          <w:color w:val="595959"/>
          <w:sz w:val="20"/>
          <w:szCs w:val="20"/>
        </w:rPr>
        <w:t xml:space="preserve">Used in the B2B IKEv1 risk audit to attribute VPN peer IPs to countries and ISPs — critical for identifying high-risk offshore tunnel endpoints</w:t>
      </w:r>
    </w:p>
    <w:p>
      <w:pPr>
        <w:pStyle w:val="ListParagraph"/>
        <w:numPr>
          <w:ilvl w:val="0"/>
          <w:numId w:val="2"/>
        </w:numPr>
        <w:spacing w:after="60"/>
      </w:pPr>
      <w:r>
        <w:rPr>
          <w:rFonts w:ascii="Arial" w:cs="Arial" w:eastAsia="Arial" w:hAnsi="Arial"/>
          <w:color w:val="595959"/>
          <w:sz w:val="20"/>
          <w:szCs w:val="20"/>
        </w:rPr>
        <w:t xml:space="preserve">Feeds the Stealthwatch compliance evidence report: geographic attribution of VPN peers confirmed zero compliant tunnels across 16 active IKEv1 tunnels</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3.5  Egress FW Topology Builder  (build_IP_Network_Egress_FW_topology.py  v1.1.7)</w:t>
      </w:r>
    </w:p>
    <w:p>
      <w:pPr>
        <w:spacing w:after="100"/>
      </w:pPr>
      <w:r>
        <w:rPr>
          <w:rFonts w:ascii="Arial" w:cs="Arial" w:eastAsia="Arial" w:hAnsi="Arial"/>
          <w:color w:val="595959"/>
          <w:sz w:val="20"/>
          <w:szCs w:val="20"/>
        </w:rPr>
        <w:t xml:space="preserve">Builds the enterprise egress firewall topology mapping — the authoritative assignment of every IPAM CIDR to its logical egress firewall. Ingests Zscaler proxy logs (10.9B+ connections processed in H1), CrowdStrike PA endpoint telemetry, and PA/ASA routing tables across 10 logical FW boundaries.</w:t>
      </w:r>
    </w:p>
    <w:p>
      <w:pPr>
        <w:spacing w:after="100"/>
      </w:pPr>
      <w:r>
        <w:rPr>
          <w:rFonts w:ascii="Arial" w:cs="Arial" w:eastAsia="Arial" w:hAnsi="Arial"/>
          <w:color w:val="595959"/>
          <w:sz w:val="20"/>
          <w:szCs w:val="20"/>
        </w:rPr>
        <w:t xml:space="preserve">Current topology (v20260624): 100,976 rows covering 25,280 unique CIDRs across 10 logical FW clusters (RI-ONE-SEC-DMZ, MDC-Middletown, WDC-Windsor, SHEA-DC-EXT, SHEA-DC-WIRELESS, LAS-VEGAS-COLO, CME-HUB-PROD, CME-HUB-NONPROD, CMC-HUB, MDC-Office). Confidence tiers: 3% HIGH (traffic-confirmed), 95% MEDIUM (route-validated), 2% LOW (inferred).</w:t>
      </w:r>
    </w:p>
    <w:p>
      <w:pPr>
        <w:pStyle w:val="ListParagraph"/>
        <w:numPr>
          <w:ilvl w:val="0"/>
          <w:numId w:val="2"/>
        </w:numPr>
        <w:spacing w:after="60"/>
      </w:pPr>
      <w:r>
        <w:rPr>
          <w:rFonts w:ascii="Arial" w:cs="Arial" w:eastAsia="Arial" w:hAnsi="Arial"/>
          <w:color w:val="595959"/>
          <w:sz w:val="20"/>
          <w:szCs w:val="20"/>
        </w:rPr>
        <w:t xml:space="preserve">Direct input to Panorama PA_DEVICE_GROUP rule dispatch — tells the automation layer which FW cluster receives a given rule</w:t>
      </w:r>
    </w:p>
    <w:p>
      <w:pPr>
        <w:pStyle w:val="ListParagraph"/>
        <w:numPr>
          <w:ilvl w:val="0"/>
          <w:numId w:val="2"/>
        </w:numPr>
        <w:spacing w:after="60"/>
      </w:pPr>
      <w:r>
        <w:rPr>
          <w:rFonts w:ascii="Arial" w:cs="Arial" w:eastAsia="Arial" w:hAnsi="Arial"/>
          <w:color w:val="595959"/>
          <w:sz w:val="20"/>
          <w:szCs w:val="20"/>
        </w:rPr>
        <w:t xml:space="preserve">Feeds the Cisco MPE POC topology validation: confirms which logical FW handles each VPN flow scope</w:t>
      </w:r>
    </w:p>
    <w:p>
      <w:pPr>
        <w:pStyle w:val="ListParagraph"/>
        <w:numPr>
          <w:ilvl w:val="0"/>
          <w:numId w:val="2"/>
        </w:numPr>
        <w:spacing w:after="60"/>
      </w:pPr>
      <w:r>
        <w:rPr>
          <w:rFonts w:ascii="Arial" w:cs="Arial" w:eastAsia="Arial" w:hAnsi="Arial"/>
          <w:color w:val="595959"/>
          <w:sz w:val="20"/>
          <w:szCs w:val="20"/>
        </w:rPr>
        <w:t xml:space="preserve">Produces unknown_ip_subnets dataset (1,723 unregistered subnets) as an ongoing IPAM gap report</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3.6  FW Rule Database  (build_fw_rule_db.py)</w:t>
      </w:r>
    </w:p>
    <w:p>
      <w:pPr>
        <w:spacing w:after="100"/>
      </w:pPr>
      <w:r>
        <w:rPr>
          <w:rFonts w:ascii="Arial" w:cs="Arial" w:eastAsia="Arial" w:hAnsi="Arial"/>
          <w:color w:val="595959"/>
          <w:sz w:val="20"/>
          <w:szCs w:val="20"/>
        </w:rPr>
        <w:t xml:space="preserve">A 1.4 GB SQLite database containing the complete firewall rule estate across all collected PA, ASA/FTD, and Panorama sources. Provides sub-second rule lookup, IP-to-rule mapping, policy analysis, and App-ID intelligence without requiring live firewall access.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8680"/>
      </w:tblGrid>
      <w:tr>
        <w:tc>
          <w:tcPr>
            <w:tcW w:type="dxa" w:w="5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8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Unique rules indexed</w:t>
            </w:r>
          </w:p>
        </w:tc>
        <w:tc>
          <w:tcPr>
            <w:tcW w:type="dxa" w:w="8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461,281</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rule_ip index rows (IP↔rule mapping)</w:t>
            </w:r>
          </w:p>
        </w:tc>
        <w:tc>
          <w:tcPr>
            <w:tcW w:type="dxa" w:w="8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10,706,251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IP context entries (geo, ASN, IPAM)</w:t>
            </w:r>
          </w:p>
        </w:tc>
        <w:tc>
          <w:tcPr>
            <w:tcW w:type="dxa" w:w="8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164,620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Database size</w:t>
            </w:r>
          </w:p>
        </w:tc>
        <w:tc>
          <w:tcPr>
            <w:tcW w:type="dxa" w:w="8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1.4 GB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fwlookup.py test suite</w:t>
            </w:r>
          </w:p>
        </w:tc>
        <w:tc>
          <w:tcPr>
            <w:tcW w:type="dxa" w:w="8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25/25 PASS (8.2 sec on full DB)</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Query flags supported</w:t>
            </w:r>
          </w:p>
        </w:tc>
        <w:tc>
          <w:tcPr>
            <w:tcW w:type="dxa" w:w="8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 --policy, --service, --context, --ip</w:t>
            </w:r>
          </w:p>
        </w:tc>
      </w:tr>
    </w:tbl>
    <w:p>
      <w:pPr>
        <w:spacing w:after="80"/>
      </w:pPr>
      <w:r>
        <w:t xml:space="preserve"/>
      </w:r>
    </w:p>
    <w:p>
      <w:pPr>
        <w:spacing w:after="100"/>
      </w:pPr>
      <w:r>
        <w:rPr>
          <w:rFonts w:ascii="Arial" w:cs="Arial" w:eastAsia="Arial" w:hAnsi="Arial"/>
          <w:color w:val="595959"/>
          <w:sz w:val="20"/>
          <w:szCs w:val="20"/>
        </w:rPr>
        <w:t xml:space="preserve">App-ID data sourced directly from Panorama security rules via built-in port-map cross-reference after Applipedia 2.0 deprecation of its public API endpoint. Replaces prior manual lookup workflow entirely.</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3.7  FW Interface Inventory Builder  (build_fw_interface_inventory.py  v1.1.0)</w:t>
      </w:r>
    </w:p>
    <w:p>
      <w:pPr>
        <w:spacing w:after="100"/>
      </w:pPr>
      <w:r>
        <w:rPr>
          <w:rFonts w:ascii="Arial" w:cs="Arial" w:eastAsia="Arial" w:hAnsi="Arial"/>
          <w:color w:val="595959"/>
          <w:sz w:val="20"/>
          <w:szCs w:val="20"/>
        </w:rPr>
        <w:t xml:space="preserve">Parses all collected PA, ASA, and FTD configurations to build a normalized interface inventory enriched with IPAM attribution. Supports 414 config files across four Panorama instances and multiple FMC groups.</w:t>
      </w:r>
    </w:p>
    <w:p>
      <w:pPr>
        <w:pStyle w:val="ListParagraph"/>
        <w:numPr>
          <w:ilvl w:val="0"/>
          <w:numId w:val="2"/>
        </w:numPr>
        <w:spacing w:after="60"/>
      </w:pPr>
      <w:r>
        <w:rPr>
          <w:rFonts w:ascii="Arial" w:cs="Arial" w:eastAsia="Arial" w:hAnsi="Arial"/>
          <w:color w:val="595959"/>
          <w:sz w:val="20"/>
          <w:szCs w:val="20"/>
        </w:rPr>
        <w:t xml:space="preserve">5,078 interfaces parsed (3,473 PA + 1,605 FTD/ASA) — 97.4% IPAM-matched</w:t>
      </w:r>
    </w:p>
    <w:p>
      <w:pPr>
        <w:pStyle w:val="ListParagraph"/>
        <w:numPr>
          <w:ilvl w:val="0"/>
          <w:numId w:val="2"/>
        </w:numPr>
        <w:spacing w:after="60"/>
      </w:pPr>
      <w:r>
        <w:rPr>
          <w:rFonts w:ascii="Arial" w:cs="Arial" w:eastAsia="Arial" w:hAnsi="Arial"/>
          <w:color w:val="595959"/>
          <w:sz w:val="20"/>
          <w:szCs w:val="20"/>
        </w:rPr>
        <w:t xml:space="preserve">Captures standby/secondary IPs from ASA/FTD HA pairs — critical for correctly attributing /30 management subnets</w:t>
      </w:r>
    </w:p>
    <w:p>
      <w:pPr>
        <w:pStyle w:val="ListParagraph"/>
        <w:numPr>
          <w:ilvl w:val="0"/>
          <w:numId w:val="2"/>
        </w:numPr>
        <w:spacing w:after="60"/>
      </w:pPr>
      <w:r>
        <w:rPr>
          <w:rFonts w:ascii="Arial" w:cs="Arial" w:eastAsia="Arial" w:hAnsi="Arial"/>
          <w:color w:val="595959"/>
          <w:sz w:val="20"/>
          <w:szCs w:val="20"/>
        </w:rPr>
        <w:t xml:space="preserve">Feeds the FW Rule Database ip_context table and the CSNA hostgroup pipeline</w:t>
      </w:r>
    </w:p>
    <w:p>
      <w:pPr>
        <w:pStyle w:val="ListParagraph"/>
        <w:numPr>
          <w:ilvl w:val="0"/>
          <w:numId w:val="2"/>
        </w:numPr>
        <w:spacing w:after="60"/>
      </w:pPr>
      <w:r>
        <w:rPr>
          <w:rFonts w:ascii="Arial" w:cs="Arial" w:eastAsia="Arial" w:hAnsi="Arial"/>
          <w:color w:val="595959"/>
          <w:sz w:val="20"/>
          <w:szCs w:val="20"/>
        </w:rPr>
        <w:t xml:space="preserve">New in H1: extended to parse CAE PA-VM configs (cae-fw-prodsvc, cae-fw-qasvc) and GLR hub ASAs (cmc-fw-hubprodglr, cme-fw-hubprodglr)</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3.8  CSNA Stealthwatch Hostgroup Pipeline  (generate_csna_hostgroups.py  v4.0.x)</w:t>
      </w:r>
    </w:p>
    <w:p>
      <w:pPr>
        <w:spacing w:after="100"/>
      </w:pPr>
      <w:r>
        <w:rPr>
          <w:rFonts w:ascii="Arial" w:cs="Arial" w:eastAsia="Arial" w:hAnsi="Arial"/>
          <w:color w:val="595959"/>
          <w:sz w:val="20"/>
          <w:szCs w:val="20"/>
        </w:rPr>
        <w:t xml:space="preserve">Generates the CSNA Stealthwatch hostgroup export from the registered IPAM and CSNA site registry. SITE_CODE-driven FK lookup model replaced legacy keyword matching in H1 2026, eliminating false attributions across the retail/enterprise boundary.</w:t>
      </w:r>
    </w:p>
    <w:p>
      <w:pPr>
        <w:pStyle w:val="ListParagraph"/>
        <w:numPr>
          <w:ilvl w:val="0"/>
          <w:numId w:val="2"/>
        </w:numPr>
        <w:spacing w:after="60"/>
      </w:pPr>
      <w:r>
        <w:rPr>
          <w:rFonts w:ascii="Arial" w:cs="Arial" w:eastAsia="Arial" w:hAnsi="Arial"/>
          <w:color w:val="595959"/>
          <w:sz w:val="20"/>
          <w:szCs w:val="20"/>
        </w:rPr>
        <w:t xml:space="preserve">Current export v13.0: 118,635 IPs, 5,951 host groups — CONTINUITY PASS</w:t>
      </w:r>
    </w:p>
    <w:p>
      <w:pPr>
        <w:pStyle w:val="ListParagraph"/>
        <w:numPr>
          <w:ilvl w:val="0"/>
          <w:numId w:val="2"/>
        </w:numPr>
        <w:spacing w:after="60"/>
      </w:pPr>
      <w:r>
        <w:rPr>
          <w:rFonts w:ascii="Arial" w:cs="Arial" w:eastAsia="Arial" w:hAnsi="Arial"/>
          <w:color w:val="595959"/>
          <w:sz w:val="20"/>
          <w:szCs w:val="20"/>
        </w:rPr>
        <w:t xml:space="preserve">CSNA site registry v2.33: 379 locations, now including US_KNO_TN_CC (Knoxville TN Call Center) and US_LAS_NV_CC site code fix (June 24, 2026)</w:t>
      </w:r>
    </w:p>
    <w:p>
      <w:pPr>
        <w:pStyle w:val="ListParagraph"/>
        <w:numPr>
          <w:ilvl w:val="0"/>
          <w:numId w:val="2"/>
        </w:numPr>
        <w:spacing w:after="60"/>
      </w:pPr>
      <w:r>
        <w:rPr>
          <w:rFonts w:ascii="Arial" w:cs="Arial" w:eastAsia="Arial" w:hAnsi="Arial"/>
          <w:color w:val="595959"/>
          <w:sz w:val="20"/>
          <w:szCs w:val="20"/>
        </w:rPr>
        <w:t xml:space="preserve">CX3 and CX4 cross-check rules enforce CSNA↔LM synchronization — fires when a location is added to LM without a corresponding CSNA registry entry</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3.9  Canonical Object Library Pipeline  (build_canonical_app_objects.py  v1.8.3  +  build_object_pipeline.py  v1.3.1)</w:t>
      </w:r>
    </w:p>
    <w:p>
      <w:pPr>
        <w:spacing w:after="100"/>
      </w:pPr>
      <w:r>
        <w:rPr>
          <w:rFonts w:ascii="Arial" w:cs="Arial" w:eastAsia="Arial" w:hAnsi="Arial"/>
          <w:color w:val="595959"/>
          <w:sz w:val="20"/>
          <w:szCs w:val="20"/>
        </w:rPr>
        <w:t xml:space="preserve">Compiles the Palo Alto Panorama object library from IPAM and host intelligence. Produces application network objects, user access objects, and EDL feeds that directly populate Panorama device groups — the data layer that enables intent-based rule authoring.</w:t>
      </w:r>
    </w:p>
    <w:p>
      <w:pPr>
        <w:pStyle w:val="ListParagraph"/>
        <w:numPr>
          <w:ilvl w:val="0"/>
          <w:numId w:val="2"/>
        </w:numPr>
        <w:spacing w:after="60"/>
      </w:pPr>
      <w:r>
        <w:rPr>
          <w:rFonts w:ascii="Arial" w:cs="Arial" w:eastAsia="Arial" w:hAnsi="Arial"/>
          <w:color w:val="595959"/>
          <w:sz w:val="20"/>
          <w:szCs w:val="20"/>
        </w:rPr>
        <w:t xml:space="preserve">3,338 canonical app objects across the enterprise application portfolio</w:t>
      </w:r>
    </w:p>
    <w:p>
      <w:pPr>
        <w:pStyle w:val="ListParagraph"/>
        <w:numPr>
          <w:ilvl w:val="0"/>
          <w:numId w:val="2"/>
        </w:numPr>
        <w:spacing w:after="60"/>
      </w:pPr>
      <w:r>
        <w:rPr>
          <w:rFonts w:ascii="Arial" w:cs="Arial" w:eastAsia="Arial" w:hAnsi="Arial"/>
          <w:color w:val="595959"/>
          <w:sz w:val="20"/>
          <w:szCs w:val="20"/>
        </w:rPr>
        <w:t xml:space="preserve">13,943 network objects and 3,243 service objects in the current catalog</w:t>
      </w:r>
    </w:p>
    <w:p>
      <w:pPr>
        <w:pStyle w:val="ListParagraph"/>
        <w:numPr>
          <w:ilvl w:val="0"/>
          <w:numId w:val="2"/>
        </w:numPr>
        <w:spacing w:after="60"/>
      </w:pPr>
      <w:r>
        <w:rPr>
          <w:rFonts w:ascii="Arial" w:cs="Arial" w:eastAsia="Arial" w:hAnsi="Arial"/>
          <w:color w:val="595959"/>
          <w:sz w:val="20"/>
          <w:szCs w:val="20"/>
        </w:rPr>
        <w:t xml:space="preserve">EDL catalog browser (edl_catalog.html) — self-contained interactive reference with embedded compressed data, zero server dependencies</w:t>
      </w:r>
    </w:p>
    <w:p>
      <w:pPr>
        <w:pStyle w:val="ListParagraph"/>
        <w:numPr>
          <w:ilvl w:val="0"/>
          <w:numId w:val="2"/>
        </w:numPr>
        <w:spacing w:after="60"/>
      </w:pPr>
      <w:r>
        <w:rPr>
          <w:rFonts w:ascii="Arial" w:cs="Arial" w:eastAsia="Arial" w:hAnsi="Arial"/>
          <w:color w:val="595959"/>
          <w:sz w:val="20"/>
          <w:szCs w:val="20"/>
        </w:rPr>
        <w:t xml:space="preserve">Direct Panorama integration: object library versioned and pushed to MID-PAN-PROD-01, PAZSHDC-SEC-PAN-PROD-01, RRISHDC-SEC-PAN-PROD-01, WIN-PAN-PROD-01</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3.10  B2B Connectivity &amp; VPN Intelligence</w:t>
      </w:r>
    </w:p>
    <w:p>
      <w:pPr>
        <w:spacing w:after="100"/>
      </w:pPr>
      <w:r>
        <w:rPr>
          <w:rFonts w:ascii="Arial" w:cs="Arial" w:eastAsia="Arial" w:hAnsi="Arial"/>
          <w:color w:val="595959"/>
          <w:sz w:val="20"/>
          <w:szCs w:val="20"/>
        </w:rPr>
        <w:t xml:space="preserve">Built to support the NET4WIR migration analysis and IKEv1 risk audit. Covers 643 third-party connections across the PAZSHDC-SEC-EXT-NET4WIR-01 multi-context ASA5585 estate.</w:t>
      </w:r>
    </w:p>
    <w:p>
      <w:pPr>
        <w:pStyle w:val="ListParagraph"/>
        <w:numPr>
          <w:ilvl w:val="0"/>
          <w:numId w:val="2"/>
        </w:numPr>
        <w:spacing w:after="60"/>
      </w:pPr>
      <w:r>
        <w:rPr>
          <w:rFonts w:ascii="Arial" w:cs="Arial" w:eastAsia="Arial" w:hAnsi="Arial"/>
          <w:color w:val="595959"/>
          <w:sz w:val="20"/>
          <w:szCs w:val="20"/>
        </w:rPr>
        <w:t xml:space="preserve">VPN peer registry: 552 S2S tunnel peers with cipher suite, PFS, IKE version, and compliance status</w:t>
      </w:r>
    </w:p>
    <w:p>
      <w:pPr>
        <w:pStyle w:val="ListParagraph"/>
        <w:numPr>
          <w:ilvl w:val="0"/>
          <w:numId w:val="2"/>
        </w:numPr>
        <w:spacing w:after="60"/>
      </w:pPr>
      <w:r>
        <w:rPr>
          <w:rFonts w:ascii="Arial" w:cs="Arial" w:eastAsia="Arial" w:hAnsi="Arial"/>
          <w:color w:val="595959"/>
          <w:sz w:val="20"/>
          <w:szCs w:val="20"/>
        </w:rPr>
        <w:t xml:space="preserve">VPN protected subnets: 232 partner-side subnets with business unit attribution</w:t>
      </w:r>
    </w:p>
    <w:p>
      <w:pPr>
        <w:pStyle w:val="ListParagraph"/>
        <w:numPr>
          <w:ilvl w:val="0"/>
          <w:numId w:val="2"/>
        </w:numPr>
        <w:spacing w:after="60"/>
      </w:pPr>
      <w:r>
        <w:rPr>
          <w:rFonts w:ascii="Arial" w:cs="Arial" w:eastAsia="Arial" w:hAnsi="Arial"/>
          <w:color w:val="595959"/>
          <w:sz w:val="20"/>
          <w:szCs w:val="20"/>
        </w:rPr>
        <w:t xml:space="preserve">IKEv1 risk audit completed June 2026: zero compliant tunnels across 16 active tunnels — delivered as Stealthwatch compliance evidence report for security leadership</w:t>
      </w:r>
    </w:p>
    <w:p>
      <w:pPr>
        <w:pStyle w:val="ListParagraph"/>
        <w:numPr>
          <w:ilvl w:val="0"/>
          <w:numId w:val="2"/>
        </w:numPr>
        <w:spacing w:after="60"/>
      </w:pPr>
      <w:r>
        <w:rPr>
          <w:rFonts w:ascii="Arial" w:cs="Arial" w:eastAsia="Arial" w:hAnsi="Arial"/>
          <w:color w:val="595959"/>
          <w:sz w:val="20"/>
          <w:szCs w:val="20"/>
        </w:rPr>
        <w:t xml:space="preserve">B2B migration analysis: 643 connections inventoried with IKEv1 risk classification and migration priority scoring</w:t>
      </w:r>
    </w:p>
    <w:p>
      <w:pPr>
        <w:spacing w:after="80"/>
      </w:pPr>
      <w:r>
        <w:t xml:space="preserve"/>
      </w:r>
    </w:p>
    <w:p>
      <w:pPr>
        <w:pStyle w:val="Heading2"/>
        <w:spacing w:after="100" w:before="240"/>
      </w:pPr>
      <w:r>
        <w:rPr>
          <w:rFonts w:ascii="Arial" w:cs="Arial" w:eastAsia="Arial" w:hAnsi="Arial"/>
          <w:b w:val="false"/>
          <w:bCs w:val="false"/>
          <w:color w:val="404040"/>
          <w:sz w:val="24"/>
          <w:szCs w:val="24"/>
        </w:rPr>
        <w:t xml:space="preserve">3.11  Intent-Based Policy Framework — Architecture &amp; POC Design</w:t>
      </w:r>
    </w:p>
    <w:p>
      <w:pPr>
        <w:spacing w:after="100"/>
      </w:pPr>
      <w:r>
        <w:rPr>
          <w:rFonts w:ascii="Arial" w:cs="Arial" w:eastAsia="Arial" w:hAnsi="Arial"/>
          <w:color w:val="595959"/>
          <w:sz w:val="20"/>
          <w:szCs w:val="20"/>
        </w:rPr>
        <w:t xml:space="preserve">The architectural foundation for the Cisco MPE POC (July 30, 2026 gate). Defines the four-tier object model, path logic model, and SNOW intake redesign required before production policy automation can proceed.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9880"/>
      </w:tblGrid>
      <w:tr>
        <w:tc>
          <w:tcPr>
            <w:tcW w:type="dxa" w:w="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Object Type</w:t>
            </w:r>
          </w:p>
        </w:tc>
        <w:tc>
          <w:tcPr>
            <w:tcW w:type="dxa" w:w="98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 Objects</w:t>
            </w:r>
          </w:p>
        </w:tc>
        <w:tc>
          <w:tcPr>
            <w:tcW w:type="dxa" w:w="9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Application service definitions with per-domain SNAT/PAT maps. Source and destination encoded as explicit objects, not IP tuples. Examples: Oracle-EBS-Prod, Caremark-Claims-HCB, PBM-Auth-Platform.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Infrastructure Services</w:t>
            </w:r>
          </w:p>
        </w:tc>
        <w:tc>
          <w:tcPr>
            <w:tcW w:type="dxa" w:w="9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Shared infrastructure (AD, DNS, NTP, Qualys, CrowdStrike) with zone-scoped objects. No application team involvement — managed by InfoSec.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External Applications / Services</w:t>
            </w:r>
          </w:p>
        </w:tc>
        <w:tc>
          <w:tcPr>
            <w:tcW w:type="dxa" w:w="9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External destinations and SaaS with explicit App-ID and URL category. Eliminates app=any on internet egress rules.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Intent Declarations</w:t>
            </w:r>
          </w:p>
        </w:tc>
        <w:tc>
          <w:tcPr>
            <w:tcW w:type="dxa" w:w="9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Human-readable policy statements: 'Application X may reach Service Y over Protocol Z.' Compiled to PA rules by the automation layer — no direct rule authoring.</w:t>
            </w:r>
          </w:p>
        </w:tc>
      </w:tr>
    </w:tbl>
    <w:p>
      <w:pPr>
        <w:spacing w:after="80"/>
      </w:pPr>
      <w:r>
        <w:t xml:space="preserve"/>
      </w:r>
    </w:p>
    <w:p>
      <w:pPr>
        <w:spacing w:after="100"/>
      </w:pPr>
      <w:r>
        <w:rPr>
          <w:rFonts w:ascii="Arial" w:cs="Arial" w:eastAsia="Arial" w:hAnsi="Arial"/>
          <w:color w:val="595959"/>
          <w:sz w:val="20"/>
          <w:szCs w:val="20"/>
        </w:rPr>
        <w:t xml:space="preserve">Companion white paper series produced in H1 2026: The Demon's Bargain, The Bill Comes Due, Hope Is Not a Strategy, Bounded by Design — establishing the architectural and governance rationale for intent-based security policy at CVS Health.</w:t>
      </w:r>
    </w:p>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4.  Scale &amp; Key Metrics — H1 2026</w:t>
      </w:r>
    </w:p>
    <w:p>
      <w:pPr>
        <w:spacing w:after="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gridCol w:w="5680"/>
      </w:tblGrid>
      <w:tr>
        <w:tc>
          <w:tcPr>
            <w:tcW w:type="dxa" w:w="45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5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IPAM prefixes registered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25,281</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all_IP_networks_v20260611r36 — 0 HIGH cross-check violations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Location master entries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11,595</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location_master_v5.30 — covers full CVS + Aetna estate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Firewall configs collected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587</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 ASA/FTD, Panorama — 4 Panorama instances, 24 firewall sources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FW rules in rule database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461,281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Unique rules across all collected configs — 1.4 GB SQLite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 FW topology rows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100,976</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25,280 CIDRs × FW assignments — rebuilt June 24, 2026</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FW interface inventory rows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5,078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97.4% IPAM-matched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CSNA hostgroups exported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5,951</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118,635 IPs — Stealthwatch integration, CONTINUITY PASS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Canonical app objects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3,338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Direct Panorama EDL input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Datasets registered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42</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42 files in ipam-db.json — versioned, validated, archived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Zscaler connections processed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10.9B+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13 Zscaler exports — 100% IPAM match rate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VPN tunnel peers inventoried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552</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S2S tunnels with IKE version, cipher, PFS, compliance status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B2B connections analyzed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643</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NET4WIR migration inventory — IKEv1 risk audit complete</w:t>
            </w:r>
          </w:p>
        </w:tc>
      </w:tr>
    </w:tbl>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5.  July 30, 2026 — Cisco MPE POC Gate</w:t>
      </w:r>
    </w:p>
    <w:p>
      <w:pPr>
        <w:spacing w:after="100"/>
      </w:pPr>
      <w:r>
        <w:rPr>
          <w:rFonts w:ascii="Arial" w:cs="Arial" w:eastAsia="Arial" w:hAnsi="Arial"/>
          <w:color w:val="595959"/>
          <w:sz w:val="20"/>
          <w:szCs w:val="20"/>
        </w:rPr>
        <w:t xml:space="preserve">The Cisco Mesh Policy Engine POC is the primary H2 gate. The CCD Platform delivers the data prerequisites for this engagement. Gate criteria require the platform to demonstrate authoritative IP-to-application mapping, egress FW topology coverage, and a working intent object library before Cisco MPE can enforce policy in the pilot scope.</w:t>
      </w:r>
    </w:p>
    <w:p>
      <w:pPr>
        <w:spacing w:after="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gridCol w:w="4180"/>
      </w:tblGrid>
      <w:tr>
        <w:tc>
          <w:tcPr>
            <w:tcW w:type="dxa" w:w="4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Gate Criterion</w:t>
            </w:r>
          </w:p>
        </w:tc>
        <w:tc>
          <w:tcPr>
            <w:tcW w:type="dxa" w:w="55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CCD Deliverable</w:t>
            </w:r>
          </w:p>
        </w:tc>
        <w:tc>
          <w:tcPr>
            <w:tcW w:type="dxa" w:w="41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Routing domain topology documented — all 3 domains, all boundary FWs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EGRESS-FW-TOPOLOGY v20260624 — 10 logical FW boundaries, 100,976 rows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IP-to-application mapping for pilot scope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canonical_app_objects + ent_host_master + F5 VIP registry</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FW interface inventory — all enforcement points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FW-INTERFACE-INVENTORY v20260624 — 5,078 interfaces, 587 configs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Intent object library — APP, INFRA, EXTERNAL tiers</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canonical_app_objects v20260624 + network/service object catalog</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FW rule database — current rule estate for pilot FWs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build_fw_rule_db.py — 461,281 rules, fwlookup.py 25/25 PASS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 rebuild (June 24)</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SNOW intake redesign — structured intent request workflow</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POC scoping document v0.2 delivered — SNOW MVP target June 30</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 progress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VPN flow scope validation for MPE topology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EGRESS-FW-TOPOLOGY + VPN-PEER-REGISTRY + VPN-PROTECTED-SUBNETS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Complete</w:t>
            </w:r>
          </w:p>
        </w:tc>
      </w:tr>
    </w:tbl>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6.  Data Governance Framework</w:t>
      </w:r>
    </w:p>
    <w:p>
      <w:pPr>
        <w:spacing w:after="100"/>
      </w:pPr>
      <w:r>
        <w:rPr>
          <w:rFonts w:ascii="Arial" w:cs="Arial" w:eastAsia="Arial" w:hAnsi="Arial"/>
          <w:color w:val="595959"/>
          <w:sz w:val="20"/>
          <w:szCs w:val="20"/>
        </w:rPr>
        <w:t xml:space="preserve">The CCD Platform operates under a strict data governance model designed to prevent the IP attribution errors that make intent-based policy unworkable at enterprise scale. Key principles enforced programmatically:</w:t>
      </w:r>
    </w:p>
    <w:p>
      <w:pPr>
        <w:pStyle w:val="ListParagraph"/>
        <w:numPr>
          <w:ilvl w:val="0"/>
          <w:numId w:val="2"/>
        </w:numPr>
        <w:spacing w:after="60"/>
      </w:pPr>
      <w:r>
        <w:rPr>
          <w:rFonts w:ascii="Arial" w:cs="Arial" w:eastAsia="Arial" w:hAnsi="Arial"/>
          <w:color w:val="595959"/>
          <w:sz w:val="20"/>
          <w:szCs w:val="20"/>
        </w:rPr>
        <w:t xml:space="preserve">Update order non-negotiable: LM → IPAM → NDM → EHM → Infra → Platform. No IP enters any master without a verified CANONICAL_LOCATION in location_master.</w:t>
      </w:r>
    </w:p>
    <w:p>
      <w:pPr>
        <w:pStyle w:val="ListParagraph"/>
        <w:numPr>
          <w:ilvl w:val="0"/>
          <w:numId w:val="2"/>
        </w:numPr>
        <w:spacing w:after="60"/>
      </w:pPr>
      <w:r>
        <w:rPr>
          <w:rFonts w:ascii="Arial" w:cs="Arial" w:eastAsia="Arial" w:hAnsi="Arial"/>
          <w:color w:val="595959"/>
          <w:sz w:val="20"/>
          <w:szCs w:val="20"/>
        </w:rPr>
        <w:t xml:space="preserve">--dry-run mandatory before every write. --cross-check after every import. 0 HIGH violations required before version bump.</w:t>
      </w:r>
    </w:p>
    <w:p>
      <w:pPr>
        <w:pStyle w:val="ListParagraph"/>
        <w:numPr>
          <w:ilvl w:val="0"/>
          <w:numId w:val="2"/>
        </w:numPr>
        <w:spacing w:after="60"/>
      </w:pPr>
      <w:r>
        <w:rPr>
          <w:rFonts w:ascii="Arial" w:cs="Arial" w:eastAsia="Arial" w:hAnsi="Arial"/>
          <w:color w:val="595959"/>
          <w:sz w:val="20"/>
          <w:szCs w:val="20"/>
        </w:rPr>
        <w:t xml:space="preserve">--update-patch accepts ADD and REMOVE only — never blind UPDATE. Corrections require REMOVE+ADD pairs, ensuring full audit trail.</w:t>
      </w:r>
    </w:p>
    <w:p>
      <w:pPr>
        <w:pStyle w:val="ListParagraph"/>
        <w:numPr>
          <w:ilvl w:val="0"/>
          <w:numId w:val="2"/>
        </w:numPr>
        <w:spacing w:after="60"/>
      </w:pPr>
      <w:r>
        <w:rPr>
          <w:rFonts w:ascii="Arial" w:cs="Arial" w:eastAsia="Arial" w:hAnsi="Arial"/>
          <w:color w:val="595959"/>
          <w:sz w:val="20"/>
          <w:szCs w:val="20"/>
        </w:rPr>
        <w:t xml:space="preserve">Location = derived from IP via NMS/LPM, never from server owner field. This rule prevents the mis-attribution that affects 60%+ of peer IPAM implementations.</w:t>
      </w:r>
    </w:p>
    <w:p>
      <w:pPr>
        <w:pStyle w:val="ListParagraph"/>
        <w:numPr>
          <w:ilvl w:val="0"/>
          <w:numId w:val="2"/>
        </w:numPr>
        <w:spacing w:after="60"/>
      </w:pPr>
      <w:r>
        <w:rPr>
          <w:rFonts w:ascii="Arial" w:cs="Arial" w:eastAsia="Arial" w:hAnsi="Arial"/>
          <w:color w:val="595959"/>
          <w:sz w:val="20"/>
          <w:szCs w:val="20"/>
        </w:rPr>
        <w:t xml:space="preserve">Three version stamps required on every dataset: versioned filename, #VERSION= header, DATASET_VERSION + LOC_MASTER_VERSION columns.</w:t>
      </w:r>
    </w:p>
    <w:p>
      <w:pPr>
        <w:pStyle w:val="ListParagraph"/>
        <w:numPr>
          <w:ilvl w:val="0"/>
          <w:numId w:val="2"/>
        </w:numPr>
        <w:spacing w:after="60"/>
      </w:pPr>
      <w:r>
        <w:rPr>
          <w:rFonts w:ascii="Arial" w:cs="Arial" w:eastAsia="Arial" w:hAnsi="Arial"/>
          <w:color w:val="595959"/>
          <w:sz w:val="20"/>
          <w:szCs w:val="20"/>
        </w:rPr>
        <w:t xml:space="preserve">Retail /26 subnets segregated in retail_networks only — never in all_IP_networks. Enforces the CVS/Aetna routing domain separation required for correct FW policy scope.</w:t>
      </w:r>
    </w:p>
    <w:p>
      <w:pPr>
        <w:spacing w:after="80"/>
      </w:pPr>
      <w:r>
        <w:t xml:space="preserve"/>
      </w:r>
    </w:p>
    <w:p>
      <w:pPr>
        <w:pStyle w:val="Heading1"/>
        <w:pBdr>
          <w:bottom w:val="single" w:color="17447C" w:sz="4" w:space="4"/>
        </w:pBdr>
        <w:spacing w:after="160" w:before="320"/>
      </w:pPr>
      <w:r>
        <w:rPr>
          <w:rFonts w:ascii="Arial" w:cs="Arial" w:eastAsia="Arial" w:hAnsi="Arial"/>
          <w:b w:val="false"/>
          <w:bCs w:val="false"/>
          <w:color w:val="404040"/>
          <w:sz w:val="30"/>
          <w:szCs w:val="30"/>
        </w:rPr>
        <w:t xml:space="preserve">7.  H2 2026 Priorities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7800"/>
        <w:gridCol w:w="5280"/>
      </w:tblGrid>
      <w:tr>
        <w:tc>
          <w:tcPr>
            <w:tcW w:type="dxa" w:w="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Initiative</w:t>
            </w:r>
          </w:p>
        </w:tc>
        <w:tc>
          <w:tcPr>
            <w:tcW w:type="dxa" w:w="5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P1</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Cisco MPE POC — July 30 gate execution. Deliver pilot policy compilation, rule dispatch, and enforcement validation across 8–12 pilot applications.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July 30, 2026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P1</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SNOW intent intake MVP. Structured ServiceNow request workflow replacing free-text firewall change requests. Required for MPE production expansion.</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June 30, 2026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P2</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affiliate FW collection. Obtain configs for 77 uncollected Aetna affiliate FW IPs (10.42.x, 10.46.x, 10.108.100.x). Required for complete HCB topology.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Q3 2026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P2</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VMware exit program — IPAM support. 13,271 of 16,846 VMware VMs have no disposition. IPAM attribution required before decomm workstreams can execute.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End 2026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CX11/BGP-announced prefix expansion. Resolve 10.171.x and 10.164.x Aetna branch space — IPAM gap identified from egress FW unmatched analysis.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Q3 2026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P3</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CSNA rebuild and hostgroup pipeline refresh. Following LM/IPAM corrections from H1 BU deck analysis — 4 sites pending rebuild.</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July 2026</w:t>
            </w:r>
          </w:p>
        </w:tc>
      </w:tr>
    </w:tbl>
    <w:p>
      <w:pPr>
        <w:spacing w:after="80"/>
      </w:pPr>
      <w:r>
        <w:t xml:space="preserve"/>
      </w:r>
    </w:p>
    <w:p>
      <w:pPr>
        <w:spacing w:after="80"/>
      </w:pPr>
      <w:r>
        <w:t xml:space="preserve"/>
      </w:r>
    </w:p>
    <w:p>
      <w:pPr>
        <w:spacing w:after="100"/>
      </w:pPr>
      <w:r>
        <w:rPr>
          <w:rFonts w:ascii="Arial" w:cs="Arial" w:eastAsia="Arial" w:hAnsi="Arial"/>
          <w:i/>
          <w:iCs/>
          <w:color w:val="AAAAAA"/>
          <w:sz w:val="20"/>
          <w:szCs w:val="20"/>
        </w:rPr>
        <w:t xml:space="preserve">Prepared by: CCD Platform Team — Information Security  |  CVS Health  |  June 2026  |  CONFIDENTIAL &amp; PROPRIETARY</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2026-06-24T23:49:39.054Z</dcterms:created>
  <dcterms:modified xsi:type="dcterms:W3CDTF">2026-06-24T23:49:39.055Z</dcterms:modified>
</cp:coreProperties>
</file>

<file path=docProps/custom.xml><?xml version="1.0" encoding="utf-8"?>
<Properties xmlns="http://schemas.openxmlformats.org/officeDocument/2006/custom-properties" xmlns:vt="http://schemas.openxmlformats.org/officeDocument/2006/docPropsVTypes"/>
</file>