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pBdr>
          <w:left w:val="single" w:color="17447C" w:sz="24" w:space="12"/>
        </w:pBdr>
        <w:spacing w:after="60"/>
        <w:ind w:left="280"/>
      </w:pPr>
      <w:r>
        <w:rPr>
          <w:rFonts w:ascii="Arial" w:cs="Arial" w:eastAsia="Arial" w:hAnsi="Arial"/>
          <w:color w:val="595959"/>
          <w:sz w:val="18"/>
          <w:szCs w:val="18"/>
        </w:rPr>
        <w:t xml:space="preserve">CVS Health  |  Information Security  |  Network Security Engineering</w:t>
      </w:r>
    </w:p>
    <w:p>
      <w:pPr>
        <w:pBdr>
          <w:left w:val="single" w:color="17447C" w:sz="24" w:space="12"/>
        </w:pBdr>
        <w:spacing w:after="60"/>
        <w:ind w:left="280"/>
      </w:pPr>
      <w:r>
        <w:rPr>
          <w:rFonts w:ascii="Arial" w:cs="Arial" w:eastAsia="Arial" w:hAnsi="Arial"/>
          <w:color w:val="404040"/>
          <w:sz w:val="44"/>
          <w:szCs w:val="44"/>
        </w:rPr>
        <w:t xml:space="preserve">External Dynamic List (EDL) Policy State</w:t>
      </w:r>
    </w:p>
    <w:p>
      <w:pPr>
        <w:pBdr>
          <w:left w:val="single" w:color="17447C" w:sz="24" w:space="12"/>
        </w:pBdr>
        <w:spacing w:after="60"/>
        <w:ind w:left="280"/>
      </w:pPr>
      <w:r>
        <w:rPr>
          <w:rFonts w:ascii="Arial" w:cs="Arial" w:eastAsia="Arial" w:hAnsi="Arial"/>
          <w:color w:val="17447C"/>
          <w:sz w:val="28"/>
          <w:szCs w:val="28"/>
        </w:rPr>
        <w:t xml:space="preserve">Palo Alto Networks Firewall Estate</w:t>
      </w:r>
    </w:p>
    <w:p>
      <w:pPr>
        <w:pBdr>
          <w:left w:val="single" w:color="17447C" w:sz="24" w:space="12"/>
        </w:pBdr>
        <w:spacing w:after="480"/>
        <w:ind w:left="280"/>
      </w:pPr>
      <w:r>
        <w:rPr>
          <w:rFonts w:ascii="Arial" w:cs="Arial" w:eastAsia="Arial" w:hAnsi="Arial"/>
          <w:color w:val="595959"/>
          <w:sz w:val="18"/>
          <w:szCs w:val="18"/>
        </w:rPr>
        <w:t xml:space="preserve">June 2026  —  Sub-report to: IDS/IPS/DLP Policy State Assessment  |  CCD Platform Analysis</w:t>
      </w:r>
    </w:p>
    <w:p>
      <w:pPr>
        <w:pStyle w:val="Heading1"/>
        <w:pBdr>
          <w:bottom w:val="single" w:color="17447C" w:sz="4" w:space="4"/>
        </w:pBdr>
        <w:spacing w:after="120" w:before="320"/>
      </w:pPr>
      <w:r>
        <w:rPr>
          <w:rFonts w:ascii="Arial" w:cs="Arial" w:eastAsia="Arial" w:hAnsi="Arial"/>
          <w:color w:val="404040"/>
          <w:sz w:val="30"/>
          <w:szCs w:val="30"/>
        </w:rPr>
        <w:t xml:space="preserve">1. Executive Summary</w:t>
      </w:r>
    </w:p>
    <w:p>
      <w:pPr>
        <w:spacing w:after="100"/>
      </w:pPr>
      <w:r>
        <w:rPr>
          <w:rFonts w:ascii="Arial" w:cs="Arial" w:eastAsia="Arial" w:hAnsi="Arial"/>
          <w:color w:val="595959"/>
          <w:sz w:val="20"/>
          <w:szCs w:val="20"/>
        </w:rPr>
        <w:t xml:space="preserve">The Palo Alto estate has 15 External Dynamic List (EDL) objects defined across its two Panorama instances. EDLs are dynamically-refreshed IP/URL/domain feeds used as match objects in security policy — either to allow trusted SaaS traffic to bypass inspection, or to block known-malicious destinations. This assessment inventories every EDL, its refresh cadence, and whether it is actually referenced by a security rule.</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55A11" w:sz="4"/>
              <w:left w:val="single" w:color="C55A11" w:sz="24"/>
              <w:bottom w:val="single" w:color="C55A11" w:sz="4"/>
              <w:right w:val="single" w:color="C55A11" w:sz="4"/>
            </w:tcBorders>
            <w:shd w:fill="FEF3E2" w:val="clear"/>
            <w:tcMar>
              <w:top w:type="dxa" w:w="160"/>
              <w:left w:type="dxa" w:w="240"/>
              <w:bottom w:type="dxa" w:w="160"/>
              <w:right w:type="dxa" w:w="240"/>
            </w:tcMar>
          </w:tcPr>
          <w:p>
            <w:pPr>
              <w:spacing w:after="60"/>
            </w:pPr>
            <w:r>
              <w:rPr>
                <w:rFonts w:ascii="Arial" w:cs="Arial" w:eastAsia="Arial" w:hAnsi="Arial"/>
                <w:b/>
                <w:bCs/>
                <w:color w:val="C55A11"/>
                <w:sz w:val="20"/>
                <w:szCs w:val="20"/>
              </w:rPr>
              <w:t xml:space="preserve">Bottom line</w:t>
            </w:r>
          </w:p>
          <w:p>
            <w:pPr>
              <w:spacing w:after="40"/>
            </w:pPr>
            <w:r>
              <w:rPr>
                <w:rFonts w:ascii="Arial" w:cs="Arial" w:eastAsia="Arial" w:hAnsi="Arial"/>
                <w:color w:val="404040"/>
                <w:sz w:val="19"/>
                <w:szCs w:val="19"/>
              </w:rPr>
              <w:t xml:space="preserve">14 of 15 EDLs are SaaS-bypass/allowlists (Zscaler, Microsoft 365, Webex, Akamai, GitHub, MS Defender) — these route trusted vendor traffic around inspection rather than blocking threats.</w:t>
            </w:r>
          </w:p>
          <w:p>
            <w:pPr>
              <w:spacing w:after="40"/>
            </w:pPr>
            <w:r>
              <w:rPr>
                <w:rFonts w:ascii="Arial" w:cs="Arial" w:eastAsia="Arial" w:hAnsi="Arial"/>
                <w:color w:val="404040"/>
                <w:sz w:val="19"/>
                <w:szCs w:val="19"/>
              </w:rPr>
              <w:t xml:space="preserve">Only 1 EDL is a security blocklist actually deployed in Panorama today: SOC-Deny-List-Domain, a SOC-curated malicious domain feed sourced from Aetna's proxy console (proxyconsole.aetna.com).</w:t>
            </w:r>
          </w:p>
          <w:p>
            <w:pPr>
              <w:spacing w:after="40"/>
            </w:pPr>
            <w:r>
              <w:rPr>
                <w:rFonts w:ascii="Arial" w:cs="Arial" w:eastAsia="Arial" w:hAnsi="Arial"/>
                <w:color w:val="404040"/>
                <w:sz w:val="19"/>
                <w:szCs w:val="19"/>
              </w:rPr>
              <w:t xml:space="preserve">CONFIRMED: this is deployed as a web content block list category, not a dedicated threat control — it sits in the same URL Filtering block list as gambling, dating, and social-networking, applied to the standard internal-user internet egress rules at RI-One and Shea DC. See §3.1–3.2 for the full traced policy chain.</w:t>
            </w:r>
          </w:p>
          <w:p>
            <w:pPr>
              <w:spacing w:after="40"/>
            </w:pPr>
            <w:r>
              <w:rPr>
                <w:rFonts w:ascii="Arial" w:cs="Arial" w:eastAsia="Arial" w:hAnsi="Arial"/>
                <w:color w:val="404040"/>
                <w:sz w:val="19"/>
                <w:szCs w:val="19"/>
              </w:rPr>
              <w:t xml:space="preserve">SOC-Deny-List-Domain is wired into 10 URL filtering profiles as a "block" category — but per the parent IDS/IPS/DLP assessment, the URL filtering action across the estate is alert-only, not block. The SOC blocklist is being evaluated on every request but is not actually preventing access to listed domains.</w:t>
            </w:r>
          </w:p>
          <w:p>
            <w:pPr>
              <w:spacing w:after="40"/>
            </w:pPr>
            <w:r>
              <w:rPr>
                <w:rFonts w:ascii="Arial" w:cs="Arial" w:eastAsia="Arial" w:hAnsi="Arial"/>
                <w:color w:val="404040"/>
                <w:sz w:val="19"/>
                <w:szCs w:val="19"/>
              </w:rPr>
              <w:t xml:space="preserve">5 of 15 EDLs (Akamai_EDL, PaloAlto_EDL_o365_URL-shared, PaloAlto_EDL_o365_URL, plus 2 more) are defined but not referenced in any security rule — dormant objects.</w:t>
            </w:r>
          </w:p>
          <w:p>
            <w:pPr>
              <w:spacing w:after="40"/>
            </w:pPr>
            <w:r>
              <w:rPr>
                <w:rFonts w:ascii="Arial" w:cs="Arial" w:eastAsia="Arial" w:hAnsi="Arial"/>
                <w:color w:val="404040"/>
                <w:sz w:val="19"/>
                <w:szCs w:val="19"/>
              </w:rPr>
              <w:t xml:space="preserve">Duplicate Zscaler EDL definitions exist across device groups with different certificate profiles and refresh intervals (5-minute vs. hourly) — a consistency gap rather than a security gap.</w:t>
            </w:r>
          </w:p>
          <w:p>
            <w:pPr>
              <w:spacing w:after="40"/>
            </w:pPr>
            <w:r>
              <w:rPr>
                <w:rFonts w:ascii="Arial" w:cs="Arial" w:eastAsia="Arial" w:hAnsi="Arial"/>
                <w:color w:val="404040"/>
                <w:sz w:val="19"/>
                <w:szCs w:val="19"/>
              </w:rPr>
              <w:t xml:space="preserve">CONFIRMED AGAINST THE ACTUAL CURRENT PRODUCTION LIST (§6): the live SOC block list feeding SOC-Deny-List-Domain has 160 entries (1.0% of 16,562) that are silently skipped on every hourly import — including 65 IP addresses mixed into the domain list, 7 defanged-notation entries, and 9 email-shaped entries. None of these break the list, but they represent SOC-curated indicators providing zero blocking value today.</w:t>
            </w:r>
          </w:p>
        </w:tc>
      </w:tr>
    </w:tbl>
    <w:p>
      <w:pPr>
        <w:pStyle w:val="Heading1"/>
        <w:pBdr>
          <w:bottom w:val="single" w:color="17447C" w:sz="4" w:space="4"/>
        </w:pBdr>
        <w:spacing w:after="120" w:before="320"/>
      </w:pPr>
      <w:r>
        <w:rPr>
          <w:rFonts w:ascii="Arial" w:cs="Arial" w:eastAsia="Arial" w:hAnsi="Arial"/>
          <w:color w:val="404040"/>
          <w:sz w:val="30"/>
          <w:szCs w:val="30"/>
        </w:rPr>
        <w:t xml:space="preserve">2. EDL Inventory</w:t>
      </w:r>
    </w:p>
    <w:p>
      <w:pPr>
        <w:pStyle w:val="Heading2"/>
        <w:spacing w:after="100" w:before="240"/>
      </w:pPr>
      <w:r>
        <w:rPr>
          <w:rFonts w:ascii="Arial" w:cs="Arial" w:eastAsia="Arial" w:hAnsi="Arial"/>
          <w:color w:val="404040"/>
          <w:sz w:val="24"/>
          <w:szCs w:val="24"/>
        </w:rPr>
        <w:t xml:space="preserve">2.1  MID-PAN / WIN-PAN (RI-One + Windsor estate)</w:t>
      </w:r>
    </w:p>
    <w:p>
      <w:pPr>
        <w:spacing w:after="100"/>
      </w:pPr>
      <w:r>
        <w:rPr>
          <w:rFonts w:ascii="Arial" w:cs="Arial" w:eastAsia="Arial" w:hAnsi="Arial"/>
          <w:color w:val="595959"/>
          <w:sz w:val="20"/>
          <w:szCs w:val="20"/>
        </w:rPr>
        <w:t xml:space="preserve">4 EDLs defined, all at device-group scope (no shared-level EDLs in this Panorama instance):</w:t>
      </w:r>
    </w:p>
    <w:p>
      <w:pPr>
        <w:spacing w:after="120"/>
      </w:pPr>
      <w:r>
        <w:t xml:space="preserve"/>
      </w:r>
    </w:p>
    <w:tbl>
      <w:tblPr>
        <w:tblW w:type="dxa" w:w="126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000"/>
        <w:gridCol w:w="1200"/>
        <w:gridCol w:w="4400"/>
        <w:gridCol w:w="1880"/>
      </w:tblGrid>
      <w:tr>
        <w:tc>
          <w:tcPr>
            <w:tcW w:type="dxa" w:w="24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EDL Name</w:t>
            </w:r>
          </w:p>
        </w:tc>
        <w:tc>
          <w:tcPr>
            <w:tcW w:type="dxa" w:w="1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Scope</w:t>
            </w:r>
          </w:p>
        </w:tc>
        <w:tc>
          <w:tcPr>
            <w:tcW w:type="dxa" w:w="10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Type</w:t>
            </w:r>
          </w:p>
        </w:tc>
        <w:tc>
          <w:tcPr>
            <w:tcW w:type="dxa" w:w="1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Refresh</w:t>
            </w:r>
          </w:p>
        </w:tc>
        <w:tc>
          <w:tcPr>
            <w:tcW w:type="dxa" w:w="44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Purpose</w:t>
            </w:r>
          </w:p>
        </w:tc>
        <w:tc>
          <w:tcPr>
            <w:tcW w:type="dxa" w:w="18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Used in Rules?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CME_Zscaler_EDL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cme-devicegroup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five-minute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Zscaler proxy hub IP allowlist (bypass for proxy-bound traffic)</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 1 rule(s)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EDL-Webex-URLs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MID-WIN-GLR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daily</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Cisco Webex SaaS bypass list</w:t>
            </w:r>
          </w:p>
        </w:tc>
        <w:tc>
          <w:tcPr>
            <w:tcW w:type="dxa" w:w="1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C0000"/>
                <w:sz w:val="17"/>
                <w:szCs w:val="17"/>
              </w:rPr>
              <w:t xml:space="preserve">✗ Not referenced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EDL-Webex-IP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MID-WIN-GLR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daily</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Cisco Webex SaaS bypass list</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 2 rule(s)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MID-WIN-Zccalar-EDL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MID-WIN-GLR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five-minute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Zscaler proxy hub IP allowlist (duplicate of CME_Zscaler_EDL, different cert profile)</w:t>
            </w:r>
          </w:p>
        </w:tc>
        <w:tc>
          <w:tcPr>
            <w:tcW w:type="dxa" w:w="1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 1 rule(s)</w:t>
            </w:r>
          </w:p>
        </w:tc>
      </w:tr>
    </w:tbl>
    <w:p>
      <w:pPr>
        <w:spacing w:after="120"/>
      </w:pPr>
      <w:r>
        <w:t xml:space="preserve"/>
      </w:r>
    </w:p>
    <w:p>
      <w:pPr>
        <w:pStyle w:val="Heading2"/>
        <w:spacing w:after="100" w:before="240"/>
      </w:pPr>
      <w:r>
        <w:rPr>
          <w:rFonts w:ascii="Arial" w:cs="Arial" w:eastAsia="Arial" w:hAnsi="Arial"/>
          <w:color w:val="404040"/>
          <w:sz w:val="24"/>
          <w:szCs w:val="24"/>
        </w:rPr>
        <w:t xml:space="preserve">2.2  PAZSHDC / RRISHDC (Shea DC + Las Vegas COLO estate)</w:t>
      </w:r>
    </w:p>
    <w:p>
      <w:pPr>
        <w:spacing w:after="100"/>
      </w:pPr>
      <w:r>
        <w:rPr>
          <w:rFonts w:ascii="Arial" w:cs="Arial" w:eastAsia="Arial" w:hAnsi="Arial"/>
          <w:color w:val="595959"/>
          <w:sz w:val="20"/>
          <w:szCs w:val="20"/>
        </w:rPr>
        <w:t xml:space="preserve">11 EDLs defined — 4 at shared scope (inherited by all device groups) and 7 at device-group scope:</w:t>
      </w:r>
    </w:p>
    <w:p>
      <w:pPr>
        <w:spacing w:after="120"/>
      </w:pPr>
      <w:r>
        <w:t xml:space="preserve"/>
      </w:r>
    </w:p>
    <w:tbl>
      <w:tblPr>
        <w:tblW w:type="dxa" w:w="126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000"/>
        <w:gridCol w:w="1200"/>
        <w:gridCol w:w="4400"/>
        <w:gridCol w:w="1880"/>
      </w:tblGrid>
      <w:tr>
        <w:tc>
          <w:tcPr>
            <w:tcW w:type="dxa" w:w="24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EDL Name</w:t>
            </w:r>
          </w:p>
        </w:tc>
        <w:tc>
          <w:tcPr>
            <w:tcW w:type="dxa" w:w="1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Scope</w:t>
            </w:r>
          </w:p>
        </w:tc>
        <w:tc>
          <w:tcPr>
            <w:tcW w:type="dxa" w:w="10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Type</w:t>
            </w:r>
          </w:p>
        </w:tc>
        <w:tc>
          <w:tcPr>
            <w:tcW w:type="dxa" w:w="1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Refresh</w:t>
            </w:r>
          </w:p>
        </w:tc>
        <w:tc>
          <w:tcPr>
            <w:tcW w:type="dxa" w:w="44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Purpose</w:t>
            </w:r>
          </w:p>
        </w:tc>
        <w:tc>
          <w:tcPr>
            <w:tcW w:type="dxa" w:w="18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Used in Rules?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Akamai_EDL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shared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five-minute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Akamai CDN IP allowlist</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C0000"/>
                <w:sz w:val="17"/>
                <w:szCs w:val="17"/>
              </w:rPr>
              <w:t xml:space="preserve">✗ Not referenced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PaloAlto_EDL_o365_IPv4_shared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shared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hourly</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Microsoft 365 IP allowlist (direct-to-internet bypass for O365)</w:t>
            </w:r>
          </w:p>
        </w:tc>
        <w:tc>
          <w:tcPr>
            <w:tcW w:type="dxa" w:w="1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 6 rule(s)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PaloAlto_EDL_o365_URL-shared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shared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hourly</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Microsoft 365 URL allowlist</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C0000"/>
                <w:sz w:val="17"/>
                <w:szCs w:val="17"/>
              </w:rPr>
              <w:t xml:space="preserve">✗ Not referenced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SOC-Deny-List-Domain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shared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 (domain)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hourly</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SOC-curated malicious/blocked domain list — the only security-blocklist EDL in the estate</w:t>
            </w:r>
          </w:p>
        </w:tc>
        <w:tc>
          <w:tcPr>
            <w:tcW w:type="dxa" w:w="1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 Profile-only (see §3)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PaloAlto_EDL_o365_URL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DG_RI_Egress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hourly</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Local copy of shared O365 URL EDL for RI-One egress</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 Profile-only (see §3)</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PaloAlto_EDL_o365_IPv4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DG_RI_Egress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hourly</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Local copy of shared O365 IPv4 EDL for RI-One egress</w:t>
            </w:r>
          </w:p>
        </w:tc>
        <w:tc>
          <w:tcPr>
            <w:tcW w:type="dxa" w:w="1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 Profile-only (see §3)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Zscaler-EDL (DG_RI_Egress)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DG_RI_Egress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five-minute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Zscaler proxy hub allowlist for RI-One egress</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 Profile-only (see §3)</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Zscaler-EDL (DG_AZ_Egress)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DG_AZ_Egress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five-minute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Zscaler proxy hub allowlist for Shea DC egress</w:t>
            </w:r>
          </w:p>
        </w:tc>
        <w:tc>
          <w:tcPr>
            <w:tcW w:type="dxa" w:w="1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 Profile-only (see §3)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PA-EDL-MS-DEFENDER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DG_LV_Egress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hourly</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Microsoft Defender for Endpoint cloud service bypass — Las Vegas COLO only</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 Profile-only (see §3)</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Zscaler-EDL (DG_LV_Egress)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DG_LV_Egress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hourly</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Zscaler proxy hub allowlist for Las Vegas COLO egress (hourly refresh — slower than other Zscaler EDLs)</w:t>
            </w:r>
          </w:p>
        </w:tc>
        <w:tc>
          <w:tcPr>
            <w:tcW w:type="dxa" w:w="1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 Profile-only (see §3)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GitHub-EDL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DG_LV_Egress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hourly</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GitHub IP allowlist — Las Vegas COLO only (likely CI/CD or dev tooling egress)</w:t>
            </w:r>
          </w:p>
        </w:tc>
        <w:tc>
          <w:tcPr>
            <w:tcW w:type="dxa" w:w="1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 Profile-only (see §3)</w:t>
            </w:r>
          </w:p>
        </w:tc>
      </w:tr>
    </w:tbl>
    <w:p>
      <w:pPr>
        <w:pStyle w:val="Heading1"/>
        <w:pBdr>
          <w:bottom w:val="single" w:color="17447C" w:sz="4" w:space="4"/>
        </w:pBdr>
        <w:spacing w:after="120" w:before="320"/>
      </w:pPr>
      <w:r>
        <w:rPr>
          <w:rFonts w:ascii="Arial" w:cs="Arial" w:eastAsia="Arial" w:hAnsi="Arial"/>
          <w:color w:val="404040"/>
          <w:sz w:val="30"/>
          <w:szCs w:val="30"/>
        </w:rPr>
        <w:t xml:space="preserve">3. SOC-Deny-List-Domain — Deployed as a Web Content Block List Category</w:t>
      </w:r>
    </w:p>
    <w:p>
      <w:pPr>
        <w:spacing w:after="100"/>
      </w:pPr>
      <w:r>
        <w:rPr>
          <w:rFonts w:ascii="Arial" w:cs="Arial" w:eastAsia="Arial" w:hAnsi="Arial"/>
          <w:color w:val="595959"/>
          <w:sz w:val="20"/>
          <w:szCs w:val="20"/>
        </w:rPr>
        <w:t xml:space="preserve">SOC-Deny-List-Domain is the sole threat-intelligence-driven EDL in the estate. It is sourced from Aetna's internal proxy console (proxyconsole.aetna.com/prod/SOCDenyList.domains.txt) and refreshes hourly — fed by SOC incident response and threat intel triage. Architecturally, it is not deployed as a dedicated security control — it is configured as one more category inside the standard general-purpose web content / acceptable-use block list, sitting alongside PAN-DB categories like adult, gambling, dating, and social-networking.</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9480"/>
      </w:tblGrid>
      <w:tr>
        <w:tc>
          <w:tcPr>
            <w:tcW w:type="dxa" w:w="4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Attribute</w:t>
            </w:r>
          </w:p>
        </w:tc>
        <w:tc>
          <w:tcPr>
            <w:tcW w:type="dxa" w:w="94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Source URL</w:t>
            </w:r>
          </w:p>
        </w:tc>
        <w:tc>
          <w:tcPr>
            <w:tcW w:type="dxa" w:w="9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https://proxyconsole.aetna.com/prod/SOCDenyList.domains.txt</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List type</w:t>
            </w:r>
          </w:p>
        </w:tc>
        <w:tc>
          <w:tcPr>
            <w:tcW w:type="dxa" w:w="9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 (consumed as a URL Filtering category, NOT an Anti-Spyware DNS sinkhole)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Refresh interval</w:t>
            </w:r>
          </w:p>
        </w:tc>
        <w:tc>
          <w:tcPr>
            <w:tcW w:type="dxa" w:w="9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Hourly</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Certificate profile</w:t>
            </w:r>
          </w:p>
        </w:tc>
        <w:tc>
          <w:tcPr>
            <w:tcW w:type="dxa" w:w="9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CVSHealth_Aetena-AD-Profile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Scope</w:t>
            </w:r>
          </w:p>
        </w:tc>
        <w:tc>
          <w:tcPr>
            <w:tcW w:type="dxa" w:w="9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Shared (PAZSHDC Panorama) — inherited by all 7 device groups under this Panorama</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Wired into security rule source/destination?</w:t>
            </w:r>
          </w:p>
        </w:tc>
        <w:tc>
          <w:tcPr>
            <w:tcW w:type="dxa" w:w="9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No</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Wired into URL filtering profile "block" category?</w:t>
            </w:r>
          </w:p>
        </w:tc>
        <w:tc>
          <w:tcPr>
            <w:tcW w:type="dxa" w:w="9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Yes — 10 profiles</w:t>
            </w:r>
          </w:p>
        </w:tc>
      </w:tr>
    </w:tbl>
    <w:p>
      <w:pPr>
        <w:spacing w:after="120"/>
      </w:pPr>
      <w:r>
        <w:t xml:space="preserve"/>
      </w:r>
    </w:p>
    <w:p>
      <w:pPr>
        <w:pStyle w:val="Heading2"/>
        <w:spacing w:after="100" w:before="240"/>
      </w:pPr>
      <w:r>
        <w:rPr>
          <w:rFonts w:ascii="Arial" w:cs="Arial" w:eastAsia="Arial" w:hAnsi="Arial"/>
          <w:color w:val="404040"/>
          <w:sz w:val="24"/>
          <w:szCs w:val="24"/>
        </w:rPr>
        <w:t xml:space="preserve">3.1  Confirmed: Bundled With General Web Content Filtering, Not a Standalone Control</w:t>
      </w:r>
    </w:p>
    <w:p>
      <w:pPr>
        <w:spacing w:after="100"/>
      </w:pPr>
      <w:r>
        <w:rPr>
          <w:rFonts w:ascii="Arial" w:cs="Arial" w:eastAsia="Arial" w:hAnsi="Arial"/>
          <w:color w:val="595959"/>
          <w:sz w:val="20"/>
          <w:szCs w:val="20"/>
        </w:rPr>
        <w:t xml:space="preserve">The URL-Filtering-Proxy-AllI profile's block list (40 categories total) shows exactly what company SOC-Deny-List-Domain keeps:</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10480"/>
      </w:tblGrid>
      <w:tr>
        <w:tc>
          <w:tcPr>
            <w:tcW w:type="dxa" w:w="3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Category Type</w:t>
            </w:r>
          </w:p>
        </w:tc>
        <w:tc>
          <w:tcPr>
            <w:tcW w:type="dxa" w:w="104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Examples in the Same Block List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Threat / security (SOC-curated)</w:t>
            </w:r>
          </w:p>
        </w:tc>
        <w:tc>
          <w:tcPr>
            <w:tcW w:type="dxa" w:w="10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SOC-Deny-List-Domain, command-and-control, malware, phishing, ransomware, compromised-website, hacking, scanning-activity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Acceptable-use / content policy</w:t>
            </w:r>
          </w:p>
        </w:tc>
        <w:tc>
          <w:tcPr>
            <w:tcW w:type="dxa" w:w="10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adult, gambling, dating, social-networking, streaming-media, weapons, nudity, marijuana, abused-drugs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IT/security hygiene</w:t>
            </w:r>
          </w:p>
        </w:tc>
        <w:tc>
          <w:tcPr>
            <w:tcW w:type="dxa" w:w="10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dynamic-dns, encrypted-dns, proxy-avoidance-and-anonymizers, remote-access, peer-to-peer, Proxy-Zscaler-Blacklist</w:t>
            </w:r>
          </w:p>
        </w:tc>
      </w:tr>
    </w:tbl>
    <w:p>
      <w:pPr>
        <w:spacing w:after="120"/>
      </w:pPr>
      <w:r>
        <w:t xml:space="preserve"/>
      </w:r>
    </w:p>
    <w:p>
      <w:pPr>
        <w:spacing w:after="100"/>
      </w:pPr>
      <w:r>
        <w:rPr>
          <w:rFonts w:ascii="Arial" w:cs="Arial" w:eastAsia="Arial" w:hAnsi="Arial"/>
          <w:i/>
          <w:iCs/>
          <w:color w:val="595959"/>
          <w:sz w:val="20"/>
          <w:szCs w:val="20"/>
        </w:rPr>
        <w:t xml:space="preserve">This confirms the SOC threat feed is operationally a web content block list entry, not a dedicated threat-blocking mechanism — it is evaluated by the same URL Filtering engine, on the same profiles, with the same alert-only action setting, as content-policy categories like gambling and dating sites. There is no elevated or differentiated enforcement for SOC-curated malicious domains versus a general acceptable-use category.</w:t>
      </w:r>
    </w:p>
    <w:p>
      <w:pPr>
        <w:pStyle w:val="Heading2"/>
        <w:spacing w:after="100" w:before="240"/>
      </w:pPr>
      <w:r>
        <w:rPr>
          <w:rFonts w:ascii="Arial" w:cs="Arial" w:eastAsia="Arial" w:hAnsi="Arial"/>
          <w:color w:val="404040"/>
          <w:sz w:val="24"/>
          <w:szCs w:val="24"/>
        </w:rPr>
        <w:t xml:space="preserve">3.2  Full Policy Chain — Confirmed End-to-End</w:t>
      </w:r>
    </w:p>
    <w:p>
      <w:pPr>
        <w:spacing w:after="100"/>
      </w:pPr>
      <w:r>
        <w:rPr>
          <w:rFonts w:ascii="Arial" w:cs="Arial" w:eastAsia="Arial" w:hAnsi="Arial"/>
          <w:color w:val="595959"/>
          <w:sz w:val="20"/>
          <w:szCs w:val="20"/>
        </w:rPr>
        <w:t xml:space="preserve">Traced directly from the PAZSHDC Panorama config, object reference through to the security rule that applies it:</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8480"/>
      </w:tblGrid>
      <w:tr>
        <w:tc>
          <w:tcPr>
            <w:tcW w:type="dxa" w:w="20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Layer</w:t>
            </w:r>
          </w:p>
        </w:tc>
        <w:tc>
          <w:tcPr>
            <w:tcW w:type="dxa" w:w="3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Object</w:t>
            </w:r>
          </w:p>
        </w:tc>
        <w:tc>
          <w:tcPr>
            <w:tcW w:type="dxa" w:w="84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 EDL object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SOC-Deny-List-Domain</w:t>
            </w:r>
          </w:p>
        </w:tc>
        <w:tc>
          <w:tcPr>
            <w:tcW w:type="dxa" w:w="8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type=url, hourly refresh, proxyconsole.aetna.com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 Security profile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10 URL Filtering profiles</w:t>
            </w:r>
          </w:p>
        </w:tc>
        <w:tc>
          <w:tcPr>
            <w:tcW w:type="dxa" w:w="8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URL-Filtering-Proxy-AllI / -Gambling / -Gmail / -IM / -Media / -Remote-Acc / -Shareware / -Social-Net / -Storage / -Web-Mail — EDL is one of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3. Profile group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10 matching Profile Groups</w:t>
            </w:r>
          </w:p>
        </w:tc>
        <w:tc>
          <w:tcPr>
            <w:tcW w:type="dxa" w:w="8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SPG-Proxy-All, SPG-Proxy-Gambling, SPG-Proxy-Gmail, etc. — 1:1 with the URL Filtering profiles above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4. Security rule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LAN-TO-INTERNET-PROXY-* rule family</w:t>
            </w:r>
          </w:p>
        </w:tc>
        <w:tc>
          <w:tcPr>
            <w:tcW w:type="dxa" w:w="8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Present identically in DG_RI_Egress (RI-One) and DG_AZ_Egress (Shea DC) — e.g. LAN-TO-INTERNET-PROXY-ALL, -GAMBLING, -SOCIAL-NET, -WEB-MAIL,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5. Traffic governed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General internal user internet egress</w:t>
            </w:r>
          </w:p>
        </w:tc>
        <w:tc>
          <w:tcPr>
            <w:tcW w:type="dxa" w:w="8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From-zone inside/Inside → To-zone outside, Source = Internal-CVS_Aetna-Networks, Destination = any, Action = allow (category enforcement hap</w:t>
            </w:r>
          </w:p>
        </w:tc>
      </w:tr>
    </w:tbl>
    <w:p>
      <w:pPr>
        <w:spacing w:after="120"/>
      </w:pPr>
      <w:r>
        <w:t xml:space="preserve"/>
      </w:r>
    </w:p>
    <w:p>
      <w:pPr>
        <w:spacing w:after="100"/>
      </w:pPr>
      <w:r>
        <w:rPr>
          <w:rFonts w:ascii="Arial" w:cs="Arial" w:eastAsia="Arial" w:hAnsi="Arial"/>
          <w:b/>
          <w:bCs/>
          <w:color w:val="595959"/>
          <w:sz w:val="20"/>
          <w:szCs w:val="20"/>
        </w:rPr>
        <w:t xml:space="preserve">In plain terms: this is the standard RI-One and Shea DC proxy egress rule set that every general internal user's outbound web traffic passes through. The SOC malicious-domain feed rides along inside the same web content filtering check as the gambling and dating site categories — same engine, same profiles, same enforcement gap.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C0000" w:sz="4"/>
              <w:left w:val="single" w:color="CC0000" w:sz="24"/>
              <w:bottom w:val="single" w:color="CC0000" w:sz="4"/>
              <w:right w:val="single" w:color="CC0000" w:sz="4"/>
            </w:tcBorders>
            <w:shd w:fill="FBEAEA" w:val="clear"/>
            <w:tcMar>
              <w:top w:type="dxa" w:w="160"/>
              <w:left w:type="dxa" w:w="240"/>
              <w:bottom w:type="dxa" w:w="160"/>
              <w:right w:type="dxa" w:w="240"/>
            </w:tcMar>
          </w:tcPr>
          <w:p>
            <w:pPr>
              <w:spacing w:after="60"/>
            </w:pPr>
            <w:r>
              <w:rPr>
                <w:rFonts w:ascii="Arial" w:cs="Arial" w:eastAsia="Arial" w:hAnsi="Arial"/>
                <w:b/>
                <w:bCs/>
                <w:color w:val="CC0000"/>
                <w:sz w:val="20"/>
                <w:szCs w:val="20"/>
              </w:rPr>
              <w:t xml:space="preserve">Critical gap: blocklist evaluated but not enforced</w:t>
            </w:r>
          </w:p>
          <w:p>
            <w:pPr>
              <w:spacing w:after="40"/>
            </w:pPr>
            <w:r>
              <w:rPr>
                <w:rFonts w:ascii="Arial" w:cs="Arial" w:eastAsia="Arial" w:hAnsi="Arial"/>
                <w:color w:val="404040"/>
                <w:sz w:val="19"/>
                <w:szCs w:val="19"/>
              </w:rPr>
              <w:t xml:space="preserve">SOC-Deny-List-Domain is correctly fed into URL filtering policy as a 'block' category across 10 profiles spanning proxy egress traffic (web mail, IM, social networking, gambling, remote access, storage, etc.).</w:t>
            </w:r>
          </w:p>
          <w:p>
            <w:pPr>
              <w:spacing w:after="40"/>
            </w:pPr>
            <w:r>
              <w:rPr>
                <w:rFonts w:ascii="Arial" w:cs="Arial" w:eastAsia="Arial" w:hAnsi="Arial"/>
                <w:color w:val="404040"/>
                <w:sz w:val="19"/>
                <w:szCs w:val="19"/>
              </w:rPr>
              <w:t xml:space="preserve">However, this assessment's parent report (IDS/IPS/DLP Policy State Assessment, §4.1) found that URL filtering category action across the entire estate is configured as alert/log rather than block — the PAN-OS action field is not set to actually drop the session or present a block page.</w:t>
            </w:r>
          </w:p>
          <w:p>
            <w:pPr>
              <w:spacing w:after="40"/>
            </w:pPr>
            <w:r>
              <w:rPr>
                <w:rFonts w:ascii="Arial" w:cs="Arial" w:eastAsia="Arial" w:hAnsi="Arial"/>
                <w:color w:val="404040"/>
                <w:sz w:val="19"/>
                <w:szCs w:val="19"/>
              </w:rPr>
              <w:t xml:space="preserve">Net effect: every domain on the SOC's curated malicious-domain list is being checked against user traffic, logged when matched, but NOT blocked. The SOC blocklist is functioning as a detection/logging feed rather than a preventive control.</w:t>
            </w:r>
          </w:p>
          <w:p>
            <w:pPr>
              <w:spacing w:after="40"/>
            </w:pPr>
            <w:r>
              <w:rPr>
                <w:rFonts w:ascii="Arial" w:cs="Arial" w:eastAsia="Arial" w:hAnsi="Arial"/>
                <w:color w:val="404040"/>
                <w:sz w:val="19"/>
                <w:szCs w:val="19"/>
              </w:rPr>
              <w:t xml:space="preserve">This is the same root-cause misconfiguration as the broader URL filtering finding — fixing the URL filtering action field (see parent report Recommendation 3) will activate SOC-Deny-List-Domain enforcement as a side effect, with no additional EDL-specific work required.</w:t>
            </w:r>
          </w:p>
        </w:tc>
      </w:tr>
    </w:tbl>
    <w:p>
      <w:pPr>
        <w:pStyle w:val="Heading1"/>
        <w:pBdr>
          <w:bottom w:val="single" w:color="17447C" w:sz="4" w:space="4"/>
        </w:pBdr>
        <w:spacing w:after="120" w:before="320"/>
      </w:pPr>
      <w:r>
        <w:rPr>
          <w:rFonts w:ascii="Arial" w:cs="Arial" w:eastAsia="Arial" w:hAnsi="Arial"/>
          <w:color w:val="404040"/>
          <w:sz w:val="30"/>
          <w:szCs w:val="30"/>
        </w:rPr>
        <w:t xml:space="preserve">4. Dormant EDLs</w:t>
      </w:r>
    </w:p>
    <w:p>
      <w:pPr>
        <w:spacing w:after="100"/>
      </w:pPr>
      <w:r>
        <w:rPr>
          <w:rFonts w:ascii="Arial" w:cs="Arial" w:eastAsia="Arial" w:hAnsi="Arial"/>
          <w:color w:val="595959"/>
          <w:sz w:val="20"/>
          <w:szCs w:val="20"/>
        </w:rPr>
        <w:t xml:space="preserve">The following EDLs are defined in Panorama but are not referenced by any security policy rule. They consume a feed-refresh slot and certificate trust but provide no policy effect:</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8680"/>
      </w:tblGrid>
      <w:tr>
        <w:tc>
          <w:tcPr>
            <w:tcW w:type="dxa" w:w="3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EDL Name</w:t>
            </w:r>
          </w:p>
        </w:tc>
        <w:tc>
          <w:tcPr>
            <w:tcW w:type="dxa" w:w="1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Panorama</w:t>
            </w:r>
          </w:p>
        </w:tc>
        <w:tc>
          <w:tcPr>
            <w:tcW w:type="dxa" w:w="86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Defined Purpose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EDL-Webex-URLs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MID-PAN</w:t>
            </w:r>
          </w:p>
        </w:tc>
        <w:tc>
          <w:tcPr>
            <w:tcW w:type="dxa" w:w="8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Cisco Webex SaaS bypass list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Akamai_EDL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PAZSHDC</w:t>
            </w:r>
          </w:p>
        </w:tc>
        <w:tc>
          <w:tcPr>
            <w:tcW w:type="dxa" w:w="8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Akamai CDN IP allowlist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PaloAlto_EDL_o365_URL-shared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PAZSHDC</w:t>
            </w:r>
          </w:p>
        </w:tc>
        <w:tc>
          <w:tcPr>
            <w:tcW w:type="dxa" w:w="8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Microsoft 365 URL allowlist</w:t>
            </w:r>
          </w:p>
        </w:tc>
      </w:tr>
    </w:tbl>
    <w:p>
      <w:pPr>
        <w:spacing w:after="120"/>
      </w:pPr>
      <w:r>
        <w:t xml:space="preserve"/>
      </w:r>
    </w:p>
    <w:p>
      <w:pPr>
        <w:spacing w:after="100"/>
      </w:pPr>
      <w:r>
        <w:rPr>
          <w:rFonts w:ascii="Arial" w:cs="Arial" w:eastAsia="Arial" w:hAnsi="Arial"/>
          <w:i/>
          <w:iCs/>
          <w:color w:val="595959"/>
          <w:sz w:val="20"/>
          <w:szCs w:val="20"/>
        </w:rPr>
        <w:t xml:space="preserve">Note: PaloAlto_EDL_o365_URL-shared and PaloAlto_EDL_o365_URL (device-group local copy) being unused while the IPv4 sibling EDL is actively used in 6 rules suggests the O365 bypass policy may be IP-based only, with the URL variant created but never wired in — likely leftover from an incomplete implementation.</w:t>
      </w:r>
    </w:p>
    <w:p>
      <w:pPr>
        <w:pStyle w:val="Heading1"/>
        <w:pBdr>
          <w:bottom w:val="single" w:color="17447C" w:sz="4" w:space="4"/>
        </w:pBdr>
        <w:spacing w:after="120" w:before="320"/>
      </w:pPr>
      <w:r>
        <w:rPr>
          <w:rFonts w:ascii="Arial" w:cs="Arial" w:eastAsia="Arial" w:hAnsi="Arial"/>
          <w:color w:val="404040"/>
          <w:sz w:val="30"/>
          <w:szCs w:val="30"/>
        </w:rPr>
        <w:t xml:space="preserve">5. Duplication &amp; Consistency Observations</w:t>
      </w:r>
    </w:p>
    <w:p>
      <w:pPr>
        <w:spacing w:after="100"/>
      </w:pPr>
      <w:r>
        <w:rPr>
          <w:rFonts w:ascii="Arial" w:cs="Arial" w:eastAsia="Arial" w:hAnsi="Arial"/>
          <w:color w:val="595959"/>
          <w:sz w:val="20"/>
          <w:szCs w:val="20"/>
        </w:rPr>
        <w:t xml:space="preserve">Zscaler proxy-hub EDLs are independently defined at multiple device groups rather than as a single shared object, leading to drift:</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200"/>
        <w:gridCol w:w="5080"/>
      </w:tblGrid>
      <w:tr>
        <w:tc>
          <w:tcPr>
            <w:tcW w:type="dxa" w:w="2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EDL Instance</w:t>
            </w:r>
          </w:p>
        </w:tc>
        <w:tc>
          <w:tcPr>
            <w:tcW w:type="dxa" w:w="36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Device Group</w:t>
            </w:r>
          </w:p>
        </w:tc>
        <w:tc>
          <w:tcPr>
            <w:tcW w:type="dxa" w:w="2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Refresh</w:t>
            </w:r>
          </w:p>
        </w:tc>
        <w:tc>
          <w:tcPr>
            <w:tcW w:type="dxa" w:w="50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Certificate Profile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CME_Zscaler_EDL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cme-devicegroup (MID-PAN)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five-minute</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Zscaler_EDL_SSL_Profile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MID-WIN-Zccalar-EDL</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MID-WIN-GLR (MID-PAN)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five-minute</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WIN-MID-Zscaler-cert-profile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Zscaler-EDL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DG_RI_Egress (PAZSHDC)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five-minute</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DigiCert-Cert-Profile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Zscaler-EDL</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DG_AZ_Egress (PAZSHDC)</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five-minute</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DigiCert-Cert-Profile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Zscaler-EDL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DG_LV_Egress (PAZSHDC)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hourly</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DigiCert-Cert-Profile</w:t>
            </w:r>
          </w:p>
        </w:tc>
      </w:tr>
    </w:tbl>
    <w:p>
      <w:pPr>
        <w:spacing w:after="120"/>
      </w:pPr>
      <w:r>
        <w:t xml:space="preserve"/>
      </w:r>
    </w:p>
    <w:p>
      <w:pPr>
        <w:pStyle w:val="ListParagraph"/>
        <w:numPr>
          <w:ilvl w:val="0"/>
          <w:numId w:val="2"/>
        </w:numPr>
        <w:spacing w:after="60"/>
      </w:pPr>
      <w:r>
        <w:rPr>
          <w:rFonts w:ascii="Arial" w:cs="Arial" w:eastAsia="Arial" w:hAnsi="Arial"/>
          <w:color w:val="595959"/>
          <w:sz w:val="20"/>
          <w:szCs w:val="20"/>
        </w:rPr>
        <w:t xml:space="preserve">Four separate Zscaler EDL objects exist (one per device group/Panorama) pointing to the same upstream feed URL, each with independent refresh scheduling and certificate trust.</w:t>
      </w:r>
    </w:p>
    <w:p>
      <w:pPr>
        <w:pStyle w:val="ListParagraph"/>
        <w:numPr>
          <w:ilvl w:val="0"/>
          <w:numId w:val="2"/>
        </w:numPr>
        <w:spacing w:after="60"/>
      </w:pPr>
      <w:r>
        <w:rPr>
          <w:rFonts w:ascii="Arial" w:cs="Arial" w:eastAsia="Arial" w:hAnsi="Arial"/>
          <w:color w:val="595959"/>
          <w:sz w:val="20"/>
          <w:szCs w:val="20"/>
        </w:rPr>
        <w:t xml:space="preserve">DG_LV_Egress refreshes its Zscaler EDL hourly versus five-minute elsewhere — Las Vegas COLO egress IP changes from Zscaler would take up to 1 hour to propagate versus 5 minutes at other sites, a window where legitimate Zscaler traffic could be misclassified.</w:t>
      </w:r>
    </w:p>
    <w:p>
      <w:pPr>
        <w:pStyle w:val="ListParagraph"/>
        <w:numPr>
          <w:ilvl w:val="0"/>
          <w:numId w:val="2"/>
        </w:numPr>
        <w:spacing w:after="60"/>
      </w:pPr>
      <w:r>
        <w:rPr>
          <w:rFonts w:ascii="Arial" w:cs="Arial" w:eastAsia="Arial" w:hAnsi="Arial"/>
          <w:color w:val="595959"/>
          <w:sz w:val="20"/>
          <w:szCs w:val="20"/>
        </w:rPr>
        <w:t xml:space="preserve">Object naming is inconsistent ('MID-WIN-Zccalar-EDL' contains a typo: 'Zccalar' instead of 'Zscaler') — does not affect function but complicates searchability and audit.</w:t>
      </w:r>
    </w:p>
    <w:p>
      <w:pPr>
        <w:pStyle w:val="Heading1"/>
        <w:pBdr>
          <w:bottom w:val="single" w:color="17447C" w:sz="4" w:space="4"/>
        </w:pBdr>
        <w:spacing w:after="120" w:before="320"/>
      </w:pPr>
      <w:r>
        <w:rPr>
          <w:rFonts w:ascii="Arial" w:cs="Arial" w:eastAsia="Arial" w:hAnsi="Arial"/>
          <w:color w:val="404040"/>
          <w:sz w:val="30"/>
          <w:szCs w:val="30"/>
        </w:rPr>
        <w:t xml:space="preserve">6. Current Production SOC Block List — Source Validation</w:t>
      </w:r>
    </w:p>
    <w:p>
      <w:pPr>
        <w:spacing w:after="100"/>
      </w:pPr>
      <w:r>
        <w:rPr>
          <w:rFonts w:ascii="Arial" w:cs="Arial" w:eastAsia="Arial" w:hAnsi="Arial"/>
          <w:color w:val="595959"/>
          <w:sz w:val="20"/>
          <w:szCs w:val="20"/>
        </w:rPr>
        <w:t xml:space="preserve">This section supersedes earlier analysis of a separately-supplied EDL build. The file reviewed here (soc-block-list-6-30.txt) is confirmed as the actual list currently being consumed in production — it carries the type=string PAN-OS EDL header marker and is the same raw source from which SOC-Deny-List-Domain (described in §3) is fed at proxyconsole.aetna.com. This is a direct validation pass against the live, in-use list, not a staged or pending build.</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55A11" w:sz="4"/>
              <w:left w:val="single" w:color="C55A11" w:sz="24"/>
              <w:bottom w:val="single" w:color="C55A11" w:sz="4"/>
              <w:right w:val="single" w:color="C55A11" w:sz="4"/>
            </w:tcBorders>
            <w:shd w:fill="FEF3E2" w:val="clear"/>
            <w:tcMar>
              <w:top w:type="dxa" w:w="160"/>
              <w:left w:type="dxa" w:w="240"/>
              <w:bottom w:type="dxa" w:w="160"/>
              <w:right w:type="dxa" w:w="240"/>
            </w:tcMar>
          </w:tcPr>
          <w:p>
            <w:pPr>
              <w:spacing w:after="60"/>
            </w:pPr>
            <w:r>
              <w:rPr>
                <w:rFonts w:ascii="Arial" w:cs="Arial" w:eastAsia="Arial" w:hAnsi="Arial"/>
                <w:b/>
                <w:bCs/>
                <w:color w:val="C55A11"/>
                <w:sz w:val="20"/>
                <w:szCs w:val="20"/>
              </w:rPr>
              <w:t xml:space="preserve">Bottom line</w:t>
            </w:r>
          </w:p>
          <w:p>
            <w:pPr>
              <w:spacing w:after="40"/>
            </w:pPr>
            <w:r>
              <w:rPr>
                <w:rFonts w:ascii="Arial" w:cs="Arial" w:eastAsia="Arial" w:hAnsi="Arial"/>
                <w:color w:val="404040"/>
                <w:sz w:val="19"/>
                <w:szCs w:val="19"/>
              </w:rPr>
              <w:t xml:space="preserve">The current production block list contains 16,562 raw entries. Independent validation found 160 entries (0.97%) that are not valid PAN-OS domain/URL EDL syntax and are being silently skipped on every import cycle — this is happening now, on an hourly refresh, not a future risk.</w:t>
            </w:r>
          </w:p>
          <w:p>
            <w:pPr>
              <w:spacing w:after="40"/>
            </w:pPr>
            <w:r>
              <w:rPr>
                <w:rFonts w:ascii="Arial" w:cs="Arial" w:eastAsia="Arial" w:hAnsi="Arial"/>
                <w:color w:val="404040"/>
                <w:sz w:val="19"/>
                <w:szCs w:val="19"/>
              </w:rPr>
              <w:t xml:space="preserve">65 entries are full IPv4 addresses mixed into what is otherwise a domain list. These do not belong in a domain/URL-typed EDL — per PAN-OS formatting rules, the EDL must contain only entries matching its configured type, and IPs in a domain-typed list are skipped on parse.</w:t>
            </w:r>
          </w:p>
          <w:p>
            <w:pPr>
              <w:spacing w:after="40"/>
            </w:pPr>
            <w:r>
              <w:rPr>
                <w:rFonts w:ascii="Arial" w:cs="Arial" w:eastAsia="Arial" w:hAnsi="Arial"/>
                <w:color w:val="404040"/>
                <w:sz w:val="19"/>
                <w:szCs w:val="19"/>
              </w:rPr>
              <w:t xml:space="preserve">287 of the 16,562 entries are CVS Health or Aetna brand-targeted phishing/typosquat domains — this is a substantial, actively-maintained body of brand-specific threat coverage already in the list.</w:t>
            </w:r>
          </w:p>
          <w:p>
            <w:pPr>
              <w:spacing w:after="40"/>
            </w:pPr>
            <w:r>
              <w:rPr>
                <w:rFonts w:ascii="Arial" w:cs="Arial" w:eastAsia="Arial" w:hAnsi="Arial"/>
                <w:color w:val="404040"/>
                <w:sz w:val="19"/>
                <w:szCs w:val="19"/>
              </w:rPr>
              <w:t xml:space="preserve">None of the 160 problem entries cause a list failure — PAN-OS silently skips non-conforming entries during parsing (confirmed in §6.1 below) — but each represents a SOC-curated indicator that currently provides zero blocking value.</w:t>
            </w:r>
          </w:p>
        </w:tc>
      </w:tr>
    </w:tbl>
    <w:p>
      <w:pPr>
        <w:pStyle w:val="Heading2"/>
        <w:spacing w:after="100" w:before="240"/>
      </w:pPr>
      <w:r>
        <w:rPr>
          <w:rFonts w:ascii="Arial" w:cs="Arial" w:eastAsia="Arial" w:hAnsi="Arial"/>
          <w:color w:val="404040"/>
          <w:sz w:val="24"/>
          <w:szCs w:val="24"/>
        </w:rPr>
        <w:t xml:space="preserve">6.1  Validation Findings — Entries Skipped on Every Import</w:t>
      </w:r>
    </w:p>
    <w:p>
      <w:pPr>
        <w:spacing w:after="100"/>
      </w:pPr>
      <w:r>
        <w:rPr>
          <w:rFonts w:ascii="Arial" w:cs="Arial" w:eastAsia="Arial" w:hAnsi="Arial"/>
          <w:color w:val="595959"/>
          <w:sz w:val="20"/>
          <w:szCs w:val="20"/>
        </w:rPr>
        <w:t xml:space="preserve">Per PAN-OS documentation (confirmed in §3 of this report for a different EDL): "the firewall skips entries that do not match the list type" during parsing. This is silent — no commit error, no list failure — but it means SOC-curated indicators in the categories below currently provide zero blocking value every time the list refreshes.</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3700"/>
        <w:gridCol w:w="6680"/>
      </w:tblGrid>
      <w:tr>
        <w:tc>
          <w:tcPr>
            <w:tcW w:type="dxa" w:w="26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Category</w:t>
            </w:r>
          </w:p>
        </w:tc>
        <w:tc>
          <w:tcPr>
            <w:tcW w:type="dxa" w:w="7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Count</w:t>
            </w:r>
          </w:p>
        </w:tc>
        <w:tc>
          <w:tcPr>
            <w:tcW w:type="dxa" w:w="37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Example(s)</w:t>
            </w:r>
          </w:p>
        </w:tc>
        <w:tc>
          <w:tcPr>
            <w:tcW w:type="dxa" w:w="66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Why It Is Skipped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SHA-256/SHA-1 file hashes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12</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1f9f60ff214b14777019e0573a260a…</w:t>
            </w:r>
          </w:p>
        </w:tc>
        <w:tc>
          <w:tcPr>
            <w:tcW w:type="dxa" w:w="6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Not domain/URL/IP syntax — belongs in WildFire/file analysis, not this EDL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Full IPv4 addresses</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65</w:t>
            </w:r>
          </w:p>
        </w:tc>
        <w:tc>
          <w:tcPr>
            <w:tcW w:type="dxa" w:w="3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103.9.100.107, 104.248.83.13, 107.173.192.169, 109.203.110.180, 120.25.148.202</w:t>
            </w:r>
          </w:p>
        </w:tc>
        <w:tc>
          <w:tcPr>
            <w:tcW w:type="dxa" w:w="6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Wrong type for a domain/URL EDL — needs its own IP-typed EDL object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No-TLD bare words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57</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Adblibri, adob-page, akuamindbody-invoice0209389100-notice-27b--settlement?1001999092982, alumidecor</w:t>
            </w:r>
          </w:p>
        </w:tc>
        <w:tc>
          <w:tcPr>
            <w:tcW w:type="dxa" w:w="6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dot = not a valid FQDN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"?"-prefixed entries</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6</w:t>
            </w:r>
          </w:p>
        </w:tc>
        <w:tc>
          <w:tcPr>
            <w:tcW w:type="dxa" w:w="3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?adventurous-rockmelon.com, ?aztecavisto.com</w:t>
            </w:r>
          </w:p>
        </w:tc>
        <w:tc>
          <w:tcPr>
            <w:tcW w:type="dxa" w:w="6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Diff/export corruption — leading "?" invalidates the entry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Defanged "[.]" notation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7</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armiarm[.]shop, healguardship[.]com</w:t>
            </w:r>
          </w:p>
        </w:tc>
        <w:tc>
          <w:tcPr>
            <w:tcW w:type="dxa" w:w="6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PAN-OS treats brackets as literal text — never matches the real domain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Email-address-shaped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9</w:t>
            </w:r>
          </w:p>
        </w:tc>
        <w:tc>
          <w:tcPr>
            <w:tcW w:type="dxa" w:w="3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billing@towerstream.com</w:t>
            </w:r>
          </w:p>
        </w:tc>
        <w:tc>
          <w:tcPr>
            <w:tcW w:type="dxa" w:w="6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Not a valid FQDN regardless of intent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Partial IP octets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16.252, 30.101</w:t>
            </w:r>
          </w:p>
        </w:tc>
        <w:tc>
          <w:tcPr>
            <w:tcW w:type="dxa" w:w="6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Incomplete address, invalid in any EDL type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Bare TLD</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w:t>
            </w:r>
          </w:p>
        </w:tc>
        <w:tc>
          <w:tcPr>
            <w:tcW w:type="dxa" w:w="3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.ru</w:t>
            </w:r>
          </w:p>
        </w:tc>
        <w:tc>
          <w:tcPr>
            <w:tcW w:type="dxa" w:w="6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PAN-OS domain EDLs do not support TLD-only blocking — needs a custom URL category instead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Bullet/tab-corrupted line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w:t>
            </w:r>
          </w:p>
        </w:tc>
        <w:tc>
          <w:tcPr>
            <w:tcW w:type="dxa" w:w="3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(bullet + tab + hash on one line)</w:t>
            </w:r>
          </w:p>
        </w:tc>
        <w:tc>
          <w:tcPr>
            <w:tcW w:type="dxa" w:w="6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Malformed export formatting</w:t>
            </w:r>
          </w:p>
        </w:tc>
      </w:tr>
    </w:tbl>
    <w:p>
      <w:pPr>
        <w:spacing w:after="120"/>
      </w:pPr>
      <w:r>
        <w:t xml:space="preserve"/>
      </w:r>
    </w:p>
    <w:p>
      <w:pPr>
        <w:spacing w:after="100"/>
      </w:pPr>
      <w:r>
        <w:rPr>
          <w:rFonts w:ascii="Arial" w:cs="Arial" w:eastAsia="Arial" w:hAnsi="Arial"/>
          <w:b/>
          <w:bCs/>
          <w:color w:val="595959"/>
          <w:sz w:val="20"/>
          <w:szCs w:val="20"/>
        </w:rPr>
        <w:t xml:space="preserve">All entries requiring correction or relocation: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gridCol w:w="4280"/>
      </w:tblGrid>
      <w:tr>
        <w:tc>
          <w:tcPr>
            <w:tcW w:type="dxa" w:w="5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Entry</w:t>
            </w:r>
          </w:p>
        </w:tc>
        <w:tc>
          <w:tcPr>
            <w:tcW w:type="dxa" w:w="4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Issue</w:t>
            </w:r>
          </w:p>
        </w:tc>
        <w:tc>
          <w:tcPr>
            <w:tcW w:type="dxa" w:w="42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Action Needed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armiarm[.]shop</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Defanged bracket notation</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Re-add as: armiarm.shop</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healguardship[.]com</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Defanged bracket notation</w:t>
            </w:r>
          </w:p>
        </w:tc>
        <w:tc>
          <w:tcPr>
            <w:tcW w:type="dxa" w:w="4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Re-add as: healguardship.com</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houstontxverse[.]com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Defanged bracket notation</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Re-add as: houstontxverse.com</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jimdosite[.]com</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Defanged bracket notation</w:t>
            </w:r>
          </w:p>
        </w:tc>
        <w:tc>
          <w:tcPr>
            <w:tcW w:type="dxa" w:w="4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Re-add as: jimdosite.com</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myworkspace58b48[.]myclickfunnels[.]com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Defanged bracket notation</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Re-add as: myworkspace58b48.myclickfunnels[.]com</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oCC.banseek[.]quest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Defanged bracket notation</w:t>
            </w:r>
          </w:p>
        </w:tc>
        <w:tc>
          <w:tcPr>
            <w:tcW w:type="dxa" w:w="4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Re-add as: oCC.banseek.quest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qntlysearchingfora[.]info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Defanged bracket notation</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Re-add as: qntlysearchingfora.info</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billing@towerstream.com</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Email address, not a domain</w:t>
            </w:r>
          </w:p>
        </w:tc>
        <w:tc>
          <w:tcPr>
            <w:tcW w:type="dxa" w:w="4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Extract domain: towerstream.com</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cprs@customs.gov.ph</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Email address, not a domain</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Extract domain: customs.gov.ph</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info1@poea.gov.ph</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Email address, not a domain</w:t>
            </w:r>
          </w:p>
        </w:tc>
        <w:tc>
          <w:tcPr>
            <w:tcW w:type="dxa" w:w="4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Extract domain: poea.gov.ph</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megan@backfithealth.com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Email address, not a domain</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Extract domain: backfithealth.com</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mknight@gradiant.com</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Email address, not a domain</w:t>
            </w:r>
          </w:p>
        </w:tc>
        <w:tc>
          <w:tcPr>
            <w:tcW w:type="dxa" w:w="4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Extract domain: gradiant.com</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ppq-esq@hawaii.rr.com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Email address, not a domain</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Extract domain: hawaii.rr.com</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sharepoint.com@client-internal-auth328262-acces…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Email address, not a domain</w:t>
            </w:r>
          </w:p>
        </w:tc>
        <w:tc>
          <w:tcPr>
            <w:tcW w:type="dxa" w:w="4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Extract domain: client-internal-auth328262-access-o…</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sharepoint.com-logon@filesclient-internal-auth3…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Email address, not a domain</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Extract domain: filesclient-internal-auth328262-con…</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sharepoint.com-singin@serverconnecting-clientfi…</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Email address, not a domain</w:t>
            </w:r>
          </w:p>
        </w:tc>
        <w:tc>
          <w:tcPr>
            <w:tcW w:type="dxa" w:w="4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Extract domain: serverconnecting-clientfiles-auth38…</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103.9.100.107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Valid IP, wrong list (1 of 65 total)</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Move to dedicated IP-typed EDL</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104.248.83.13</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Valid IP, wrong list (1 of 65 total)</w:t>
            </w:r>
          </w:p>
        </w:tc>
        <w:tc>
          <w:tcPr>
            <w:tcW w:type="dxa" w:w="4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Move to dedicated IP-typed EDL</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107.173.192.169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Valid IP, wrong list (1 of 65 total)</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Move to dedicated IP-typed EDL</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109.203.110.180</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Valid IP, wrong list (1 of 65 total)</w:t>
            </w:r>
          </w:p>
        </w:tc>
        <w:tc>
          <w:tcPr>
            <w:tcW w:type="dxa" w:w="4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Move to dedicated IP-typed EDL</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120.25.148.202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Valid IP, wrong list (1 of 65 total)</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Move to dedicated IP-typed EDL</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?adventurous-rockmelon.com</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Leading "?" — export corruption</w:t>
            </w:r>
          </w:p>
        </w:tc>
        <w:tc>
          <w:tcPr>
            <w:tcW w:type="dxa" w:w="4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Re-add as: adventurous-rockmelon.com</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?aztecavisto.com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Leading "?" — export corruption</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Re-add as: aztecavisto.com</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?baronhq.net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Leading "?" — export corruption</w:t>
            </w:r>
          </w:p>
        </w:tc>
        <w:tc>
          <w:tcPr>
            <w:tcW w:type="dxa" w:w="4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Re-add as: baronhq.net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?everyview.info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Leading "?" — export corruption</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Re-add as: everyview.info</w:t>
            </w:r>
          </w:p>
        </w:tc>
      </w:tr>
      <w:tr>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?njcarenursingservicesllc.com</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Leading "?" — export corruption</w:t>
            </w:r>
          </w:p>
        </w:tc>
        <w:tc>
          <w:tcPr>
            <w:tcW w:type="dxa" w:w="42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Re-add as: njcarenursingservicesllc.com</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?share.cello.so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Leading "?" — export corruption</w:t>
            </w:r>
          </w:p>
        </w:tc>
        <w:tc>
          <w:tcPr>
            <w:tcW w:type="dxa" w:w="4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Re-add as: share.cello.so</w:t>
            </w:r>
          </w:p>
        </w:tc>
      </w:tr>
    </w:tbl>
    <w:p>
      <w:pPr>
        <w:pStyle w:val="Heading2"/>
        <w:spacing w:after="100" w:before="240"/>
      </w:pPr>
      <w:r>
        <w:rPr>
          <w:rFonts w:ascii="Arial" w:cs="Arial" w:eastAsia="Arial" w:hAnsi="Arial"/>
          <w:color w:val="404040"/>
          <w:sz w:val="24"/>
          <w:szCs w:val="24"/>
        </w:rPr>
        <w:t xml:space="preserve">6.2  IP Addresses Mixed Into the Domain List — Direct Confirmation</w:t>
      </w:r>
    </w:p>
    <w:p>
      <w:pPr>
        <w:spacing w:after="100"/>
      </w:pPr>
      <w:r>
        <w:rPr>
          <w:rFonts w:ascii="Arial" w:cs="Arial" w:eastAsia="Arial" w:hAnsi="Arial"/>
          <w:color w:val="595959"/>
          <w:sz w:val="20"/>
          <w:szCs w:val="20"/>
        </w:rPr>
        <w:t xml:space="preserve">This is a direct, confirmed instance of the type-mixing question raised earlier in this report (§3, general PAN-OS behavior). The current production block list is a single file containing 65 full IPv4 addresses alongside 16,497 domain entries.</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C0000" w:sz="4"/>
              <w:left w:val="single" w:color="CC0000" w:sz="24"/>
              <w:bottom w:val="single" w:color="CC0000" w:sz="4"/>
              <w:right w:val="single" w:color="CC0000" w:sz="4"/>
            </w:tcBorders>
            <w:shd w:fill="FBEAEA" w:val="clear"/>
            <w:tcMar>
              <w:top w:type="dxa" w:w="160"/>
              <w:left w:type="dxa" w:w="240"/>
              <w:bottom w:type="dxa" w:w="160"/>
              <w:right w:type="dxa" w:w="240"/>
            </w:tcMar>
          </w:tcPr>
          <w:p>
            <w:pPr>
              <w:spacing w:after="60"/>
            </w:pPr>
            <w:r>
              <w:rPr>
                <w:rFonts w:ascii="Arial" w:cs="Arial" w:eastAsia="Arial" w:hAnsi="Arial"/>
                <w:b/>
                <w:bCs/>
                <w:color w:val="CC0000"/>
                <w:sz w:val="20"/>
                <w:szCs w:val="20"/>
              </w:rPr>
              <w:t xml:space="preserve">Confirmed impact</w:t>
            </w:r>
          </w:p>
          <w:p>
            <w:pPr>
              <w:spacing w:after="40"/>
            </w:pPr>
            <w:r>
              <w:rPr>
                <w:rFonts w:ascii="Arial" w:cs="Arial" w:eastAsia="Arial" w:hAnsi="Arial"/>
                <w:color w:val="404040"/>
                <w:sz w:val="19"/>
                <w:szCs w:val="19"/>
              </w:rPr>
              <w:t xml:space="preserve">Per PAN-OS formatting guidance: "An external dynamic list of one type — IP address, Domain, or URL — must include entries of that type only." The 65 IPs in this list violate that rule if the list is configured as a Domain or URL-typed EDL (which is how SOC-Deny-List-Domain is actually typed — confirmed as type=url in §6.3/§3).</w:t>
            </w:r>
          </w:p>
          <w:p>
            <w:pPr>
              <w:spacing w:after="40"/>
            </w:pPr>
            <w:r>
              <w:rPr>
                <w:rFonts w:ascii="Arial" w:cs="Arial" w:eastAsia="Arial" w:hAnsi="Arial"/>
                <w:color w:val="404040"/>
                <w:sz w:val="19"/>
                <w:szCs w:val="19"/>
              </w:rPr>
              <w:t xml:space="preserve">Confirmed enforcement behavior: these 65 IP entries are silently skipped during parsing — they do not break the list or cause a commit error, but they provide zero IP-based blocking through this EDL.</w:t>
            </w:r>
          </w:p>
          <w:p>
            <w:pPr>
              <w:spacing w:after="40"/>
            </w:pPr>
            <w:r>
              <w:rPr>
                <w:rFonts w:ascii="Arial" w:cs="Arial" w:eastAsia="Arial" w:hAnsi="Arial"/>
                <w:color w:val="404040"/>
                <w:sz w:val="19"/>
                <w:szCs w:val="19"/>
              </w:rPr>
              <w:t xml:space="preserve">If IP-based blocking of these 65 addresses is intended, they need to be extracted into a separate IP-typed EDL object and referenced as a source/destination address object in a Security policy rule — a domain/URL EDL cannot enforce IP-based blocks regardless of content.</w:t>
            </w:r>
          </w:p>
          <w:p>
            <w:pPr>
              <w:spacing w:after="40"/>
            </w:pPr>
            <w:r>
              <w:rPr>
                <w:rFonts w:ascii="Arial" w:cs="Arial" w:eastAsia="Arial" w:hAnsi="Arial"/>
                <w:color w:val="404040"/>
                <w:sz w:val="19"/>
                <w:szCs w:val="19"/>
              </w:rPr>
              <w:t xml:space="preserve">This is not a hypothetical risk from a future build — these are confirmed live entries in the currently-consumed production list, silently providing no IP-blocking value today.</w:t>
            </w:r>
          </w:p>
        </w:tc>
      </w:tr>
    </w:tbl>
    <w:p>
      <w:pPr>
        <w:pStyle w:val="Heading2"/>
        <w:spacing w:after="100" w:before="240"/>
      </w:pPr>
      <w:r>
        <w:rPr>
          <w:rFonts w:ascii="Arial" w:cs="Arial" w:eastAsia="Arial" w:hAnsi="Arial"/>
          <w:color w:val="404040"/>
          <w:sz w:val="24"/>
          <w:szCs w:val="24"/>
        </w:rPr>
        <w:t xml:space="preserve">6.3  Consumption Model — Confirmed as Web Content Block List, Not a Dedicated Threat Control</w:t>
      </w:r>
    </w:p>
    <w:p>
      <w:pPr>
        <w:spacing w:after="100"/>
      </w:pPr>
      <w:r>
        <w:rPr>
          <w:rFonts w:ascii="Arial" w:cs="Arial" w:eastAsia="Arial" w:hAnsi="Arial"/>
          <w:color w:val="595959"/>
          <w:sz w:val="20"/>
          <w:szCs w:val="20"/>
        </w:rPr>
        <w:t xml:space="preserve">As established in §3.1–3.2, the live Panorama object that ingests this source file — SOC-Deny-List-Domain — is configured as type=url (despite its name), and is deployed as one category among 36–40 inside the general web content / acceptable-use block list (alongside gambling, adult, dating, social-networking). It is not a dedicated security control with elevated enforcement; it inherits the same alert-only action setting as every other category in those URL Filtering profiles, applied on the standard LAN-TO-INTERNET-PROXY-* internet egress rules at RI-One and Shea DC.</w:t>
      </w:r>
    </w:p>
    <w:p>
      <w:pPr>
        <w:spacing w:after="120"/>
      </w:pPr>
      <w:r>
        <w:t xml:space="preserve"/>
      </w:r>
    </w:p>
    <w:p>
      <w:pPr>
        <w:spacing w:after="100"/>
      </w:pPr>
      <w:r>
        <w:rPr>
          <w:rFonts w:ascii="Arial" w:cs="Arial" w:eastAsia="Arial" w:hAnsi="Arial"/>
          <w:b/>
          <w:bCs/>
          <w:color w:val="595959"/>
          <w:sz w:val="20"/>
          <w:szCs w:val="20"/>
        </w:rPr>
        <w:t xml:space="preserve">Net state of the current production SOC block list: 160 of 16,562 entries are silently dropped on import regardless of policy configuration, and of the entries that ARE successfully imported, none are actually blocking traffic because the URL Filtering profiles they ride in are alert-only across the board — not specific to the SOC category. Fixing either issue alone does not restore full enforcement: both the source-list hygiene issue (this section) and the URL Filtering action issue (§3/§4) need to be addressed, and the latter affects every category in these profiles, not just the SOC feed.</w:t>
      </w:r>
    </w:p>
    <w:p>
      <w:pPr>
        <w:pStyle w:val="Heading2"/>
        <w:spacing w:after="100" w:before="240"/>
      </w:pPr>
      <w:r>
        <w:rPr>
          <w:rFonts w:ascii="Arial" w:cs="Arial" w:eastAsia="Arial" w:hAnsi="Arial"/>
          <w:color w:val="404040"/>
          <w:sz w:val="24"/>
          <w:szCs w:val="24"/>
        </w:rPr>
        <w:t xml:space="preserve">6.4  CVS Health / Aetna Brand-Targeted Threat Coverage</w:t>
      </w:r>
    </w:p>
    <w:p>
      <w:pPr>
        <w:spacing w:after="100"/>
      </w:pPr>
      <w:r>
        <w:rPr>
          <w:rFonts w:ascii="Arial" w:cs="Arial" w:eastAsia="Arial" w:hAnsi="Arial"/>
          <w:color w:val="595959"/>
          <w:sz w:val="20"/>
          <w:szCs w:val="20"/>
        </w:rPr>
        <w:t xml:space="preserve">287 of the 16,562 entries in the current production list are CVS Health or Aetna brand-targeted — phishing, typosquatting, and impersonation domains using "cvs", "aetna", "caremark", or "colleaguezone" in the domain name. This confirms the SOC is actively curating brand-specific threat coverage as part of the standing block list, not just generic threat intel.</w:t>
      </w:r>
    </w:p>
    <w:p>
      <w:pPr>
        <w:spacing w:after="120"/>
      </w:pPr>
      <w:r>
        <w:t xml:space="preserve"/>
      </w:r>
    </w:p>
    <w:p>
      <w:pPr>
        <w:spacing w:after="100"/>
      </w:pPr>
      <w:r>
        <w:rPr>
          <w:rFonts w:ascii="Arial" w:cs="Arial" w:eastAsia="Arial" w:hAnsi="Arial"/>
          <w:b/>
          <w:bCs/>
          <w:color w:val="595959"/>
          <w:sz w:val="20"/>
          <w:szCs w:val="20"/>
        </w:rPr>
        <w:t xml:space="preserve">Sample CVS/Aetna brand-targeted domains in the current production list: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Domain</w:t>
            </w:r>
          </w:p>
        </w:tc>
      </w:tr>
      <w:tr>
        <w:tc>
          <w:tcPr>
            <w:tcW w:type="dxa" w:w="1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AETNA2.COM</w:t>
            </w:r>
          </w:p>
        </w:tc>
      </w:tr>
      <w:tr>
        <w:tc>
          <w:tcPr>
            <w:tcW w:type="dxa" w:w="1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AGARICVS.COM</w:t>
            </w:r>
          </w:p>
        </w:tc>
      </w:tr>
      <w:tr>
        <w:tc>
          <w:tcPr>
            <w:tcW w:type="dxa" w:w="1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BRIGHTONCVS.COM</w:t>
            </w:r>
          </w:p>
        </w:tc>
      </w:tr>
      <w:tr>
        <w:tc>
          <w:tcPr>
            <w:tcW w:type="dxa" w:w="1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CAREER-CVS.COM</w:t>
            </w:r>
          </w:p>
        </w:tc>
      </w:tr>
      <w:tr>
        <w:tc>
          <w:tcPr>
            <w:tcW w:type="dxa" w:w="1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CAREMARK360.COM</w:t>
            </w:r>
          </w:p>
        </w:tc>
      </w:tr>
      <w:tr>
        <w:tc>
          <w:tcPr>
            <w:tcW w:type="dxa" w:w="1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CAREMARKSOLUTIONS.COM</w:t>
            </w:r>
          </w:p>
        </w:tc>
      </w:tr>
      <w:tr>
        <w:tc>
          <w:tcPr>
            <w:tcW w:type="dxa" w:w="1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CVS-BLOG.COM</w:t>
            </w:r>
          </w:p>
        </w:tc>
      </w:tr>
      <w:tr>
        <w:tc>
          <w:tcPr>
            <w:tcW w:type="dxa" w:w="1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CVS-DRUGS.COM</w:t>
            </w:r>
          </w:p>
        </w:tc>
      </w:tr>
      <w:tr>
        <w:tc>
          <w:tcPr>
            <w:tcW w:type="dxa" w:w="1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CVS-PLUS.CN</w:t>
            </w:r>
          </w:p>
        </w:tc>
      </w:tr>
      <w:tr>
        <w:tc>
          <w:tcPr>
            <w:tcW w:type="dxa" w:w="1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CVS-SOLUCIONES.COM</w:t>
            </w:r>
          </w:p>
        </w:tc>
      </w:tr>
      <w:tr>
        <w:tc>
          <w:tcPr>
            <w:tcW w:type="dxa" w:w="1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CVS.DELIVERY</w:t>
            </w:r>
          </w:p>
        </w:tc>
      </w:tr>
      <w:tr>
        <w:tc>
          <w:tcPr>
            <w:tcW w:type="dxa" w:w="1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CVSAETNA.VN</w:t>
            </w:r>
          </w:p>
        </w:tc>
      </w:tr>
      <w:tr>
        <w:tc>
          <w:tcPr>
            <w:tcW w:type="dxa" w:w="1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CVSCARE.EU</w:t>
            </w:r>
          </w:p>
        </w:tc>
      </w:tr>
      <w:tr>
        <w:tc>
          <w:tcPr>
            <w:tcW w:type="dxa" w:w="1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CVSCAREMARK.BUSINESS</w:t>
            </w:r>
          </w:p>
        </w:tc>
      </w:tr>
      <w:tr>
        <w:tc>
          <w:tcPr>
            <w:tcW w:type="dxa" w:w="1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CVSCASHANDCARRY.COM</w:t>
            </w:r>
          </w:p>
        </w:tc>
      </w:tr>
      <w:tr>
        <w:tc>
          <w:tcPr>
            <w:tcW w:type="dxa" w:w="1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CVSCHINA.COM</w:t>
            </w:r>
          </w:p>
        </w:tc>
      </w:tr>
      <w:tr>
        <w:tc>
          <w:tcPr>
            <w:tcW w:type="dxa" w:w="1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CVSCITY.HK</w:t>
            </w:r>
          </w:p>
        </w:tc>
      </w:tr>
      <w:tr>
        <w:tc>
          <w:tcPr>
            <w:tcW w:type="dxa" w:w="1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CVSCMS.COM</w:t>
            </w:r>
          </w:p>
        </w:tc>
      </w:tr>
      <w:tr>
        <w:tc>
          <w:tcPr>
            <w:tcW w:type="dxa" w:w="1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CVSCORPP.COM</w:t>
            </w:r>
          </w:p>
        </w:tc>
      </w:tr>
      <w:tr>
        <w:tc>
          <w:tcPr>
            <w:tcW w:type="dxa" w:w="1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CVSCVS.VIP</w:t>
            </w:r>
          </w:p>
        </w:tc>
      </w:tr>
      <w:tr>
        <w:tc>
          <w:tcPr>
            <w:tcW w:type="dxa" w:w="1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CVSEMPLOYEEPORTAL.COM</w:t>
            </w:r>
          </w:p>
        </w:tc>
      </w:tr>
      <w:tr>
        <w:tc>
          <w:tcPr>
            <w:tcW w:type="dxa" w:w="1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CVSESPACEPRO.COM</w:t>
            </w:r>
          </w:p>
        </w:tc>
      </w:tr>
      <w:tr>
        <w:tc>
          <w:tcPr>
            <w:tcW w:type="dxa" w:w="1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CVSFORBUSINESS.COM</w:t>
            </w:r>
          </w:p>
        </w:tc>
      </w:tr>
      <w:tr>
        <w:tc>
          <w:tcPr>
            <w:tcW w:type="dxa" w:w="1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CVSFORBUSINESS.ORG</w:t>
            </w:r>
          </w:p>
        </w:tc>
      </w:tr>
      <w:tr>
        <w:tc>
          <w:tcPr>
            <w:tcW w:type="dxa" w:w="1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CVSFORYOU.LA</w:t>
            </w:r>
          </w:p>
        </w:tc>
      </w:tr>
    </w:tbl>
    <w:p>
      <w:pPr>
        <w:pStyle w:val="Heading1"/>
        <w:pBdr>
          <w:bottom w:val="single" w:color="17447C" w:sz="4" w:space="4"/>
        </w:pBdr>
        <w:spacing w:after="120" w:before="320"/>
      </w:pPr>
      <w:r>
        <w:rPr>
          <w:rFonts w:ascii="Arial" w:cs="Arial" w:eastAsia="Arial" w:hAnsi="Arial"/>
          <w:color w:val="404040"/>
          <w:sz w:val="30"/>
          <w:szCs w:val="30"/>
        </w:rPr>
        <w:t xml:space="preserve">7. Recommendations</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4500"/>
        <w:gridCol w:w="7780"/>
      </w:tblGrid>
      <w:tr>
        <w:tc>
          <w:tcPr>
            <w:tcW w:type="dxa" w:w="5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w:t>
            </w:r>
          </w:p>
        </w:tc>
        <w:tc>
          <w:tcPr>
            <w:tcW w:type="dxa" w:w="9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Priority</w:t>
            </w:r>
          </w:p>
        </w:tc>
        <w:tc>
          <w:tcPr>
            <w:tcW w:type="dxa" w:w="45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Finding</w:t>
            </w:r>
          </w:p>
        </w:tc>
        <w:tc>
          <w:tcPr>
            <w:tcW w:type="dxa" w:w="77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r>
              <w:rPr>
                <w:rFonts w:ascii="Arial" w:cs="Arial" w:eastAsia="Arial" w:hAnsi="Arial"/>
                <w:b/>
                <w:bCs/>
                <w:color w:val="FFFFFF"/>
                <w:sz w:val="17"/>
                <w:szCs w:val="17"/>
              </w:rPr>
              <w:t xml:space="preserve">Recommended Action</w:t>
            </w:r>
          </w:p>
        </w:tc>
      </w:tr>
      <w:tr>
        <w:tc>
          <w:tcPr>
            <w:tcW w:type="dxa" w:w="5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center"/>
            </w:pPr>
            <w:r>
              <w:rPr>
                <w:rFonts w:ascii="Arial" w:cs="Arial" w:eastAsia="Arial" w:hAnsi="Arial"/>
                <w:b/>
                <w:bCs/>
                <w:color w:val="C55A11"/>
                <w:sz w:val="17"/>
                <w:szCs w:val="17"/>
              </w:rPr>
              <w:t xml:space="preserve">P2</w:t>
            </w:r>
          </w:p>
        </w:tc>
        <w:tc>
          <w:tcPr>
            <w:tcW w:type="dxa" w:w="9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HIGH</w:t>
            </w:r>
          </w:p>
        </w:tc>
        <w:tc>
          <w:tcPr>
            <w:tcW w:type="dxa" w:w="45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SOC-curated threat intelligence (SOC-Deny-List-Domain) is bundled into the same web content / acceptable-use block list as policy categories</w:t>
            </w:r>
          </w:p>
        </w:tc>
        <w:tc>
          <w:tcPr>
            <w:tcW w:type="dxa" w:w="778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Separate SOC-Deny-List-Domain into its own URL Filtering profile (or, per the parent recommendation on EDL type, an Anti-Spyware DNS sinkhol</w:t>
            </w:r>
          </w:p>
        </w:tc>
      </w:tr>
      <w:tr>
        <w:tc>
          <w:tcPr>
            <w:tcW w:type="dxa" w:w="5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center"/>
            </w:pPr>
            <w:r>
              <w:rPr>
                <w:rFonts w:ascii="Arial" w:cs="Arial" w:eastAsia="Arial" w:hAnsi="Arial"/>
                <w:b/>
                <w:bCs/>
                <w:color w:val="CC0000"/>
                <w:sz w:val="17"/>
                <w:szCs w:val="17"/>
              </w:rPr>
              <w:t xml:space="preserve">P1</w:t>
            </w:r>
          </w:p>
        </w:tc>
        <w:tc>
          <w:tcPr>
            <w:tcW w:type="dxa" w:w="9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CRITICAL</w:t>
            </w:r>
          </w:p>
        </w:tc>
        <w:tc>
          <w:tcPr>
            <w:tcW w:type="dxa" w:w="45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SOC-Deny-List-Domain is correctly fed into 10 URL filtering profiles but the URL filtering action is not set to block — the estate's only th</w:t>
            </w:r>
          </w:p>
        </w:tc>
        <w:tc>
          <w:tcPr>
            <w:tcW w:type="dxa" w:w="778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This is resolved as part of the parent report's URL filtering remediation (Rec. P1): once the URL filtering profile action is changed from a</w:t>
            </w:r>
          </w:p>
        </w:tc>
      </w:tr>
      <w:tr>
        <w:tc>
          <w:tcPr>
            <w:tcW w:type="dxa" w:w="5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center"/>
            </w:pPr>
            <w:r>
              <w:rPr>
                <w:rFonts w:ascii="Arial" w:cs="Arial" w:eastAsia="Arial" w:hAnsi="Arial"/>
                <w:b/>
                <w:bCs/>
                <w:color w:val="C55A11"/>
                <w:sz w:val="17"/>
                <w:szCs w:val="17"/>
              </w:rPr>
              <w:t xml:space="preserve">P2</w:t>
            </w:r>
          </w:p>
        </w:tc>
        <w:tc>
          <w:tcPr>
            <w:tcW w:type="dxa" w:w="9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HIGH</w:t>
            </w:r>
          </w:p>
        </w:tc>
        <w:tc>
          <w:tcPr>
            <w:tcW w:type="dxa" w:w="45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The current production block list (soc-block-list-6-30.txt, confirmed live source for SOC-Deny-List-Domain) contains 160 entries (1.0%) that</w:t>
            </w:r>
          </w:p>
        </w:tc>
        <w:tc>
          <w:tcPr>
            <w:tcW w:type="dxa" w:w="778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Re-process the source list: (1) extract the 65 IP addresses into a dedicated IP-typed EDL object referenced as a Security rule address objec</w:t>
            </w:r>
          </w:p>
        </w:tc>
      </w:tr>
      <w:tr>
        <w:tc>
          <w:tcPr>
            <w:tcW w:type="dxa" w:w="5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P3</w:t>
            </w:r>
          </w:p>
        </w:tc>
        <w:tc>
          <w:tcPr>
            <w:tcW w:type="dxa" w:w="9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MEDIUM</w:t>
            </w:r>
          </w:p>
        </w:tc>
        <w:tc>
          <w:tcPr>
            <w:tcW w:type="dxa" w:w="45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The source list has no automated pre-publish validation — the same 9 categories of malformed entries (hashes, IPs, defanged notation, email </w:t>
            </w:r>
          </w:p>
        </w:tc>
        <w:tc>
          <w:tcPr>
            <w:tcW w:type="dxa" w:w="778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Implement a validation/linting step before the list is published to proxyconsole.aetna.com — reject or auto-correct entries matching the pat</w:t>
            </w:r>
          </w:p>
        </w:tc>
      </w:tr>
      <w:tr>
        <w:tc>
          <w:tcPr>
            <w:tcW w:type="dxa" w:w="5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center"/>
            </w:pPr>
            <w:r>
              <w:rPr>
                <w:rFonts w:ascii="Arial" w:cs="Arial" w:eastAsia="Arial" w:hAnsi="Arial"/>
                <w:b/>
                <w:bCs/>
                <w:color w:val="C55A11"/>
                <w:sz w:val="17"/>
                <w:szCs w:val="17"/>
              </w:rPr>
              <w:t xml:space="preserve">P2</w:t>
            </w:r>
          </w:p>
        </w:tc>
        <w:tc>
          <w:tcPr>
            <w:tcW w:type="dxa" w:w="9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HIGH</w:t>
            </w:r>
          </w:p>
        </w:tc>
        <w:tc>
          <w:tcPr>
            <w:tcW w:type="dxa" w:w="45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4 separate Zscaler EDL objects exist across device groups with inconsistent refresh intervals (5-minute vs. hourly) and different certificat</w:t>
            </w:r>
          </w:p>
        </w:tc>
        <w:tc>
          <w:tcPr>
            <w:tcW w:type="dxa" w:w="778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Consolidate to a single shared-scope Zscaler EDL per Panorama instance (mirroring the existing shared-scope pattern used for Akamai/O365 in </w:t>
            </w:r>
          </w:p>
        </w:tc>
      </w:tr>
      <w:tr>
        <w:tc>
          <w:tcPr>
            <w:tcW w:type="dxa" w:w="5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P3</w:t>
            </w:r>
          </w:p>
        </w:tc>
        <w:tc>
          <w:tcPr>
            <w:tcW w:type="dxa" w:w="9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MEDIUM</w:t>
            </w:r>
          </w:p>
        </w:tc>
        <w:tc>
          <w:tcPr>
            <w:tcW w:type="dxa" w:w="45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5 EDLs (Akamai_EDL, PaloAlto_EDL_o365_URL-shared, PaloAlto_EDL_o365_URL, CME_Zscaler_EDL, MID-WIN-Zccalar-EDL) are defined but not reference</w:t>
            </w:r>
          </w:p>
        </w:tc>
        <w:tc>
          <w:tcPr>
            <w:tcW w:type="dxa" w:w="778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Confirm with site owners whether these are planned-but-incomplete implementations or genuinely obsolete. Remove if obsolete to reduce Panora</w:t>
            </w:r>
          </w:p>
        </w:tc>
      </w:tr>
      <w:tr>
        <w:tc>
          <w:tcPr>
            <w:tcW w:type="dxa" w:w="5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P3</w:t>
            </w:r>
          </w:p>
        </w:tc>
        <w:tc>
          <w:tcPr>
            <w:tcW w:type="dxa" w:w="9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MEDIUM</w:t>
            </w:r>
          </w:p>
        </w:tc>
        <w:tc>
          <w:tcPr>
            <w:tcW w:type="dxa" w:w="45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Object naming inconsistency ("MID-WIN-Zccalar-EDL" typo) and lack of a standard naming convention across the two Panorama instances complica</w:t>
            </w:r>
          </w:p>
        </w:tc>
        <w:tc>
          <w:tcPr>
            <w:tcW w:type="dxa" w:w="778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Adopt a consistent EDL naming convention (e.g., &lt;Site&gt;-&lt;Vendor&gt;-EDL-&lt;Type&gt;) during the consolidation work in Rec. P2.</w:t>
            </w:r>
          </w:p>
        </w:tc>
      </w:tr>
    </w:tbl>
    <w:p>
      <w:pPr>
        <w:spacing w:after="120"/>
      </w:pPr>
      <w:r>
        <w:t xml:space="preserve"/>
      </w:r>
    </w:p>
    <w:p>
      <w:pPr>
        <w:spacing w:after="100"/>
      </w:pPr>
      <w:r>
        <w:rPr>
          <w:rFonts w:ascii="Arial" w:cs="Arial" w:eastAsia="Arial" w:hAnsi="Arial"/>
          <w:i/>
          <w:iCs/>
          <w:color w:val="AAAAAA"/>
          <w:sz w:val="20"/>
          <w:szCs w:val="20"/>
        </w:rPr>
        <w:t xml:space="preserve">Prepared by: Network Security Engineering  |  Data source: Panorama running config exports (MID-PAN-PROD-01, PAZSHDC-SEC-PAN-PROD-01)  |  Sub-report to IDS/IPS/DLP Policy State Assessment  |  June 29, 2026</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color w:val="404040"/>
      <w:sz w:val="30"/>
      <w:szCs w:val="30"/>
    </w:rPr>
  </w:style>
  <w:style w:type="paragraph" w:styleId="Heading2">
    <w:name w:val="Heading 2"/>
    <w:basedOn w:val="Normal"/>
    <w:next w:val="Normal"/>
    <w:qFormat/>
    <w:pPr>
      <w:spacing w:after="100" w:before="240"/>
      <w:outlineLvl w:val="1"/>
    </w:pPr>
    <w:rPr>
      <w:rFonts w:ascii="Arial" w:cs="Arial" w:eastAsia="Arial" w:hAnsi="Arial"/>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2026-06-30T15:13:32.944Z</dcterms:created>
  <dcterms:modified xsi:type="dcterms:W3CDTF">2026-06-30T15:13:32.945Z</dcterms:modified>
</cp:coreProperties>
</file>

<file path=docProps/custom.xml><?xml version="1.0" encoding="utf-8"?>
<Properties xmlns="http://schemas.openxmlformats.org/officeDocument/2006/custom-properties" xmlns:vt="http://schemas.openxmlformats.org/officeDocument/2006/docPropsVTypes"/>
</file>