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60"/>
        <w:ind w:left="280"/>
      </w:pPr>
      <w:r>
        <w:rPr>
          <w:rFonts w:ascii="Arial" w:cs="Arial" w:eastAsia="Arial" w:hAnsi="Arial"/>
          <w:b w:val="false"/>
          <w:bCs w:val="false"/>
          <w:color w:val="595959"/>
          <w:sz w:val="18"/>
          <w:szCs w:val="18"/>
        </w:rPr>
        <w:t xml:space="preserve">CVS Health  |  Information Security</w:t>
      </w:r>
    </w:p>
    <w:p>
      <w:pPr>
        <w:pBdr>
          <w:left w:val="single" w:color="17447C" w:sz="24" w:space="12"/>
        </w:pBdr>
        <w:spacing w:after="60"/>
        <w:ind w:left="280"/>
      </w:pPr>
      <w:r>
        <w:rPr>
          <w:rFonts w:ascii="Arial" w:cs="Arial" w:eastAsia="Arial" w:hAnsi="Arial"/>
          <w:b w:val="false"/>
          <w:bCs w:val="false"/>
          <w:color w:val="404040"/>
          <w:sz w:val="44"/>
          <w:szCs w:val="44"/>
        </w:rPr>
        <w:t xml:space="preserve">Cisco Mesh Policy Engine</w:t>
      </w:r>
    </w:p>
    <w:p>
      <w:pPr>
        <w:pBdr>
          <w:left w:val="single" w:color="17447C" w:sz="24" w:space="12"/>
        </w:pBdr>
        <w:spacing w:after="60"/>
        <w:ind w:left="280"/>
      </w:pPr>
      <w:r>
        <w:rPr>
          <w:rFonts w:ascii="Arial" w:cs="Arial" w:eastAsia="Arial" w:hAnsi="Arial"/>
          <w:b w:val="false"/>
          <w:bCs w:val="false"/>
          <w:color w:val="17447C"/>
          <w:sz w:val="28"/>
          <w:szCs w:val="28"/>
        </w:rPr>
        <w:t xml:space="preserve">Leadership Briefing — Multi-Vendor Firewall Policy Orchestration</w:t>
      </w:r>
    </w:p>
    <w:p>
      <w:pPr>
        <w:pBdr>
          <w:left w:val="single" w:color="17447C" w:sz="24" w:space="12"/>
        </w:pBdr>
        <w:spacing w:after="480"/>
        <w:ind w:left="280"/>
      </w:pPr>
      <w:r>
        <w:rPr>
          <w:rFonts w:ascii="Arial" w:cs="Arial" w:eastAsia="Arial" w:hAnsi="Arial"/>
          <w:b w:val="false"/>
          <w:bCs w:val="false"/>
          <w:color w:val="595959"/>
          <w:sz w:val="18"/>
          <w:szCs w:val="18"/>
        </w:rPr>
        <w:t xml:space="preserve">July 2026  –  CCD Platform / Firewall Policy Modernization  |  Information Security</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00"/>
      </w:pPr>
      <w:r>
        <w:rPr>
          <w:rFonts w:ascii="Arial" w:cs="Arial" w:eastAsia="Arial" w:hAnsi="Arial"/>
          <w:i/>
          <w:iCs/>
          <w:color w:val="595959"/>
          <w:sz w:val="20"/>
          <w:szCs w:val="20"/>
        </w:rPr>
        <w:t xml:space="preserve">This briefing summarizes Cisco's Mesh Policy Engine (MPE), part of the broader Cisco Hybrid Mesh Firewall portfolio under Security Cloud Control, and assesses its relevance to CVS Health's ongoing firewall policy management (FPMS) modernization effort.</w:t>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Executive Summary</w:t>
      </w:r>
    </w:p>
    <w:p>
      <w:pPr>
        <w:spacing w:after="100"/>
      </w:pPr>
      <w:r>
        <w:rPr>
          <w:rFonts w:ascii="Arial" w:cs="Arial" w:eastAsia="Arial" w:hAnsi="Arial"/>
          <w:color w:val="595959"/>
          <w:sz w:val="20"/>
          <w:szCs w:val="20"/>
        </w:rPr>
        <w:t xml:space="preserve">Cisco's Mesh Policy Engine (MPE) — formerly PINACL, generally available as of February 25, 2026 — is a centralized, intent-based policy orchestration service that translates a single declared access intent (e.g., "App A talks to App B") into vendor-specific firewall rules and deploys them across Cisco and third-party enforcement points. It runs inside Security Cloud Control (SCC), Cisco's cloud-based unified management plane.</w:t>
      </w:r>
    </w:p>
    <w:p>
      <w:pPr>
        <w:spacing w:after="100"/>
      </w:pPr>
      <w:r>
        <w:rPr>
          <w:rFonts w:ascii="Arial" w:cs="Arial" w:eastAsia="Arial" w:hAnsi="Arial"/>
          <w:color w:val="595959"/>
          <w:sz w:val="20"/>
          <w:szCs w:val="20"/>
        </w:rPr>
        <w:t xml:space="preserve">MPE directly addresses three problems already documented in CVS Health's own firewall policy assessment work:</w:t>
      </w:r>
    </w:p>
    <w:p>
      <w:pPr>
        <w:pStyle w:val="ListParagraph"/>
        <w:numPr>
          <w:ilvl w:val="0"/>
          <w:numId w:val="2"/>
        </w:numPr>
        <w:spacing w:after="60"/>
      </w:pPr>
      <w:r>
        <w:rPr>
          <w:rFonts w:ascii="Arial" w:cs="Arial" w:eastAsia="Arial" w:hAnsi="Arial"/>
          <w:color w:val="595959"/>
          <w:sz w:val="20"/>
          <w:szCs w:val="20"/>
        </w:rPr>
        <w:t xml:space="preserve">The PA estate runs ported Cisco firewall policy with Alert-All-SPG on 98% of rules — a legacy translation artifact, not a designed security posture.</w:t>
      </w:r>
    </w:p>
    <w:p>
      <w:pPr>
        <w:pStyle w:val="ListParagraph"/>
        <w:numPr>
          <w:ilvl w:val="0"/>
          <w:numId w:val="2"/>
        </w:numPr>
        <w:spacing w:after="60"/>
      </w:pPr>
      <w:r>
        <w:rPr>
          <w:rFonts w:ascii="Arial" w:cs="Arial" w:eastAsia="Arial" w:hAnsi="Arial"/>
          <w:color w:val="595959"/>
          <w:sz w:val="20"/>
          <w:szCs w:val="20"/>
        </w:rPr>
        <w:t xml:space="preserve">The rule request process is still built around a Cisco ACL mental model, which does not map cleanly onto Palo Alto's object-first rule construction.</w:t>
      </w:r>
    </w:p>
    <w:p>
      <w:pPr>
        <w:pStyle w:val="ListParagraph"/>
        <w:numPr>
          <w:ilvl w:val="0"/>
          <w:numId w:val="2"/>
        </w:numPr>
        <w:spacing w:after="60"/>
      </w:pPr>
      <w:r>
        <w:rPr>
          <w:rFonts w:ascii="Arial" w:cs="Arial" w:eastAsia="Arial" w:hAnsi="Arial"/>
          <w:color w:val="595959"/>
          <w:sz w:val="20"/>
          <w:szCs w:val="20"/>
        </w:rPr>
        <w:t xml:space="preserve">Tufin SecureChange/SecureTrack, the current change-management/policy-visibility layer, is broken and needs a replacement.</w:t>
      </w:r>
    </w:p>
    <w:p>
      <w:pPr>
        <w:spacing w:after="100"/>
      </w:pPr>
      <w:r>
        <w:rPr>
          <w:rFonts w:ascii="Arial" w:cs="Arial" w:eastAsia="Arial" w:hAnsi="Arial"/>
          <w:color w:val="595959"/>
          <w:sz w:val="20"/>
          <w:szCs w:val="20"/>
        </w:rPr>
        <w:t xml:space="preserve">MPE's core proposition — "write policy once, enforce across the mesh" — is architecturally the same intent-based, object-first approach CVS Health has already been building independently through the fw_rule_request.html tool and the broader CCD Platform network-group/canonical-object pipeline. The strategic question is not whether this direction is correct, but whether to continue building it in-house or adopt Cisco's now-commercially-shipped version of the same pattern.</w:t>
      </w:r>
    </w:p>
    <w:p>
      <w:pPr>
        <w:spacing w:after="100"/>
      </w:pPr>
      <w:r>
        <w:rPr>
          <w:rFonts w:ascii="Arial" w:cs="Arial" w:eastAsia="Arial" w:hAnsi="Arial"/>
          <w:b/>
          <w:bCs/>
          <w:color w:val="595959"/>
          <w:sz w:val="20"/>
          <w:szCs w:val="20"/>
        </w:rPr>
        <w:t xml:space="preserve">Recommendation: treat MPE as a build-vs-buy input to the ongoing intent-based firewall policy architecture workstream, not as an immediate procurement decision. Section 6 outlines the specific technical and commercial questions that need answers before a recommendation can be made to leadership.</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1. What Is Mesh Policy Engine?</w:t>
      </w:r>
    </w:p>
    <w:p>
      <w:pPr>
        <w:spacing w:after="100"/>
      </w:pPr>
      <w:r>
        <w:rPr>
          <w:rFonts w:ascii="Arial" w:cs="Arial" w:eastAsia="Arial" w:hAnsi="Arial"/>
          <w:color w:val="595959"/>
          <w:sz w:val="20"/>
          <w:szCs w:val="20"/>
        </w:rPr>
        <w:t xml:space="preserve">MPE is one of four enforcement/orchestration layers Cisco ships under its "Hybrid Mesh Firewall" umbrella (alongside Secure Firewall, Secure Workload, and Hypershield), all managed through the single Security Cloud Control UI and API. MPE is specifically the policy layer for firewall rule orchestration across a mixed vendor estate.</w:t>
      </w:r>
    </w:p>
    <w:p>
      <w:pPr>
        <w:spacing w:after="100"/>
      </w:pPr>
      <w:r>
        <w:rPr>
          <w:rFonts w:ascii="Arial" w:cs="Arial" w:eastAsia="Arial" w:hAnsi="Arial"/>
          <w:color w:val="595959"/>
          <w:sz w:val="20"/>
          <w:szCs w:val="20"/>
        </w:rPr>
        <w:t xml:space="preserve">Cisco's own positioning is explicit that MPE is "a policy manager, not a device manager or policy converter." It is designed to:</w:t>
      </w:r>
    </w:p>
    <w:p>
      <w:pPr>
        <w:pStyle w:val="ListParagraph"/>
        <w:numPr>
          <w:ilvl w:val="0"/>
          <w:numId w:val="2"/>
        </w:numPr>
        <w:spacing w:after="60"/>
      </w:pPr>
      <w:r>
        <w:rPr>
          <w:rFonts w:ascii="Arial" w:cs="Arial" w:eastAsia="Arial" w:hAnsi="Arial"/>
          <w:color w:val="595959"/>
          <w:sz w:val="20"/>
          <w:szCs w:val="20"/>
        </w:rPr>
        <w:t xml:space="preserve">Retain the “what,” “where,” and “why” of a policy independent of which device enforces it.</w:t>
      </w:r>
    </w:p>
    <w:p>
      <w:pPr>
        <w:pStyle w:val="ListParagraph"/>
        <w:numPr>
          <w:ilvl w:val="0"/>
          <w:numId w:val="2"/>
        </w:numPr>
        <w:spacing w:after="60"/>
      </w:pPr>
      <w:r>
        <w:rPr>
          <w:rFonts w:ascii="Arial" w:cs="Arial" w:eastAsia="Arial" w:hAnsi="Arial"/>
          <w:color w:val="595959"/>
          <w:sz w:val="20"/>
          <w:szCs w:val="20"/>
        </w:rPr>
        <w:t xml:space="preserve">Change enforcement points without changing the underlying policy definition.</w:t>
      </w:r>
    </w:p>
    <w:p>
      <w:pPr>
        <w:pStyle w:val="ListParagraph"/>
        <w:numPr>
          <w:ilvl w:val="0"/>
          <w:numId w:val="2"/>
        </w:numPr>
        <w:spacing w:after="60"/>
      </w:pPr>
      <w:r>
        <w:rPr>
          <w:rFonts w:ascii="Arial" w:cs="Arial" w:eastAsia="Arial" w:hAnsi="Arial"/>
          <w:color w:val="595959"/>
          <w:sz w:val="20"/>
          <w:szCs w:val="20"/>
        </w:rPr>
        <w:t xml:space="preserve">Extend policy to non-Cisco enterprise firewalls — Cisco states it is the only enterprise firewall vendor doing this today.</w:t>
      </w:r>
    </w:p>
    <w:p>
      <w:r>
        <w:t xml:space="preserve"/>
      </w:r>
    </w:p>
    <w:p>
      <w:pPr>
        <w:pStyle w:val="Heading2"/>
      </w:pPr>
      <w:r>
        <w:rPr>
          <w:rFonts w:ascii="Arial" w:cs="Arial" w:eastAsia="Arial" w:hAnsi="Arial"/>
          <w:b w:val="false"/>
          <w:bCs w:val="false"/>
          <w:color w:val="404040"/>
          <w:sz w:val="24"/>
          <w:szCs w:val="24"/>
        </w:rPr>
        <w:t xml:space="preserve">Supported enforcement points (per Cisco documentation)</w:t>
      </w:r>
    </w:p>
    <w:p>
      <w:pPr>
        <w:pStyle w:val="ListParagraph"/>
        <w:numPr>
          <w:ilvl w:val="0"/>
          <w:numId w:val="2"/>
        </w:numPr>
        <w:spacing w:after="60"/>
      </w:pPr>
      <w:r>
        <w:rPr>
          <w:rFonts w:ascii="Arial" w:cs="Arial" w:eastAsia="Arial" w:hAnsi="Arial"/>
          <w:color w:val="595959"/>
          <w:sz w:val="20"/>
          <w:szCs w:val="20"/>
        </w:rPr>
        <w:t xml:space="preserve">Cisco Secure Firewall — ASA and FTD</w:t>
      </w:r>
    </w:p>
    <w:p>
      <w:pPr>
        <w:pStyle w:val="ListParagraph"/>
        <w:numPr>
          <w:ilvl w:val="0"/>
          <w:numId w:val="2"/>
        </w:numPr>
        <w:spacing w:after="60"/>
      </w:pPr>
      <w:r>
        <w:rPr>
          <w:rFonts w:ascii="Arial" w:cs="Arial" w:eastAsia="Arial" w:hAnsi="Arial"/>
          <w:color w:val="595959"/>
          <w:sz w:val="20"/>
          <w:szCs w:val="20"/>
        </w:rPr>
        <w:t xml:space="preserve">Palo Alto Networks</w:t>
      </w:r>
    </w:p>
    <w:p>
      <w:pPr>
        <w:pStyle w:val="ListParagraph"/>
        <w:numPr>
          <w:ilvl w:val="0"/>
          <w:numId w:val="2"/>
        </w:numPr>
        <w:spacing w:after="60"/>
      </w:pPr>
      <w:r>
        <w:rPr>
          <w:rFonts w:ascii="Arial" w:cs="Arial" w:eastAsia="Arial" w:hAnsi="Arial"/>
          <w:color w:val="595959"/>
          <w:sz w:val="20"/>
          <w:szCs w:val="20"/>
        </w:rPr>
        <w:t xml:space="preserve">Fortinet</w:t>
      </w:r>
    </w:p>
    <w:p>
      <w:pPr>
        <w:pStyle w:val="ListParagraph"/>
        <w:numPr>
          <w:ilvl w:val="0"/>
          <w:numId w:val="2"/>
        </w:numPr>
        <w:spacing w:after="60"/>
      </w:pPr>
      <w:r>
        <w:rPr>
          <w:rFonts w:ascii="Arial" w:cs="Arial" w:eastAsia="Arial" w:hAnsi="Arial"/>
          <w:color w:val="595959"/>
          <w:sz w:val="20"/>
          <w:szCs w:val="20"/>
        </w:rPr>
        <w:t xml:space="preserve">Juniper</w:t>
      </w:r>
    </w:p>
    <w:p>
      <w:pPr>
        <w:pStyle w:val="ListParagraph"/>
        <w:numPr>
          <w:ilvl w:val="0"/>
          <w:numId w:val="2"/>
        </w:numPr>
        <w:spacing w:after="60"/>
      </w:pPr>
      <w:r>
        <w:rPr>
          <w:rFonts w:ascii="Arial" w:cs="Arial" w:eastAsia="Arial" w:hAnsi="Arial"/>
          <w:color w:val="595959"/>
          <w:sz w:val="20"/>
          <w:szCs w:val="20"/>
        </w:rPr>
        <w:t xml:space="preserve">AMD Pensando DPUs</w:t>
      </w:r>
    </w:p>
    <w:p>
      <w:pPr>
        <w:spacing w:after="100"/>
      </w:pPr>
      <w:r>
        <w:rPr>
          <w:rFonts w:ascii="Arial" w:cs="Arial" w:eastAsia="Arial" w:hAnsi="Arial"/>
          <w:i/>
          <w:iCs/>
          <w:color w:val="595959"/>
          <w:sz w:val="20"/>
          <w:szCs w:val="20"/>
        </w:rPr>
        <w:t xml:space="preserve">Given the CVS Health estate spans Palo Alto Panorama (PAZSHDC/RRISHDC HA pair, DG_LV_Egress, DG_LV_EXT_DMZ, DG_AZ_Egress, DG_RI_Egress), ASA/FTD, and 11 Check Point firewalls, the Palo Alto and ASA/FTD support paths are directly relevant; Check Point is notably absent from Cisco's supported-vendor list, which is a gap worth flagging given our own build_fw_rule_db.py has the same Check Point blind spot.</w:t>
      </w:r>
    </w:p>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2. Architecture — Four Components</w:t>
      </w:r>
    </w:p>
    <w:p>
      <w:pPr>
        <w:spacing w:after="100"/>
      </w:pPr>
      <w:r>
        <w:rPr>
          <w:rFonts w:ascii="Arial" w:cs="Arial" w:eastAsia="Arial" w:hAnsi="Arial"/>
          <w:color w:val="595959"/>
          <w:sz w:val="20"/>
          <w:szCs w:val="20"/>
        </w:rPr>
        <w:t xml:space="preserve">MPE is built from four components that share a central policy/topology database. Users (application developers, network operators, or external event streams / topology-change triggers) submit intent through either the SCC UI or the API; the Mesh Policy Engine resolves that intent against topology and pushes the “desired outcome” to vendor-specific firewall management platforms (Cisco FMC, and third-party managers for Vendor A/B/C).</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gridCol w:w="4680"/>
      </w:tblGrid>
      <w:tr>
        <w:trPr>
          <w:tblHeader/>
        </w:trPr>
        <w:tc>
          <w:tcPr>
            <w:tcW w:type="dxa" w:w="2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46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CVS Health Reference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Manual Policy Manager (MPM)</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UI-based policy administration. Changes are staged as changesets (with conflict resolution and typed error handling) before being pushed, rather than applied live.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Governance layer — analogous to a change-approval gate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Persisted Connectivity Manager (PCM)</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API-first, declares connectivity requirements as permit-only rules resolved against topology. This is the formal home of the “intent” abstraction.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Closest architectural analog to fw_rule_request.html's object-first rule construction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Topology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Manages gateway sets, zones, and addresses as first-class objects; resolves “all zone paths” for a given security device before fulfillment.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Comparable role to LOCATION/ROUTING_DOMAIN + firewall topology mapping in ipam-db.py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Fulfillment System</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Reads intent + topology from a shared database and pushes resolved, optimized rules to install targets. Restores intended policy if manual out-of-band changes are detected (drift correction).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direct CCD Platform analog today — closest thing is manual --cross-check validation</w:t>
            </w:r>
          </w:p>
        </w:tc>
      </w:tr>
    </w:tbl>
    <w:p>
      <w:r>
        <w:t xml:space="preserve"/>
      </w:r>
    </w:p>
    <w:p>
      <w:pPr>
        <w:spacing w:after="100"/>
      </w:pPr>
      <w:r>
        <w:rPr>
          <w:rFonts w:ascii="Arial" w:cs="Arial" w:eastAsia="Arial" w:hAnsi="Arial"/>
          <w:color w:val="595959"/>
          <w:sz w:val="20"/>
          <w:szCs w:val="20"/>
        </w:rPr>
        <w:t xml:space="preserve">Policy import is a separate but related capability: MPE can ingest existing policy from ASA, Secure Firewall Management Center, and FortiManager (plus a generic path for unsupported managers), so onboarding does not require a rip-and-replace of the current rule base.</w:t>
      </w:r>
    </w:p>
    <w:p>
      <w:pPr>
        <w:spacing w:after="60" w:before="120"/>
        <w:jc w:val="center"/>
      </w:pPr>
      <w:r>
        <w:drawing>
          <wp:inline distT="0" distB="0" distL="0" distR="0">
            <wp:extent cx="3238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467100"/>
                    </a:xfrm>
                    <a:prstGeom prst="rect">
                      <a:avLst/>
                    </a:prstGeom>
                  </pic:spPr>
                </pic:pic>
              </a:graphicData>
            </a:graphic>
          </wp:inline>
        </w:drawing>
      </w:r>
    </w:p>
    <w:p>
      <w:pPr>
        <w:spacing w:after="160"/>
        <w:jc w:val="center"/>
      </w:pPr>
      <w:r>
        <w:rPr>
          <w:rFonts w:ascii="Arial" w:cs="Arial" w:eastAsia="Arial" w:hAnsi="Arial"/>
          <w:i/>
          <w:iCs/>
          <w:color w:val="AAAAAA"/>
          <w:sz w:val="16"/>
          <w:szCs w:val="16"/>
        </w:rPr>
        <w:t xml:space="preserve">Figure 1: Mesh Policy Engine architecture (Source: Cisco, ctelecoms.com.sa)</w:t>
      </w:r>
    </w:p>
    <w:p>
      <w:r>
        <w:t xml:space="preserve"/>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3. Core Capabilities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gridCol w:w="3480"/>
      </w:tblGrid>
      <w:tr>
        <w:trPr>
          <w:tblHeader/>
        </w:trPr>
        <w:tc>
          <w:tcPr>
            <w:tcW w:type="dxa" w:w="3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6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4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Relevance to CVS FPMS Gaps</w:t>
            </w:r>
          </w:p>
        </w:tc>
      </w:tr>
      <w:tr>
        <w:tc>
          <w:tcPr>
            <w:tcW w:type="dxa" w:w="3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Intent-based translation</w:t>
            </w:r>
          </w:p>
        </w:tc>
        <w:tc>
          <w:tcPr>
            <w:tcW w:type="dxa" w:w="68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Converts a stated access requirement (“App A talks to App B”) into accurate, outcome-driven rules across vendors.</w:t>
            </w:r>
          </w:p>
        </w:tc>
        <w:tc>
          <w:tcPr>
            <w:tcW w:type="dxa" w:w="34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w:t>
            </w:r>
          </w:p>
        </w:tc>
      </w:tr>
      <w:tr>
        <w:tc>
          <w:tcPr>
            <w:tcW w:type="dxa" w:w="3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Multi-vendor orchestration</w:t>
            </w:r>
          </w:p>
        </w:tc>
        <w:tc>
          <w:tcPr>
            <w:tcW w:type="dxa" w:w="68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Single dashboard for Cisco + Palo Alto + Fortinet + Juniper + Pensando; no per-vendor CLI expertise required.</w:t>
            </w:r>
          </w:p>
        </w:tc>
        <w:tc>
          <w:tcPr>
            <w:tcW w:type="dxa" w:w="34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w:t>
            </w:r>
          </w:p>
        </w:tc>
      </w:tr>
      <w:tr>
        <w:tc>
          <w:tcPr>
            <w:tcW w:type="dxa" w:w="3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Topology-aware placement</w:t>
            </w:r>
          </w:p>
        </w:tc>
        <w:tc>
          <w:tcPr>
            <w:tcW w:type="dxa" w:w="68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Deploys rules only to devices relevant to the actual traffic path, avoiding unnecessary policy sprawl.</w:t>
            </w:r>
          </w:p>
        </w:tc>
        <w:tc>
          <w:tcPr>
            <w:tcW w:type="dxa" w:w="34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w:t>
            </w:r>
          </w:p>
        </w:tc>
      </w:tr>
      <w:tr>
        <w:tc>
          <w:tcPr>
            <w:tcW w:type="dxa" w:w="3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404040"/>
                <w:sz w:val="18"/>
                <w:szCs w:val="18"/>
              </w:rPr>
              <w:t xml:space="preserve">Policy ingestion (brownfield)</w:t>
            </w:r>
          </w:p>
        </w:tc>
        <w:tc>
          <w:tcPr>
            <w:tcW w:type="dxa" w:w="6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Imports existing ASA / FMC / FortiManager policy into MPM without requiring a clean-slate rebuild.</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Medium-High</w:t>
            </w:r>
          </w:p>
        </w:tc>
      </w:tr>
      <w:tr>
        <w:tc>
          <w:tcPr>
            <w:tcW w:type="dxa" w:w="3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404040"/>
                <w:sz w:val="18"/>
                <w:szCs w:val="18"/>
              </w:rPr>
              <w:t xml:space="preserve">Drift correction</w:t>
            </w:r>
          </w:p>
        </w:tc>
        <w:tc>
          <w:tcPr>
            <w:tcW w:type="dxa" w:w="6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Automatically restores intended policy if a manual out-of-band change is made on a device.</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Medium</w:t>
            </w:r>
          </w:p>
        </w:tc>
      </w:tr>
      <w:tr>
        <w:tc>
          <w:tcPr>
            <w:tcW w:type="dxa" w:w="3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404040"/>
                <w:sz w:val="18"/>
                <w:szCs w:val="18"/>
              </w:rPr>
              <w:t xml:space="preserve">Lifecycle management</w:t>
            </w:r>
          </w:p>
        </w:tc>
        <w:tc>
          <w:tcPr>
            <w:tcW w:type="dxa" w:w="6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Versioning, historical comparison, rollback, and CI/CD-style API integration for policy changes.</w:t>
            </w:r>
          </w:p>
        </w:tc>
        <w:tc>
          <w:tcPr>
            <w:tcW w:type="dxa" w:w="34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Medium</w:t>
            </w:r>
          </w:p>
        </w:tc>
      </w:tr>
      <w:tr>
        <w:tc>
          <w:tcPr>
            <w:tcW w:type="dxa" w:w="34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bCs/>
                <w:color w:val="404040"/>
                <w:sz w:val="18"/>
                <w:szCs w:val="18"/>
              </w:rPr>
              <w:t xml:space="preserve">Rule optimization</w:t>
            </w:r>
          </w:p>
        </w:tc>
        <w:tc>
          <w:tcPr>
            <w:tcW w:type="dxa" w:w="680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Prioritizes and removes overlapping or duplicate rules automatically.</w:t>
            </w:r>
          </w:p>
        </w:tc>
        <w:tc>
          <w:tcPr>
            <w:tcW w:type="dxa" w:w="3480"/>
            <w:tcBorders>
              <w:top w:val="single" w:color="CCCCCC" w:sz="1"/>
              <w:left w:val="single" w:color="CCCCCC" w:sz="1"/>
              <w:bottom w:val="single" w:color="CCCCCC" w:sz="1"/>
              <w:right w:val="single" w:color="CCCCCC" w:sz="1"/>
            </w:tcBorders>
            <w:shd w:fill="EDF4E8" w:val="clear"/>
            <w:tcMar>
              <w:top w:type="dxa" w:w="80"/>
              <w:left w:type="dxa" w:w="120"/>
              <w:bottom w:type="dxa" w:w="80"/>
              <w:right w:type="dxa" w:w="120"/>
            </w:tcMar>
          </w:tcPr>
          <w:p>
            <w:r>
              <w:rPr>
                <w:rFonts w:ascii="Arial" w:cs="Arial" w:eastAsia="Arial" w:hAnsi="Arial"/>
                <w:b w:val="false"/>
                <w:bCs w:val="false"/>
                <w:color w:val="404040"/>
                <w:sz w:val="18"/>
                <w:szCs w:val="18"/>
              </w:rPr>
              <w:t xml:space="preserve">Medium — depends on maturity of existing ruleset</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4. Relevance to CVS Health's Current Firewall Policy Problems</w:t>
      </w:r>
    </w:p>
    <w:p>
      <w:pPr>
        <w:spacing w:after="100"/>
      </w:pPr>
      <w:r>
        <w:rPr>
          <w:rFonts w:ascii="Arial" w:cs="Arial" w:eastAsia="Arial" w:hAnsi="Arial"/>
          <w:color w:val="595959"/>
          <w:sz w:val="20"/>
          <w:szCs w:val="20"/>
        </w:rPr>
        <w:t xml:space="preserve">Three problems already identified independently in CVS Health's own PA enforcement assessment map directly onto what MPE is designed to solve:</w:t>
      </w:r>
    </w:p>
    <w:p>
      <w:r>
        <w:t xml:space="preserve"/>
      </w:r>
    </w:p>
    <w:p>
      <w:pPr>
        <w:pStyle w:val="Heading2"/>
      </w:pPr>
      <w:r>
        <w:rPr>
          <w:rFonts w:ascii="Arial" w:cs="Arial" w:eastAsia="Arial" w:hAnsi="Arial"/>
          <w:b w:val="false"/>
          <w:bCs w:val="false"/>
          <w:color w:val="404040"/>
          <w:sz w:val="24"/>
          <w:szCs w:val="24"/>
        </w:rPr>
        <w:t xml:space="preserve">4.1  Alert-All-SPG on 98% of rules</w:t>
      </w:r>
    </w:p>
    <w:p>
      <w:pPr>
        <w:spacing w:after="100"/>
      </w:pPr>
      <w:r>
        <w:rPr>
          <w:rFonts w:ascii="Arial" w:cs="Arial" w:eastAsia="Arial" w:hAnsi="Arial"/>
          <w:color w:val="595959"/>
          <w:sz w:val="20"/>
          <w:szCs w:val="20"/>
        </w:rPr>
        <w:t xml:space="preserve">The PA estate is running ported Cisco firewall policy where nearly all rules use a single alert-only security profile group, with the DLP predefined profile (NAB - Initial Data Filtering) covering 97.7% of rules but providing zero HICN/MBI/PHI blocking. MPE does not fix profile assignment directly, but its intent-based model — where policy is defined once at the “why” level and translated per-vendor — is the kind of architecture that would prevent this class of translation drift from recurring as the estate is re-platformed.</w:t>
      </w:r>
    </w:p>
    <w:p>
      <w:pPr>
        <w:pStyle w:val="Heading2"/>
      </w:pPr>
      <w:r>
        <w:rPr>
          <w:rFonts w:ascii="Arial" w:cs="Arial" w:eastAsia="Arial" w:hAnsi="Arial"/>
          <w:b w:val="false"/>
          <w:bCs w:val="false"/>
          <w:color w:val="404040"/>
          <w:sz w:val="24"/>
          <w:szCs w:val="24"/>
        </w:rPr>
        <w:t xml:space="preserve">4.2  Rule requests built around a Cisco ACL mental model</w:t>
      </w:r>
    </w:p>
    <w:p>
      <w:pPr>
        <w:spacing w:after="100"/>
      </w:pPr>
      <w:r>
        <w:rPr>
          <w:rFonts w:ascii="Arial" w:cs="Arial" w:eastAsia="Arial" w:hAnsi="Arial"/>
          <w:color w:val="595959"/>
          <w:sz w:val="20"/>
          <w:szCs w:val="20"/>
        </w:rPr>
        <w:t xml:space="preserve">fw_rule_request.html was built specifically to replace the Cisco ACL-based request process with object-first PA rule construction, using the NG-20260708_v4 catalog (356 Network Groups + 402 Application Objects) and the IPDATASET catalog (461 objects). MPE's PCM component formalizes the same object-first, intent-first pattern as a vendor-shipped, API-addressable capability rather than an internally maintained tool.</w:t>
      </w:r>
    </w:p>
    <w:p>
      <w:pPr>
        <w:pStyle w:val="Heading2"/>
      </w:pPr>
      <w:r>
        <w:rPr>
          <w:rFonts w:ascii="Arial" w:cs="Arial" w:eastAsia="Arial" w:hAnsi="Arial"/>
          <w:b w:val="false"/>
          <w:bCs w:val="false"/>
          <w:color w:val="404040"/>
          <w:sz w:val="24"/>
          <w:szCs w:val="24"/>
        </w:rPr>
        <w:t xml:space="preserve">4.3  Tufin SecureChange/SecureTrack is broken</w:t>
      </w:r>
    </w:p>
    <w:p>
      <w:pPr>
        <w:spacing w:after="100"/>
      </w:pPr>
      <w:r>
        <w:rPr>
          <w:rFonts w:ascii="Arial" w:cs="Arial" w:eastAsia="Arial" w:hAnsi="Arial"/>
          <w:color w:val="595959"/>
          <w:sz w:val="20"/>
          <w:szCs w:val="20"/>
        </w:rPr>
        <w:t xml:space="preserve">MPE's Manual Policy Manager — with changesets, conflict resolution, typed error handling, and a Push-to-Install-Target workflow — is a plausible functional replacement for the change-management and policy-visibility role Tufin currently fails to fill, if Cisco's device coverage and CVS Health's approval-workflow requirements align.</w:t>
      </w:r>
    </w:p>
    <w:p>
      <w:r>
        <w:br w:type="page"/>
      </w:r>
    </w:p>
    <w:p>
      <w:pPr>
        <w:pStyle w:val="Heading1"/>
        <w:pBdr>
          <w:bottom w:val="single" w:color="17447C" w:sz="4" w:space="4"/>
        </w:pBdr>
      </w:pPr>
      <w:r>
        <w:rPr>
          <w:rFonts w:ascii="Arial" w:cs="Arial" w:eastAsia="Arial" w:hAnsi="Arial"/>
          <w:b w:val="false"/>
          <w:bCs w:val="false"/>
          <w:color w:val="404040"/>
          <w:sz w:val="30"/>
          <w:szCs w:val="30"/>
        </w:rPr>
        <w:t xml:space="preserve">5. Cisco-Reported Customer Use Cases</w:t>
      </w:r>
    </w:p>
    <w:p>
      <w:pPr>
        <w:spacing w:after="100"/>
      </w:pPr>
      <w:r>
        <w:rPr>
          <w:rFonts w:ascii="Arial" w:cs="Arial" w:eastAsia="Arial" w:hAnsi="Arial"/>
          <w:i/>
          <w:iCs/>
          <w:color w:val="595959"/>
          <w:sz w:val="20"/>
          <w:szCs w:val="20"/>
        </w:rPr>
        <w:t xml:space="preserve">From Cisco Live session BRKSEC-2787 (“Zero Trust for Cloud &amp; Beyond with Cisco Hybrid Mesh Firewall,” Nadir Lakhani, Technical Solutions Architect). These are Cisco-selected reference cases, not independently verified outcomes.</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gridCol w:w="4880"/>
      </w:tblGrid>
      <w:tr>
        <w:trPr>
          <w:tblHeader/>
        </w:trPr>
        <w:tc>
          <w:tcPr>
            <w:tcW w:type="dxa" w:w="3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5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Problem Cited</w:t>
            </w:r>
          </w:p>
        </w:tc>
        <w:tc>
          <w:tcPr>
            <w:tcW w:type="dxa" w:w="48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Cisco-Reported 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Cloud migration segmentation gap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On-prem segmentation tooling incompatible with GCP; compliance risk from inconsistent policy across hybrid infrastructure.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Secure Workload + Cisco Firewall + Cloud Native Firewalls, unified under Security Cloud Control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Multi-vendor firewall management (zero Cisco footprint)</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Managing policy across multiple firewall vendors was complex, inconsistent, with no cohesive vulnerability visibility.</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Mesh Policy Engine + Hypershield brought under Security Cloud Control for internal segmentation and exploit protection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Container network policy (OpenShift)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Network policy enforcement and visibility gaps in OpenShift; legacy tools lacked granularity for dynamic containers.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Isovalent Enterprise (Cilium) + Hypershield + Mesh Policy Engine, extended to egress/ingress via Multicloud Defense with vFTD</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6. Open Questions Before a Recommendation</w:t>
      </w:r>
    </w:p>
    <w:p>
      <w:pPr>
        <w:spacing w:after="100"/>
      </w:pPr>
      <w:r>
        <w:rPr>
          <w:rFonts w:ascii="Arial" w:cs="Arial" w:eastAsia="Arial" w:hAnsi="Arial"/>
          <w:color w:val="595959"/>
          <w:sz w:val="20"/>
          <w:szCs w:val="20"/>
        </w:rPr>
        <w:t xml:space="preserve">The following need answers — most likely via a Cisco account team engagement and/or a scoped technical evaluation — before this can move from “awareness briefing” to a funded recommendation.</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gridCol w:w="2880"/>
      </w:tblGrid>
      <w:tr>
        <w:trPr>
          <w:tblHeader/>
        </w:trPr>
        <w:tc>
          <w:tcPr>
            <w:tcW w:type="dxa" w:w="2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8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288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Check Point support</w:t>
            </w:r>
          </w:p>
        </w:tc>
        <w:tc>
          <w:tcPr>
            <w:tcW w:type="dxa" w:w="8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MPE's documented vendor list does not include Check Point. CVS Health has 11 Check Point firewalls with no rules currently in fw_rule_db.sqlite. Would MPE close this gap or leave it unaddressed like our own tooling?</w:t>
            </w:r>
          </w:p>
        </w:tc>
        <w:tc>
          <w:tcPr>
            <w:tcW w:type="dxa" w:w="28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Licensing model</w:t>
            </w:r>
          </w:p>
        </w:tc>
        <w:tc>
          <w:tcPr>
            <w:tcW w:type="dxa" w:w="8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MPE sits inside the “Cloud Protection Suite” alongside Secure Firewall, Multicloud Defense, Secure Workload, Isovalent Enterprise, and Hypershield. Is MPE separately licensable, or does adoption require buying into the broader suite?</w:t>
            </w:r>
          </w:p>
        </w:tc>
        <w:tc>
          <w:tcPr>
            <w:tcW w:type="dxa" w:w="28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Palo Alto Panorama depth</w:t>
            </w:r>
          </w:p>
        </w:tc>
        <w:tc>
          <w:tcPr>
            <w:tcW w:type="dxa" w:w="8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Public materials confirm Palo Alto as a supported vendor but do not detail whether MPE integrates at the Panorama device-group level (DG_LV_Egress, DG_AZ_Egress, etc.) or requires per-firewall onboarding.</w:t>
            </w:r>
          </w:p>
        </w:tc>
        <w:tc>
          <w:tcPr>
            <w:tcW w:type="dxa" w:w="28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404040"/>
                <w:sz w:val="18"/>
                <w:szCs w:val="18"/>
              </w:rPr>
              <w:t xml:space="preserve">Migration path from Tufin</w:t>
            </w:r>
          </w:p>
        </w:tc>
        <w:tc>
          <w:tcPr>
            <w:tcW w:type="dxa" w:w="8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public documentation on a structured Tufin-to-MPE migration path or on how existing SecureChange approval workflows would map to MPM changesets.</w:t>
            </w:r>
          </w:p>
        </w:tc>
        <w:tc>
          <w:tcPr>
            <w:tcW w:type="dxa" w:w="28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404040"/>
                <w:sz w:val="18"/>
                <w:szCs w:val="18"/>
              </w:rPr>
              <w:t xml:space="preserve">Data residency / SCC dependency</w:t>
            </w:r>
          </w:p>
        </w:tc>
        <w:tc>
          <w:tcPr>
            <w:tcW w:type="dxa" w:w="82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MPE requires onboarding to Security Cloud Control, a Cisco cloud-hosted service. Needs review against CVS Health's data governance and cloud-security-review requirements for any cloud-managed control plane touching production firewall policy.</w:t>
            </w:r>
          </w:p>
        </w:tc>
        <w:tc>
          <w:tcPr>
            <w:tcW w:type="dxa" w:w="288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404040"/>
                <w:sz w:val="18"/>
                <w:szCs w:val="18"/>
              </w:rPr>
              <w:t xml:space="preserve">Build-vs-buy cost comparison</w:t>
            </w:r>
          </w:p>
        </w:tc>
        <w:tc>
          <w:tcPr>
            <w:tcW w:type="dxa" w:w="8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current estimate of MPE licensing/professional-services cost against the ongoing internal engineering investment in fw_rule_request.html, build_network_groups.py, and the broader CCD Platform pipeline.</w:t>
            </w:r>
          </w:p>
        </w:tc>
        <w:tc>
          <w:tcPr>
            <w:tcW w:type="dxa" w:w="28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C55A11"/>
                <w:sz w:val="18"/>
                <w:szCs w:val="18"/>
              </w:rPr>
              <w:t xml:space="preserve">Medium</w:t>
            </w:r>
          </w:p>
        </w:tc>
      </w:tr>
    </w:tbl>
    <w:p>
      <w:r>
        <w:t xml:space="preserve"/>
      </w:r>
    </w:p>
    <w:p>
      <w:pPr>
        <w:pStyle w:val="Heading1"/>
        <w:pBdr>
          <w:bottom w:val="single" w:color="17447C" w:sz="4" w:space="4"/>
        </w:pBdr>
      </w:pPr>
      <w:r>
        <w:rPr>
          <w:rFonts w:ascii="Arial" w:cs="Arial" w:eastAsia="Arial" w:hAnsi="Arial"/>
          <w:b w:val="false"/>
          <w:bCs w:val="false"/>
          <w:color w:val="404040"/>
          <w:sz w:val="30"/>
          <w:szCs w:val="30"/>
        </w:rPr>
        <w:t xml:space="preserve">7. Recommended Next Steps</w:t>
      </w:r>
    </w:p>
    <w:p>
      <w:pPr>
        <w:pStyle w:val="ListParagraph"/>
        <w:numPr>
          <w:ilvl w:val="0"/>
          <w:numId w:val="2"/>
        </w:numPr>
        <w:spacing w:after="60"/>
      </w:pPr>
      <w:r>
        <w:rPr>
          <w:rFonts w:ascii="Arial" w:cs="Arial" w:eastAsia="Arial" w:hAnsi="Arial"/>
          <w:color w:val="595959"/>
          <w:sz w:val="20"/>
          <w:szCs w:val="20"/>
        </w:rPr>
        <w:t xml:space="preserve">Treat MPE as a data point for the intent-based firewall policy architecture workstream already underway — not a standalone procurement request.</w:t>
      </w:r>
    </w:p>
    <w:p>
      <w:pPr>
        <w:pStyle w:val="ListParagraph"/>
        <w:numPr>
          <w:ilvl w:val="0"/>
          <w:numId w:val="2"/>
        </w:numPr>
        <w:spacing w:after="60"/>
      </w:pPr>
      <w:r>
        <w:rPr>
          <w:rFonts w:ascii="Arial" w:cs="Arial" w:eastAsia="Arial" w:hAnsi="Arial"/>
          <w:color w:val="595959"/>
          <w:sz w:val="20"/>
          <w:szCs w:val="20"/>
        </w:rPr>
        <w:t xml:space="preserve">Request a Cisco technical deep-dive specifically on Palo Alto Panorama integration depth and Check Point support (or lack thereof), given our estate composition.</w:t>
      </w:r>
    </w:p>
    <w:p>
      <w:pPr>
        <w:pStyle w:val="ListParagraph"/>
        <w:numPr>
          <w:ilvl w:val="0"/>
          <w:numId w:val="2"/>
        </w:numPr>
        <w:spacing w:after="60"/>
      </w:pPr>
      <w:r>
        <w:rPr>
          <w:rFonts w:ascii="Arial" w:cs="Arial" w:eastAsia="Arial" w:hAnsi="Arial"/>
          <w:color w:val="595959"/>
          <w:sz w:val="20"/>
          <w:szCs w:val="20"/>
        </w:rPr>
        <w:t xml:space="preserve">Request licensing detail for MPE in isolation vs. as part of the Cloud Protection Suite bundle.</w:t>
      </w:r>
    </w:p>
    <w:p>
      <w:pPr>
        <w:pStyle w:val="ListParagraph"/>
        <w:numPr>
          <w:ilvl w:val="0"/>
          <w:numId w:val="2"/>
        </w:numPr>
        <w:spacing w:after="60"/>
      </w:pPr>
      <w:r>
        <w:rPr>
          <w:rFonts w:ascii="Arial" w:cs="Arial" w:eastAsia="Arial" w:hAnsi="Arial"/>
          <w:color w:val="595959"/>
          <w:sz w:val="20"/>
          <w:szCs w:val="20"/>
        </w:rPr>
        <w:t xml:space="preserve">Route Security Cloud Control (as a cloud-hosted control plane for production firewall policy) through standard cloud/data-governance review before any technical evaluation begins.</w:t>
      </w:r>
    </w:p>
    <w:p>
      <w:pPr>
        <w:pStyle w:val="ListParagraph"/>
        <w:numPr>
          <w:ilvl w:val="0"/>
          <w:numId w:val="2"/>
        </w:numPr>
        <w:spacing w:after="60"/>
      </w:pPr>
      <w:r>
        <w:rPr>
          <w:rFonts w:ascii="Arial" w:cs="Arial" w:eastAsia="Arial" w:hAnsi="Arial"/>
          <w:color w:val="595959"/>
          <w:sz w:val="20"/>
          <w:szCs w:val="20"/>
        </w:rPr>
        <w:t xml:space="preserve">Continue current internal work (fw_rule_request.html, build_network_groups.py, NG/IPDATASET catalogs) in parallel — this remains the fallback path regardless of the MPE evaluation outcome.</w:t>
      </w:r>
    </w:p>
    <w:p>
      <w:r>
        <w:t xml:space="preserve"/>
      </w:r>
    </w:p>
    <w:p>
      <w:pPr>
        <w:spacing w:after="100"/>
      </w:pPr>
      <w:r>
        <w:rPr>
          <w:rFonts w:ascii="Arial" w:cs="Arial" w:eastAsia="Arial" w:hAnsi="Arial"/>
          <w:i/>
          <w:iCs/>
          <w:color w:val="AAAAAA"/>
          <w:sz w:val="20"/>
          <w:szCs w:val="20"/>
        </w:rPr>
        <w:t xml:space="preserve">Sources: Cisco Security Cloud Control blog series (ctelecoms.com.sa, Mar 2026); Cisco DevNet API documentation (developer.cisco.com/docs/mesh-policy-engine); Cisco Security Documentation Portal (securitydocs.cisco.com/docs/mpe); Cisco Live session BRKSEC-2787, “Zero Trust for Cloud &amp; Beyond with Cisco Hybrid Mesh Firewall” (Nadir Lakhani). CVS Health internal references drawn from CCD Platform pipeline documentation and PA enforcement assessment findings.</w:t>
      </w:r>
    </w:p>
    <w:p>
      <w:pPr>
        <w:spacing w:after="100"/>
      </w:pPr>
      <w:r>
        <w:rPr>
          <w:rFonts w:ascii="Arial" w:cs="Arial" w:eastAsia="Arial" w:hAnsi="Arial"/>
          <w:i/>
          <w:iCs/>
          <w:color w:val="AAAAAA"/>
          <w:sz w:val="20"/>
          <w:szCs w:val="20"/>
        </w:rPr>
        <w:t xml:space="preserve">Prepared by: Information Security — CCD Platform  |  Data sources: public Cisco documentation, Cisco Live BRKSEC-2787  |  July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b7f5e4c2c338e25910af5f3e9c60abbe580ad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2026-07-23T19:13:52.494Z</dcterms:created>
  <dcterms:modified xsi:type="dcterms:W3CDTF">2026-07-23T19:13:52.507Z</dcterms:modified>
</cp:coreProperties>
</file>

<file path=docProps/custom.xml><?xml version="1.0" encoding="utf-8"?>
<Properties xmlns="http://schemas.openxmlformats.org/officeDocument/2006/custom-properties" xmlns:vt="http://schemas.openxmlformats.org/officeDocument/2006/docPropsVTypes"/>
</file>