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17447C" w:sz="24" w:space="12"/>
        </w:pBdr>
        <w:spacing w:after="60"/>
        <w:ind w:left="280"/>
      </w:pPr>
      <w:r>
        <w:rPr>
          <w:rFonts w:ascii="Arial" w:cs="Arial" w:eastAsia="Arial" w:hAnsi="Arial"/>
          <w:b w:val="false"/>
          <w:bCs w:val="false"/>
          <w:color w:val="595959"/>
          <w:sz w:val="18"/>
          <w:szCs w:val="18"/>
        </w:rPr>
        <w:t xml:space="preserve">CVS Health  |  Information Security</w:t>
      </w:r>
    </w:p>
    <w:p>
      <w:pPr>
        <w:pBdr>
          <w:left w:val="single" w:color="17447C" w:sz="24" w:space="12"/>
        </w:pBdr>
        <w:spacing w:after="60"/>
        <w:ind w:left="280"/>
      </w:pPr>
      <w:r>
        <w:rPr>
          <w:rFonts w:ascii="Arial" w:cs="Arial" w:eastAsia="Arial" w:hAnsi="Arial"/>
          <w:b w:val="false"/>
          <w:bCs w:val="false"/>
          <w:color w:val="404040"/>
          <w:sz w:val="44"/>
          <w:szCs w:val="44"/>
        </w:rPr>
        <w:t xml:space="preserve">Skyhigh Secure Web Gateway</w:t>
      </w:r>
    </w:p>
    <w:p>
      <w:pPr>
        <w:pBdr>
          <w:left w:val="single" w:color="17447C" w:sz="24" w:space="12"/>
        </w:pBdr>
        <w:spacing w:after="60"/>
        <w:ind w:left="280"/>
      </w:pPr>
      <w:r>
        <w:rPr>
          <w:rFonts w:ascii="Arial" w:cs="Arial" w:eastAsia="Arial" w:hAnsi="Arial"/>
          <w:b w:val="false"/>
          <w:bCs w:val="false"/>
          <w:color w:val="17447C"/>
          <w:sz w:val="28"/>
          <w:szCs w:val="28"/>
        </w:rPr>
        <w:t xml:space="preserve">SSL/TLS Decryption &amp; HTTP Header Rewriting Policy Review — Aetna vs. CVS Proxy Instances</w:t>
      </w:r>
    </w:p>
    <w:p>
      <w:pPr>
        <w:pBdr>
          <w:left w:val="single" w:color="17447C" w:sz="24" w:space="12"/>
        </w:pBdr>
        <w:spacing w:after="480"/>
        <w:ind w:left="280"/>
      </w:pPr>
      <w:r>
        <w:rPr>
          <w:rFonts w:ascii="Arial" w:cs="Arial" w:eastAsia="Arial" w:hAnsi="Arial"/>
          <w:b w:val="false"/>
          <w:bCs w:val="false"/>
          <w:color w:val="595959"/>
          <w:sz w:val="18"/>
          <w:szCs w:val="18"/>
        </w:rPr>
        <w:t xml:space="preserve">July 2026  –  CCD Platform / Security Stack Analysis  |  InfoSec Architecture</w:t>
      </w:r>
    </w:p>
    <w:p>
      <w:r>
        <w:t xml:space="preserve"/>
      </w:r>
    </w:p>
    <w:p>
      <w:pPr>
        <w:spacing w:after="100"/>
      </w:pPr>
      <w:r>
        <w:rPr>
          <w:rFonts w:ascii="Arial" w:cs="Arial" w:eastAsia="Arial" w:hAnsi="Arial"/>
          <w:color w:val="595959"/>
          <w:sz w:val="20"/>
          <w:szCs w:val="20"/>
        </w:rPr>
        <w:t xml:space="preserve">This report documents the SSL/TLS decryption (HTTPS Scanning) policy and HTTP header insertion/rewriting configuration extracted from two Skyhigh (McAfee) Secure Web Gateway configuration backups:</w:t>
      </w:r>
    </w:p>
    <w:p>
      <w:pPr>
        <w:pStyle w:val="ListParagraph"/>
        <w:numPr>
          <w:ilvl w:val="0"/>
          <w:numId w:val="2"/>
        </w:numPr>
        <w:spacing w:after="60"/>
      </w:pPr>
      <w:r>
        <w:rPr>
          <w:rFonts w:ascii="Arial" w:cs="Arial" w:eastAsia="Arial" w:hAnsi="Arial"/>
          <w:color w:val="595959"/>
          <w:sz w:val="20"/>
          <w:szCs w:val="20"/>
        </w:rPr>
        <w:t xml:space="preserve">Aetna-SH-Proxy-2026-07-21.backup  —  MWG v12.2.23 build 57025, exported 2026-07-19, config snapshot dated 2026-07-17</w:t>
      </w:r>
    </w:p>
    <w:p>
      <w:pPr>
        <w:pStyle w:val="ListParagraph"/>
        <w:numPr>
          <w:ilvl w:val="0"/>
          <w:numId w:val="2"/>
        </w:numPr>
        <w:spacing w:after="60"/>
      </w:pPr>
      <w:r>
        <w:rPr>
          <w:rFonts w:ascii="Arial" w:cs="Arial" w:eastAsia="Arial" w:hAnsi="Arial"/>
          <w:color w:val="595959"/>
          <w:sz w:val="20"/>
          <w:szCs w:val="20"/>
        </w:rPr>
        <w:t xml:space="preserve">CVS-roxy-SH-2026-07-16.backup  —  MWG v12.2.23 build 57025, exported 2026-07-16, config snapshot dated 2026-06-03</w:t>
      </w:r>
    </w:p>
    <w:p>
      <w:r>
        <w:t xml:space="preserve"/>
      </w:r>
    </w:p>
    <w:p>
      <w:pPr>
        <w:spacing w:after="100"/>
      </w:pPr>
      <w:r>
        <w:rPr>
          <w:rFonts w:ascii="Arial" w:cs="Arial" w:eastAsia="Arial" w:hAnsi="Arial"/>
          <w:i/>
          <w:iCs/>
          <w:color w:val="595959"/>
          <w:sz w:val="20"/>
          <w:szCs w:val="20"/>
        </w:rPr>
        <w:t xml:space="preserve">Both are McAfee/Skyhigh Secure Web Gateway ("MWG") rule-engine configurations decoded from their native co_backup_data (base64 + gzip + tar) format. All findings below are drawn directly from the rule XML (gwrs.xml) and referenced list/property objects in each backup.</w:t>
      </w:r>
    </w:p>
    <w:p>
      <w:r>
        <w:br w:type="page"/>
      </w:r>
    </w:p>
    <w:p>
      <w:pPr>
        <w:pStyle w:val="Heading1"/>
        <w:pBdr>
          <w:bottom w:val="single" w:color="17447C" w:sz="4" w:space="4"/>
        </w:pBdr>
      </w:pPr>
      <w:r>
        <w:rPr>
          <w:rFonts w:ascii="Arial" w:cs="Arial" w:eastAsia="Arial" w:hAnsi="Arial"/>
          <w:b w:val="false"/>
          <w:bCs w:val="false"/>
          <w:color w:val="404040"/>
          <w:sz w:val="30"/>
          <w:szCs w:val="30"/>
        </w:rPr>
        <w:t xml:space="preserve">Executive Summary</w:t>
      </w:r>
    </w:p>
    <w:p>
      <w:pPr>
        <w:spacing w:after="100"/>
      </w:pPr>
      <w:r>
        <w:rPr>
          <w:rFonts w:ascii="Arial" w:cs="Arial" w:eastAsia="Arial" w:hAnsi="Arial"/>
          <w:color w:val="595959"/>
          <w:sz w:val="20"/>
          <w:szCs w:val="20"/>
        </w:rPr>
        <w:t xml:space="preserve">The two Skyhigh proxy instances share the same rule-engine version and a large amount of common rule content (Housekeeping, Azure AD Tenant Restrictions, Content-Length cleanup, Facebook/Anti-Malware handling), but implement fundamentally different SSL decryption architectures:</w:t>
      </w:r>
    </w:p>
    <w:p>
      <w:pPr>
        <w:pStyle w:val="ListParagraph"/>
        <w:numPr>
          <w:ilvl w:val="0"/>
          <w:numId w:val="2"/>
        </w:numPr>
        <w:spacing w:after="60"/>
      </w:pPr>
      <w:r>
        <w:rPr>
          <w:rFonts w:ascii="Arial" w:cs="Arial" w:eastAsia="Arial" w:hAnsi="Arial"/>
          <w:color w:val="595959"/>
          <w:sz w:val="20"/>
          <w:szCs w:val="20"/>
        </w:rPr>
        <w:t xml:space="preserve">Aetna ("HTTPS Scanning") runs an opt-out / bypass-by-default model — all HTTPS traffic is decrypted and inspected unless it matches an explicit bypass rule (WebEx, Citrix, Mobile DMZ, Windows Update/Activation, named bypass domain lists).</w:t>
      </w:r>
    </w:p>
    <w:p>
      <w:pPr>
        <w:pStyle w:val="ListParagraph"/>
        <w:numPr>
          <w:ilvl w:val="0"/>
          <w:numId w:val="2"/>
        </w:numPr>
        <w:spacing w:after="60"/>
      </w:pPr>
      <w:r>
        <w:rPr>
          <w:rFonts w:ascii="Arial" w:cs="Arial" w:eastAsia="Arial" w:hAnsi="Arial"/>
          <w:color w:val="595959"/>
          <w:sz w:val="20"/>
          <w:szCs w:val="20"/>
        </w:rPr>
        <w:t xml:space="preserve">CVS ("HTTPS Scanning Opt In") runs the inverse — an opt-in / deny-by-default model gated by a boolean property (User-Defined.HTTPSScanningOptIn, default false). Traffic is only decrypted if it matches one of several explicit opt-in conditions (Slack, Trial Run categories, domain/category/IP allow-lists); everything else bypasses scanning.</w:t>
      </w:r>
    </w:p>
    <w:p>
      <w:pPr>
        <w:pStyle w:val="ListParagraph"/>
        <w:numPr>
          <w:ilvl w:val="0"/>
          <w:numId w:val="2"/>
        </w:numPr>
        <w:spacing w:after="60"/>
      </w:pPr>
      <w:r>
        <w:rPr>
          <w:rFonts w:ascii="Arial" w:cs="Arial" w:eastAsia="Arial" w:hAnsi="Arial"/>
          <w:b/>
          <w:bCs/>
          <w:color w:val="CC0000"/>
          <w:sz w:val="20"/>
          <w:szCs w:val="20"/>
        </w:rPr>
        <w:t xml:space="preserve">CVS's active certificate-verification enforcement path is Monitor-only — self-signed, expired, revoked, untrusted-CA, and weak-key-exchange certificates are logged but not blocked. Aetna's equivalent path actively blocks on all of the same conditions.</w:t>
      </w:r>
    </w:p>
    <w:p>
      <w:pPr>
        <w:pStyle w:val="ListParagraph"/>
        <w:numPr>
          <w:ilvl w:val="0"/>
          <w:numId w:val="2"/>
        </w:numPr>
        <w:spacing w:after="60"/>
      </w:pPr>
      <w:r>
        <w:rPr>
          <w:rFonts w:ascii="Arial" w:cs="Arial" w:eastAsia="Arial" w:hAnsi="Arial"/>
          <w:color w:val="595959"/>
          <w:sz w:val="20"/>
          <w:szCs w:val="20"/>
        </w:rPr>
        <w:t xml:space="preserve">Both proxies implement the same Microsoft Entra ID (Azure AD) Tenant Restrictions v2 header pair (Restrict-Access-To-Tenants / Restrict-Access-Context) with an identical tenant GUID, and both source their control lists from the same Aetna-hosted proxyconsole.aetna.com infrastructure — confirming a shared/centralized governance control plane across the CVS and Aetna heritage proxy estates.</w:t>
      </w:r>
    </w:p>
    <w:p>
      <w:pPr>
        <w:pStyle w:val="ListParagraph"/>
        <w:numPr>
          <w:ilvl w:val="0"/>
          <w:numId w:val="2"/>
        </w:numPr>
        <w:spacing w:after="60"/>
      </w:pPr>
      <w:r>
        <w:rPr>
          <w:rFonts w:ascii="Arial" w:cs="Arial" w:eastAsia="Arial" w:hAnsi="Arial"/>
          <w:color w:val="595959"/>
          <w:sz w:val="20"/>
          <w:szCs w:val="20"/>
        </w:rPr>
        <w:t xml:space="preserve">CVS additionally rewrites Slack workspace-restriction headers (X-Slack-Allowed-Workspaces / X-Slack-Allowed-Workspaces-Requester) that do not exist in the Aetna configuration.</w:t>
      </w:r>
    </w:p>
    <w:p>
      <w:r>
        <w:t xml:space="preserve"/>
      </w:r>
    </w:p>
    <w:p>
      <w:pPr>
        <w:pStyle w:val="Heading1"/>
        <w:pBdr>
          <w:bottom w:val="single" w:color="17447C" w:sz="4" w:space="4"/>
        </w:pBdr>
      </w:pPr>
      <w:r>
        <w:rPr>
          <w:rFonts w:ascii="Arial" w:cs="Arial" w:eastAsia="Arial" w:hAnsi="Arial"/>
          <w:b w:val="false"/>
          <w:bCs w:val="false"/>
          <w:color w:val="404040"/>
          <w:sz w:val="30"/>
          <w:szCs w:val="30"/>
        </w:rPr>
        <w:t xml:space="preserve">1. Source Configuration Overview</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00"/>
        <w:gridCol w:w="5240"/>
        <w:gridCol w:w="5240"/>
      </w:tblGrid>
      <w:tr>
        <w:trPr>
          <w:tblHeader/>
        </w:trPr>
        <w:tc>
          <w:tcPr>
            <w:tcW w:type="dxa" w:w="3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524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Aetna-SH-Proxy</w:t>
            </w:r>
          </w:p>
        </w:tc>
        <w:tc>
          <w:tcPr>
            <w:tcW w:type="dxa" w:w="524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CVS-roxy-SH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Product</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Skyhigh Secure Web Gateway (MWG)</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Skyhigh Secure Web Gateway (MWG)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Version</w:t>
            </w:r>
          </w:p>
        </w:tc>
        <w:tc>
          <w:tcPr>
            <w:tcW w:type="dxa" w:w="5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12.2.23 build 57025</w:t>
            </w:r>
          </w:p>
        </w:tc>
        <w:tc>
          <w:tcPr>
            <w:tcW w:type="dxa" w:w="5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12.2.23 build 57025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Backup exported</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2026-07-19 01:00 EDT</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2026-07-16 (co_timestamp)</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Config snapshot dated</w:t>
            </w:r>
          </w:p>
        </w:tc>
        <w:tc>
          <w:tcPr>
            <w:tcW w:type="dxa" w:w="5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2026-07-17 15:24 EDT</w:t>
            </w:r>
          </w:p>
        </w:tc>
        <w:tc>
          <w:tcPr>
            <w:tcW w:type="dxa" w:w="5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2026-06-03 13:21 EDT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Cluster nodes in backup</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15 nodes</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 nodes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Top-level SSL rule group</w:t>
            </w:r>
          </w:p>
        </w:tc>
        <w:tc>
          <w:tcPr>
            <w:tcW w:type="dxa" w:w="5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"HTTPS Scanning" (opt-out / bypass model)</w:t>
            </w:r>
          </w:p>
        </w:tc>
        <w:tc>
          <w:tcPr>
            <w:tcW w:type="dxa" w:w="5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"HTTPS Scanning Opt In" (opt-in / deny-by-default model)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Additional related group</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"Enable SSL Client Context When HTTPS Scanning Not Enabled"</w:t>
            </w:r>
          </w:p>
        </w:tc>
      </w:tr>
    </w:tbl>
    <w:p>
      <w:r>
        <w:t xml:space="preserve"/>
      </w:r>
    </w:p>
    <w:p>
      <w:pPr>
        <w:spacing w:after="100"/>
      </w:pPr>
      <w:r>
        <w:rPr>
          <w:rFonts w:ascii="Arial" w:cs="Arial" w:eastAsia="Arial" w:hAnsi="Arial"/>
          <w:i/>
          <w:iCs/>
          <w:color w:val="595959"/>
          <w:sz w:val="20"/>
          <w:szCs w:val="20"/>
        </w:rPr>
        <w:t xml:space="preserve">Note: the CVS backup's config snapshot (2026-06-03) is roughly six weeks older than the Aetna snapshot (2026-07-17) relative to their respective export dates — the CVS backup may not reflect changes made to that proxy between June 3 and July 16.</w:t>
      </w:r>
    </w:p>
    <w:p>
      <w:r>
        <w:br w:type="page"/>
      </w:r>
    </w:p>
    <w:p>
      <w:pPr>
        <w:pStyle w:val="Heading1"/>
        <w:pBdr>
          <w:bottom w:val="single" w:color="17447C" w:sz="4" w:space="4"/>
        </w:pBdr>
      </w:pPr>
      <w:r>
        <w:rPr>
          <w:rFonts w:ascii="Arial" w:cs="Arial" w:eastAsia="Arial" w:hAnsi="Arial"/>
          <w:b w:val="false"/>
          <w:bCs w:val="false"/>
          <w:color w:val="404040"/>
          <w:sz w:val="30"/>
          <w:szCs w:val="30"/>
        </w:rPr>
        <w:t xml:space="preserve">2. SSL/TLS Decryption (HTTPS Scanning) Policy</w:t>
      </w:r>
    </w:p>
    <w:p>
      <w:pPr>
        <w:pStyle w:val="Heading2"/>
      </w:pPr>
      <w:r>
        <w:rPr>
          <w:rFonts w:ascii="Arial" w:cs="Arial" w:eastAsia="Arial" w:hAnsi="Arial"/>
          <w:b w:val="false"/>
          <w:bCs w:val="false"/>
          <w:color w:val="404040"/>
          <w:sz w:val="24"/>
          <w:szCs w:val="24"/>
        </w:rPr>
        <w:t xml:space="preserve">2.1 Decryption Model</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00"/>
        <w:gridCol w:w="5240"/>
        <w:gridCol w:w="5240"/>
      </w:tblGrid>
      <w:tr>
        <w:trPr>
          <w:tblHeader/>
        </w:trPr>
        <w:tc>
          <w:tcPr>
            <w:tcW w:type="dxa" w:w="3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524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Aetna</w:t>
            </w:r>
          </w:p>
        </w:tc>
        <w:tc>
          <w:tcPr>
            <w:tcW w:type="dxa" w:w="524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CVS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Default posture</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Decrypt &amp; inspect (opt-out)</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 not decrypt (opt-in)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Gating mechanism</w:t>
            </w:r>
          </w:p>
        </w:tc>
        <w:tc>
          <w:tcPr>
            <w:tcW w:type="dxa" w:w="5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None — scanning runs unless a bypass rule matches</w:t>
            </w:r>
          </w:p>
        </w:tc>
        <w:tc>
          <w:tcPr>
            <w:tcW w:type="dxa" w:w="5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User-Defined.HTTPSScanningOptIn boolean property, default = false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Final catch-all rule</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(implicit — no matching bypass = scanned)</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"Bypass HTTPS Scanning if Above Rules did not Opt In" — explicit bypass if opt-in flag never set</w:t>
            </w:r>
          </w:p>
        </w:tc>
      </w:tr>
    </w:tbl>
    <w:p>
      <w:r>
        <w:t xml:space="preserve"/>
      </w:r>
    </w:p>
    <w:p>
      <w:pPr>
        <w:spacing w:after="100"/>
      </w:pPr>
      <w:r>
        <w:rPr>
          <w:rFonts w:ascii="Arial" w:cs="Arial" w:eastAsia="Arial" w:hAnsi="Arial"/>
          <w:i/>
          <w:iCs/>
          <w:color w:val="595959"/>
          <w:sz w:val="20"/>
          <w:szCs w:val="20"/>
        </w:rPr>
        <w:t xml:space="preserve">CVS's rule engine documents the opt-in variable directly: "Set to true to perform HTTPS Scanning on a request. HTTPSScanningOptOut overrules this variable." This confirms the deny-by-default design is intentional, not incidental.</w:t>
      </w:r>
    </w:p>
    <w:p>
      <w:pPr>
        <w:pStyle w:val="Heading2"/>
      </w:pPr>
      <w:r>
        <w:rPr>
          <w:rFonts w:ascii="Arial" w:cs="Arial" w:eastAsia="Arial" w:hAnsi="Arial"/>
          <w:b w:val="false"/>
          <w:bCs w:val="false"/>
          <w:color w:val="404040"/>
          <w:sz w:val="24"/>
          <w:szCs w:val="24"/>
        </w:rPr>
        <w:t xml:space="preserve">2.2 Bypass / Opt-Out Conditions (traffic that skips decryption)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800"/>
        <w:gridCol w:w="5880"/>
      </w:tblGrid>
      <w:tr>
        <w:trPr>
          <w:tblHeader/>
        </w:trPr>
        <w:tc>
          <w:tcPr>
            <w:tcW w:type="dxa" w:w="4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18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Aetna</w:t>
            </w:r>
          </w:p>
        </w:tc>
        <w:tc>
          <w:tcPr>
            <w:tcW w:type="dxa" w:w="18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CVS</w:t>
            </w:r>
          </w:p>
        </w:tc>
        <w:tc>
          <w:tcPr>
            <w:tcW w:type="dxa" w:w="58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Match Criteria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WebEx HTTPS Scanning Bypass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Yes</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Source IP in WebEx Bypass List</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Citrix HTTPS Scanning Bypass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Yes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Yes</w:t>
            </w:r>
          </w:p>
        </w:tc>
        <w:tc>
          <w:tcPr>
            <w:tcW w:type="dxa" w:w="5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Source IP in Citrix Bypass List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SSL: Bypass Mobile DMZ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Destination IP in Mobile DMZ range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SSL: Bypass Windows Activation Hosts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Yes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Yes</w:t>
            </w:r>
          </w:p>
        </w:tc>
        <w:tc>
          <w:tcPr>
            <w:tcW w:type="dxa" w:w="5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Host matches Windows Activation Hosts list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SSL: Bypass Windows Update Hosts / User-Agent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Yes</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Host or User-Agent matches Windows Update lists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Bypass SSLinspect (named domains)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Yes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No</w:t>
            </w:r>
          </w:p>
        </w:tc>
        <w:tc>
          <w:tcPr>
            <w:tcW w:type="dxa" w:w="5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Domain in Bypass-SSLinspect: Domains list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Bypass by User-Agent Opt 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Yes</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User-Agent matches HTTPS Scanning User Agent Opt Out list</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Bypass by Domain / Domain Regex Opt Out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Yes</w:t>
            </w:r>
          </w:p>
        </w:tc>
        <w:tc>
          <w:tcPr>
            <w:tcW w:type="dxa" w:w="5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Domain in HTTPS Scanning By Domain (REGEX) Opt Out list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Bypass by Category Opt 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Yes</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Category in HTTPS Scanning By Category Opt Out list</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Bypass by Source/Destination IP or IP-Range Opt Out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Yes (4 variants)</w:t>
            </w:r>
          </w:p>
        </w:tc>
        <w:tc>
          <w:tcPr>
            <w:tcW w:type="dxa" w:w="5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IP in respective Opt-Out list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SSL Tunnel: Bypass Destination 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Yes</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Destination IP in SSL Tunnel Bypass list</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Tunneled Host Bypass / wildcard bypass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Yes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Yes</w:t>
            </w:r>
          </w:p>
        </w:tc>
        <w:tc>
          <w:tcPr>
            <w:tcW w:type="dxa" w:w="5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Domain/URL in SSL Tunnel Bypass Domains or URLs</w:t>
            </w:r>
          </w:p>
        </w:tc>
      </w:tr>
    </w:tbl>
    <w:p>
      <w:pPr>
        <w:pStyle w:val="Heading2"/>
      </w:pPr>
      <w:r>
        <w:rPr>
          <w:rFonts w:ascii="Arial" w:cs="Arial" w:eastAsia="Arial" w:hAnsi="Arial"/>
          <w:b w:val="false"/>
          <w:bCs w:val="false"/>
          <w:color w:val="404040"/>
          <w:sz w:val="24"/>
          <w:szCs w:val="24"/>
        </w:rPr>
        <w:t xml:space="preserve">2.3 Opt-In Conditions — CVS only (traffic explicitly turned ON for decryption)</w:t>
      </w:r>
    </w:p>
    <w:p>
      <w:pPr>
        <w:spacing w:after="100"/>
      </w:pPr>
      <w:r>
        <w:rPr>
          <w:rFonts w:ascii="Arial" w:cs="Arial" w:eastAsia="Arial" w:hAnsi="Arial"/>
          <w:color w:val="595959"/>
          <w:sz w:val="20"/>
          <w:szCs w:val="20"/>
        </w:rPr>
        <w:t xml:space="preserve">These rules exist only in the CVS "HTTPS Scanning Opt In" group and have no equivalent in Aetna, since Aetna decrypts by default:</w:t>
      </w:r>
    </w:p>
    <w:tbl>
      <w:tblPr>
        <w:tblW w:type="dxa" w:w="15680"/>
        <w:tblBorders>
          <w:top w:val="single" w:color="auto" w:sz="4"/>
          <w:left w:val="single" w:color="auto" w:sz="4"/>
          <w:bottom w:val="single" w:color="auto" w:sz="4"/>
          <w:right w:val="single" w:color="auto" w:sz="4"/>
          <w:insideH w:val="single" w:color="auto" w:sz="4"/>
          <w:insideV w:val="single" w:color="auto" w:sz="4"/>
        </w:tblBorders>
      </w:tblPr>
      <w:tblGrid>
        <w:gridCol w:w="6600"/>
        <w:gridCol w:w="9080"/>
      </w:tblGrid>
      <w:tr>
        <w:trPr>
          <w:tblHeader/>
        </w:trPr>
        <w:tc>
          <w:tcPr>
            <w:tcW w:type="dxa" w:w="66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90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Match Criteria</w:t>
            </w:r>
          </w:p>
        </w:tc>
      </w:tr>
      <w:tr>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Enable Slack HTTPS Scanning (Source IP Range Opt In)</w:t>
            </w:r>
          </w:p>
        </w:tc>
        <w:tc>
          <w:tcPr>
            <w:tcW w:type="dxa" w:w="9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Source IP range + domain in Slack HTTPS Scanning Domain Opt In/REGEX lists</w:t>
            </w:r>
          </w:p>
        </w:tc>
      </w:tr>
      <w:tr>
        <w:tc>
          <w:tcPr>
            <w:tcW w:type="dxa" w:w="6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Enable Trial Run HTTPS Scanning (Opt In)</w:t>
            </w:r>
          </w:p>
        </w:tc>
        <w:tc>
          <w:tcPr>
            <w:tcW w:type="dxa" w:w="9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Source IP range AND category/domain/domain-regex in Trial Run Opt In lists</w:t>
            </w:r>
          </w:p>
        </w:tc>
      </w:tr>
      <w:tr>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Enable HTTPS Scanning By Domain Opt In</w:t>
            </w:r>
          </w:p>
        </w:tc>
        <w:tc>
          <w:tcPr>
            <w:tcW w:type="dxa" w:w="9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Domain in HTTPS Scanning By Domain Opt In list</w:t>
            </w:r>
          </w:p>
        </w:tc>
      </w:tr>
      <w:tr>
        <w:tc>
          <w:tcPr>
            <w:tcW w:type="dxa" w:w="6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Enable HTTPS Scanning By Category Opt In</w:t>
            </w:r>
          </w:p>
        </w:tc>
        <w:tc>
          <w:tcPr>
            <w:tcW w:type="dxa" w:w="9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Category in HTTPS Scanning By Category Opt In list</w:t>
            </w:r>
          </w:p>
        </w:tc>
      </w:tr>
      <w:tr>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Enable HTTPS Scanning By Domain REGEX Opt In</w:t>
            </w:r>
          </w:p>
        </w:tc>
        <w:tc>
          <w:tcPr>
            <w:tcW w:type="dxa" w:w="9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Host matches HTTPS Scanning By Domain REGEX Opt In list</w:t>
            </w:r>
          </w:p>
        </w:tc>
      </w:tr>
      <w:tr>
        <w:tc>
          <w:tcPr>
            <w:tcW w:type="dxa" w:w="6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Enable HTTPS Scanning User Agent Opt In</w:t>
            </w:r>
          </w:p>
        </w:tc>
        <w:tc>
          <w:tcPr>
            <w:tcW w:type="dxa" w:w="9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User-Agent matches configured list</w:t>
            </w:r>
          </w:p>
        </w:tc>
      </w:tr>
      <w:tr>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Enable HTTPS Scanning By Source/Destination IP (Range) Opt In</w:t>
            </w:r>
          </w:p>
        </w:tc>
        <w:tc>
          <w:tcPr>
            <w:tcW w:type="dxa" w:w="9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 variants — source/destination IP or IP-range allow-lists</w:t>
            </w:r>
          </w:p>
        </w:tc>
      </w:tr>
    </w:tbl>
    <w:p>
      <w:r>
        <w:t xml:space="preserve"/>
      </w:r>
    </w:p>
    <w:p>
      <w:pPr>
        <w:spacing w:after="100"/>
      </w:pPr>
      <w:r>
        <w:rPr>
          <w:rFonts w:ascii="Arial" w:cs="Arial" w:eastAsia="Arial" w:hAnsi="Arial"/>
          <w:color w:val="C55A11"/>
          <w:sz w:val="20"/>
          <w:szCs w:val="20"/>
        </w:rPr>
        <w:t xml:space="preserve">Every one of the CVS opt-in/opt-out list objects above (Category, Domain, Domain REGEX, Trial Run, and Slack variants) is a CUSTOMER_MAINTAINED list sourced live from https://proxyconsole.aetna.com/MANUAL/HTTPSScanningOptIn/PSSRetail/... — the backup captures the list definitions and refresh interval but not current contents (0 items in the static export). The live scope of what CVS actually decrypts today cannot be determined from this backup alone and should be pulled directly from the proxyconsole source or a live Skyhigh policy export.</w:t>
      </w:r>
    </w:p>
    <w:p>
      <w:r>
        <w:br w:type="page"/>
      </w:r>
    </w:p>
    <w:p>
      <w:pPr>
        <w:pStyle w:val="Heading2"/>
      </w:pPr>
      <w:r>
        <w:rPr>
          <w:rFonts w:ascii="Arial" w:cs="Arial" w:eastAsia="Arial" w:hAnsi="Arial"/>
          <w:b w:val="false"/>
          <w:bCs w:val="false"/>
          <w:color w:val="404040"/>
          <w:sz w:val="24"/>
          <w:szCs w:val="24"/>
        </w:rPr>
        <w:t xml:space="preserve">2.4 Certificate Verification Enforcement</w:t>
      </w:r>
    </w:p>
    <w:p>
      <w:pPr>
        <w:spacing w:after="100"/>
      </w:pPr>
      <w:r>
        <w:rPr>
          <w:rFonts w:ascii="Arial" w:cs="Arial" w:eastAsia="Arial" w:hAnsi="Arial"/>
          <w:color w:val="595959"/>
          <w:sz w:val="20"/>
          <w:szCs w:val="20"/>
        </w:rPr>
        <w:t xml:space="preserve">Both configs define near-identical certificate-verification rule sets (self-signed, expired/CA-expired with 7-day tolerance, chain-too-long, revoked, unknown CA, untrusted CA, weak key exchange &lt;112 bits, unsafe signature algorithms, hostname/CN verification). The critical difference is which path is actually enabled:</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200"/>
        <w:gridCol w:w="1700"/>
        <w:gridCol w:w="3800"/>
      </w:tblGrid>
      <w:tr>
        <w:trPr>
          <w:tblHeader/>
        </w:trPr>
        <w:tc>
          <w:tcPr>
            <w:tcW w:type="dxa" w:w="34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Rule Group</w:t>
            </w:r>
          </w:p>
        </w:tc>
        <w:tc>
          <w:tcPr>
            <w:tcW w:type="dxa" w:w="17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Aetna: Enabled</w:t>
            </w:r>
          </w:p>
        </w:tc>
        <w:tc>
          <w:tcPr>
            <w:tcW w:type="dxa" w:w="4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Aetna: Behavior</w:t>
            </w:r>
          </w:p>
        </w:tc>
        <w:tc>
          <w:tcPr>
            <w:tcW w:type="dxa" w:w="17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CVS: Enabled</w:t>
            </w:r>
          </w:p>
        </w:tc>
        <w:tc>
          <w:tcPr>
            <w:tcW w:type="dxa" w:w="38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CVS: Behavior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Primary active path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Yes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Blocks on all violations (rules literally named "Block Self Signed Certificates", "Block Expired...", "Block Revoked...", "Block Unknown/Untrusted CA", "Block Weak Key Exchange")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Yes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Monitor All Certificates — logs the same violations but does not block (rules named "Monitor Self Signed Certificates", "Monitor Expired...", etc.)</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Secondary duplicate path ("Certificate Verification")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Yes (also active)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Same blocking behavior, duplicated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No (disabled)</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Contains the blocking rule set, but the group is turned off</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"Certificate Verification - Monitor Only" group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Yes (active)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Despite the name, contains "Block..." rules — active blocking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 (disabled)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Inactive</w:t>
            </w:r>
          </w:p>
        </w:tc>
      </w:tr>
    </w:tbl>
    <w:p>
      <w:r>
        <w:t xml:space="preserve"/>
      </w:r>
    </w:p>
    <w:p>
      <w:pPr>
        <w:spacing w:after="160"/>
      </w:pPr>
      <w:r>
        <w:rPr>
          <w:rFonts w:ascii="Arial" w:cs="Arial" w:eastAsia="Arial" w:hAnsi="Arial"/>
          <w:b/>
          <w:bCs/>
          <w:color w:val="CC0000"/>
          <w:sz w:val="20"/>
          <w:szCs w:val="20"/>
        </w:rPr>
        <w:t xml:space="preserve">Finding: </w:t>
      </w:r>
      <w:r>
        <w:rPr>
          <w:rFonts w:ascii="Arial" w:cs="Arial" w:eastAsia="Arial" w:hAnsi="Arial"/>
          <w:color w:val="595959"/>
          <w:sz w:val="20"/>
          <w:szCs w:val="20"/>
        </w:rPr>
        <w:t xml:space="preserve">CVS's Skyhigh proxy does not currently block on any certificate-trust violation (self-signed, expired, revoked, untrusted/unknown CA, or weak key exchange) for traffic that reaches SSL inspection — it only logs. The rule content to enforce blocking already exists in the config ("Certificate Verification" group) but is disabled. Aetna's equivalent group is enabled and actively blocking. Recommend confirming whether CVS's monitor-only posture is a deliberate, risk-accepted decision (e.g., to avoid breaking retail/POS integrations) or an oversight — this is directly relevant to the PCI DSS v4.0.1 and NIST SP 800-53 compliance mapping work already underway.</w:t>
      </w:r>
    </w:p>
    <w:p>
      <w:pPr>
        <w:spacing w:after="100"/>
      </w:pPr>
      <w:r>
        <w:rPr>
          <w:rFonts w:ascii="Arial" w:cs="Arial" w:eastAsia="Arial" w:hAnsi="Arial"/>
          <w:i/>
          <w:iCs/>
          <w:color w:val="595959"/>
          <w:sz w:val="20"/>
          <w:szCs w:val="20"/>
        </w:rPr>
        <w:t xml:space="preserve">Secondary observation: Aetna's group named "Certificate Verification - Monitor Only" is a naming artifact — it contains active Block rules identical to the primary enforcement path, not monitor-only logic. Worth a documentation/hygiene cleanup pass to avoid confusion during audits.</w:t>
      </w:r>
    </w:p>
    <w:p>
      <w:pPr>
        <w:pStyle w:val="Heading2"/>
      </w:pPr>
      <w:r>
        <w:rPr>
          <w:rFonts w:ascii="Arial" w:cs="Arial" w:eastAsia="Arial" w:hAnsi="Arial"/>
          <w:b w:val="false"/>
          <w:bCs w:val="false"/>
          <w:color w:val="404040"/>
          <w:sz w:val="24"/>
          <w:szCs w:val="24"/>
        </w:rPr>
        <w:t xml:space="preserve">2.5 Content Inspection Trigger</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00"/>
        <w:gridCol w:w="5240"/>
        <w:gridCol w:w="5240"/>
      </w:tblGrid>
      <w:tr>
        <w:trPr>
          <w:tblHeader/>
        </w:trPr>
        <w:tc>
          <w:tcPr>
            <w:tcW w:type="dxa" w:w="3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524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Aetna</w:t>
            </w:r>
          </w:p>
        </w:tc>
        <w:tc>
          <w:tcPr>
            <w:tcW w:type="dxa" w:w="524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CVS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Trigger condition</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Category in SSL-Inspect-Cat (9 categories) OR SSL-Inspect-Monitor-Cat OR domain in YouTube/ProdSSLinspect lists</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 "Enable Content Inspection Always for HTTPS Scanning Opt In"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Rationale</w:t>
            </w:r>
          </w:p>
        </w:tc>
        <w:tc>
          <w:tcPr>
            <w:tcW w:type="dxa" w:w="5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Category/domain-gated on top of the opt-out decrypt model</w:t>
            </w:r>
          </w:p>
        </w:tc>
        <w:tc>
          <w:tcPr>
            <w:tcW w:type="dxa" w:w="5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Redundant gating not needed — the Opt-In stage (2.3) already filtered what reaches this point</w:t>
            </w:r>
          </w:p>
        </w:tc>
      </w:tr>
    </w:tbl>
    <w:p>
      <w:r>
        <w:br w:type="page"/>
      </w:r>
    </w:p>
    <w:p>
      <w:pPr>
        <w:pStyle w:val="Heading1"/>
        <w:pBdr>
          <w:bottom w:val="single" w:color="17447C" w:sz="4" w:space="4"/>
        </w:pBdr>
      </w:pPr>
      <w:r>
        <w:rPr>
          <w:rFonts w:ascii="Arial" w:cs="Arial" w:eastAsia="Arial" w:hAnsi="Arial"/>
          <w:b w:val="false"/>
          <w:bCs w:val="false"/>
          <w:color w:val="404040"/>
          <w:sz w:val="30"/>
          <w:szCs w:val="30"/>
        </w:rPr>
        <w:t xml:space="preserve">3. HTTP Header Insertion / Rewriting</w:t>
      </w:r>
    </w:p>
    <w:p>
      <w:pPr>
        <w:spacing w:after="100"/>
      </w:pPr>
      <w:r>
        <w:rPr>
          <w:rFonts w:ascii="Arial" w:cs="Arial" w:eastAsia="Arial" w:hAnsi="Arial"/>
          <w:color w:val="595959"/>
          <w:sz w:val="20"/>
          <w:szCs w:val="20"/>
        </w:rPr>
        <w:t xml:space="preserve">Skyhigh implements header rewriting via the com.scur.engine.headerfilter engine — addheader / addheaders (list-driven) and removeheaders procedures attached to a rule's action, not a general-purpose rewrite capability (same category of feature as Palo Alto's HTTP Header Insertion and Zscaler's Header Insertion Profiles reviewed separately).</w:t>
      </w:r>
    </w:p>
    <w:p>
      <w:pPr>
        <w:pStyle w:val="Heading2"/>
      </w:pPr>
      <w:r>
        <w:rPr>
          <w:rFonts w:ascii="Arial" w:cs="Arial" w:eastAsia="Arial" w:hAnsi="Arial"/>
          <w:b w:val="false"/>
          <w:bCs w:val="false"/>
          <w:color w:val="404040"/>
          <w:sz w:val="24"/>
          <w:szCs w:val="24"/>
        </w:rPr>
        <w:t xml:space="preserve">3.1 Shared Header Rules (present and enabled in both configs)</w:t>
      </w:r>
    </w:p>
    <w:tbl>
      <w:tblPr>
        <w:tblW w:type="dxa" w:w="15680"/>
        <w:tblBorders>
          <w:top w:val="single" w:color="auto" w:sz="4"/>
          <w:left w:val="single" w:color="auto" w:sz="4"/>
          <w:bottom w:val="single" w:color="auto" w:sz="4"/>
          <w:right w:val="single" w:color="auto" w:sz="4"/>
          <w:insideH w:val="single" w:color="auto" w:sz="4"/>
          <w:insideV w:val="single" w:color="auto" w:sz="4"/>
        </w:tblBorders>
      </w:tblPr>
      <w:tblGrid>
        <w:gridCol w:w="4600"/>
        <w:gridCol w:w="3200"/>
        <w:gridCol w:w="3400"/>
        <w:gridCol w:w="4480"/>
      </w:tblGrid>
      <w:tr>
        <w:trPr>
          <w:tblHeader/>
        </w:trPr>
        <w:tc>
          <w:tcPr>
            <w:tcW w:type="dxa" w:w="46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Rule / Location</w:t>
            </w:r>
          </w:p>
        </w:tc>
        <w:tc>
          <w:tcPr>
            <w:tcW w:type="dxa" w:w="3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Header</w:t>
            </w:r>
          </w:p>
        </w:tc>
        <w:tc>
          <w:tcPr>
            <w:tcW w:type="dxa" w:w="34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44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Common Rules &gt; Housekeeping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Via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Remove</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t>
            </w:r>
          </w:p>
        </w:tc>
      </w:tr>
      <w:tr>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Common Rules &gt; Housekeeping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X-Forwarded-For</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Remove</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Common Rules &gt; Google Search Style
(YouTube for Schools Header)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X-YouTube-Edu-Filter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Add (if host matches *.youtube.com)</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ABCD1234567890abcdef (placeholder value in both configs — appears unconfigured/templated)</w:t>
            </w:r>
          </w:p>
        </w:tc>
      </w:tr>
      <w:tr>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URL Filter &gt; Azure AD Tenant Restrictions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Restrict-Access-To-Tenants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Remove existing, then Add</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Built from string list "Prod_TenantR: Domains" (externally sourced from proxyconsole.aetna.com; content not in backup)</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URL Filter &gt; Azure AD Tenant Restrictions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Restrict-Access-Context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Remove existing, then Add</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fabb61b8-3afe-4e75-b934-a47f782b8cd7 (identical GUID in both configs)</w:t>
            </w:r>
          </w:p>
        </w:tc>
      </w:tr>
      <w:tr>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Application Control &gt; Facebook Control (x2 locations)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Content-Length</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Remove</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 (removed after HTML body modification)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Gateway Anti-Malware &gt; Anti-Malware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Range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Remove</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Applied to HTTP/HTTPS requests only</w:t>
            </w:r>
          </w:p>
        </w:tc>
      </w:tr>
    </w:tbl>
    <w:p>
      <w:r>
        <w:t xml:space="preserve"/>
      </w:r>
    </w:p>
    <w:p>
      <w:pPr>
        <w:spacing w:after="100"/>
      </w:pPr>
      <w:r>
        <w:rPr>
          <w:rFonts w:ascii="Arial" w:cs="Arial" w:eastAsia="Arial" w:hAnsi="Arial"/>
          <w:i/>
          <w:iCs/>
          <w:color w:val="595959"/>
          <w:sz w:val="20"/>
          <w:szCs w:val="20"/>
        </w:rPr>
        <w:t xml:space="preserve">Restrict-Access-To-Tenants / Restrict-Access-Context are Microsoft Entra ID Tenant Restrictions v2 headers — the same mechanism referenced generically in the earlier Zscaler "CVSH-MS365_Tenant" rule review, here fully instrumented with the actual header names and a live tenant-scoping GUID. Both proxies point at the same Aetna-hosted list source, confirming centralized management of tenant-restriction scope across CVS and Aetna heritage estates.</w:t>
      </w:r>
    </w:p>
    <w:p>
      <w:pPr>
        <w:pStyle w:val="Heading2"/>
      </w:pPr>
      <w:r>
        <w:rPr>
          <w:rFonts w:ascii="Arial" w:cs="Arial" w:eastAsia="Arial" w:hAnsi="Arial"/>
          <w:b w:val="false"/>
          <w:bCs w:val="false"/>
          <w:color w:val="404040"/>
          <w:sz w:val="24"/>
          <w:szCs w:val="24"/>
        </w:rPr>
        <w:t xml:space="preserve">3.2 Header Rules Present Only in CVS</w:t>
      </w:r>
    </w:p>
    <w:tbl>
      <w:tblPr>
        <w:tblW w:type="dxa" w:w="15680"/>
        <w:tblBorders>
          <w:top w:val="single" w:color="auto" w:sz="4"/>
          <w:left w:val="single" w:color="auto" w:sz="4"/>
          <w:bottom w:val="single" w:color="auto" w:sz="4"/>
          <w:right w:val="single" w:color="auto" w:sz="4"/>
          <w:insideH w:val="single" w:color="auto" w:sz="4"/>
          <w:insideV w:val="single" w:color="auto" w:sz="4"/>
        </w:tblBorders>
      </w:tblPr>
      <w:tblGrid>
        <w:gridCol w:w="4600"/>
        <w:gridCol w:w="4200"/>
        <w:gridCol w:w="3200"/>
        <w:gridCol w:w="3680"/>
      </w:tblGrid>
      <w:tr>
        <w:trPr>
          <w:tblHeader/>
        </w:trPr>
        <w:tc>
          <w:tcPr>
            <w:tcW w:type="dxa" w:w="46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Rule / Location</w:t>
            </w:r>
          </w:p>
        </w:tc>
        <w:tc>
          <w:tcPr>
            <w:tcW w:type="dxa" w:w="4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Header</w:t>
            </w:r>
          </w:p>
        </w:tc>
        <w:tc>
          <w:tcPr>
            <w:tcW w:type="dxa" w:w="3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6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Slack Workspace Approval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X-Slack-Allowed-Workspaces-Requester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Add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E04LA9FEBQE (literal Slack workspace ID)</w:t>
            </w:r>
          </w:p>
        </w:tc>
      </w:tr>
      <w:tr>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Slack Workspace Approval</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X-Slack-Allowed-Workspaces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Add (list-driven, addheaders)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Built from a configured string list of allowed Slack workspace IDs</w:t>
            </w:r>
          </w:p>
        </w:tc>
      </w:tr>
    </w:tbl>
    <w:p>
      <w:r>
        <w:t xml:space="preserve"/>
      </w:r>
    </w:p>
    <w:p>
      <w:pPr>
        <w:spacing w:after="100"/>
      </w:pPr>
      <w:r>
        <w:rPr>
          <w:rFonts w:ascii="Arial" w:cs="Arial" w:eastAsia="Arial" w:hAnsi="Arial"/>
          <w:color w:val="595959"/>
          <w:sz w:val="20"/>
          <w:szCs w:val="20"/>
        </w:rPr>
        <w:t xml:space="preserve">Slack's tenant-restriction mechanism uses the same header-injection pattern as Microsoft/Anthropic — this rule group has no counterpart anywhere in the Aetna config, meaning Aetna does not currently restrict Slack workspace access at the proxy layer.</w:t>
      </w:r>
    </w:p>
    <w:p>
      <w:pPr>
        <w:pStyle w:val="Heading2"/>
      </w:pPr>
      <w:r>
        <w:rPr>
          <w:rFonts w:ascii="Arial" w:cs="Arial" w:eastAsia="Arial" w:hAnsi="Arial"/>
          <w:b w:val="false"/>
          <w:bCs w:val="false"/>
          <w:color w:val="404040"/>
          <w:sz w:val="24"/>
          <w:szCs w:val="24"/>
        </w:rPr>
        <w:t xml:space="preserve">3.3 Header Rules Present in Both, but Only Active on Aetna</w:t>
      </w:r>
    </w:p>
    <w:p>
      <w:pPr>
        <w:spacing w:after="100"/>
      </w:pPr>
      <w:r>
        <w:rPr>
          <w:rFonts w:ascii="Arial" w:cs="Arial" w:eastAsia="Arial" w:hAnsi="Arial"/>
          <w:color w:val="595959"/>
          <w:sz w:val="20"/>
          <w:szCs w:val="20"/>
        </w:rPr>
        <w:t xml:space="preserve">The "Agentless notifications" rule group is enabled=true on Aetna and enabled=false on CVS. It contains:</w:t>
      </w:r>
    </w:p>
    <w:tbl>
      <w:tblPr>
        <w:tblW w:type="dxa" w:w="1608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400"/>
        <w:gridCol w:w="3000"/>
        <w:gridCol w:w="1600"/>
        <w:gridCol w:w="2680"/>
      </w:tblGrid>
      <w:tr>
        <w:trPr>
          <w:tblHeader/>
        </w:trPr>
        <w:tc>
          <w:tcPr>
            <w:tcW w:type="dxa" w:w="34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30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Header</w:t>
            </w:r>
          </w:p>
        </w:tc>
        <w:tc>
          <w:tcPr>
            <w:tcW w:type="dxa" w:w="24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0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16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Aetna</w:t>
            </w:r>
          </w:p>
        </w:tc>
        <w:tc>
          <w:tcPr>
            <w:tcW w:type="dxa" w:w="26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CVS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Add block header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x-mwg-block-message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Add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"Your request was blocked because it contained sensitive information."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Active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Inactive (parent group disabled)</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Modify Content-Security-Policy header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Content-Security-Policy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Remove then Add (computed value from captured response CSP header)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Dynamically re-written from the original response CSP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Active</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Inactive (parent group disabled)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Remove CSP headers (x2 variants)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Content-Security-Policy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Remove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One variant active, one disabled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Both inactive (parent group disabled)</w:t>
            </w:r>
          </w:p>
        </w:tc>
      </w:tr>
    </w:tbl>
    <w:p>
      <w:r>
        <w:t xml:space="preserve"/>
      </w:r>
    </w:p>
    <w:p>
      <w:pPr>
        <w:spacing w:after="160"/>
      </w:pPr>
      <w:r>
        <w:rPr>
          <w:rFonts w:ascii="Arial" w:cs="Arial" w:eastAsia="Arial" w:hAnsi="Arial"/>
          <w:b/>
          <w:bCs/>
          <w:color w:val="C55A11"/>
          <w:sz w:val="20"/>
          <w:szCs w:val="20"/>
        </w:rPr>
        <w:t xml:space="preserve">Finding: </w:t>
      </w:r>
      <w:r>
        <w:rPr>
          <w:rFonts w:ascii="Arial" w:cs="Arial" w:eastAsia="Arial" w:hAnsi="Arial"/>
          <w:color w:val="595959"/>
          <w:sz w:val="20"/>
          <w:szCs w:val="20"/>
        </w:rPr>
        <w:t xml:space="preserve">CVS's DLP/agentless-notification block-page header and CSP-rewrite logic exist in config but are dormant (parent group disabled). If DLP block pages or CSP-relaxation behavior are expected on the CVS proxy, they will not fire under the current configuration. Confirm this is intentional.</w:t>
      </w:r>
    </w:p>
    <w:p>
      <w:r>
        <w:br w:type="page"/>
      </w:r>
    </w:p>
    <w:p>
      <w:pPr>
        <w:pStyle w:val="Heading1"/>
        <w:pBdr>
          <w:bottom w:val="single" w:color="17447C" w:sz="4" w:space="4"/>
        </w:pBdr>
      </w:pPr>
      <w:r>
        <w:rPr>
          <w:rFonts w:ascii="Arial" w:cs="Arial" w:eastAsia="Arial" w:hAnsi="Arial"/>
          <w:b w:val="false"/>
          <w:bCs w:val="false"/>
          <w:color w:val="404040"/>
          <w:sz w:val="30"/>
          <w:szCs w:val="30"/>
        </w:rPr>
        <w:t xml:space="preserve">4. Key Findings Summary</w:t>
      </w:r>
    </w:p>
    <w:tbl>
      <w:tblPr>
        <w:tblW w:type="dxa" w:w="15120"/>
        <w:tblBorders>
          <w:top w:val="single" w:color="auto" w:sz="4"/>
          <w:left w:val="single" w:color="auto" w:sz="4"/>
          <w:bottom w:val="single" w:color="auto" w:sz="4"/>
          <w:right w:val="single" w:color="auto" w:sz="4"/>
          <w:insideH w:val="single" w:color="auto" w:sz="4"/>
          <w:insideV w:val="single" w:color="auto" w:sz="4"/>
        </w:tblBorders>
      </w:tblPr>
      <w:tblGrid>
        <w:gridCol w:w="1800"/>
        <w:gridCol w:w="8600"/>
        <w:gridCol w:w="4720"/>
      </w:tblGrid>
      <w:tr>
        <w:trPr>
          <w:tblHeader/>
        </w:trPr>
        <w:tc>
          <w:tcPr>
            <w:tcW w:type="dxa" w:w="18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86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472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Scope</w:t>
            </w:r>
          </w:p>
        </w:tc>
      </w:tr>
      <w:tr>
        <w:tc>
          <w:tcPr>
            <w:tcW w:type="dxa" w:w="18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55A11"/>
                <w:sz w:val="18"/>
                <w:szCs w:val="18"/>
              </w:rPr>
              <w:t xml:space="preserve">P2</w:t>
            </w:r>
          </w:p>
        </w:tc>
        <w:tc>
          <w:tcPr>
            <w:tcW w:type="dxa" w:w="86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CVS certificate-verification enforcement is monitor-only; self-signed, expired, revoked, untrusted-CA, and weak-key-exchange certificates are not blocked despite the blocking rule set already existing in config (disabled).</w:t>
            </w:r>
          </w:p>
        </w:tc>
        <w:tc>
          <w:tcPr>
            <w:tcW w:type="dxa" w:w="472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r>
      <w:tr>
        <w:tc>
          <w:tcPr>
            <w:tcW w:type="dxa" w:w="18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55A11"/>
                <w:sz w:val="18"/>
                <w:szCs w:val="18"/>
              </w:rPr>
              <w:t xml:space="preserve">P2</w:t>
            </w:r>
          </w:p>
        </w:tc>
        <w:tc>
          <w:tcPr>
            <w:tcW w:type="dxa" w:w="86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CVS's Opt-In SSL decryption model means the live scope of decrypted HTTPS traffic depends entirely on externally-sourced, dynamically-updated allow-lists whose current contents are not captured in this backup — actual inspection coverage cannot be verified from static config.</w:t>
            </w:r>
          </w:p>
        </w:tc>
        <w:tc>
          <w:tcPr>
            <w:tcW w:type="dxa" w:w="472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r>
      <w:tr>
        <w:tc>
          <w:tcPr>
            <w:tcW w:type="dxa" w:w="180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bCs/>
                <w:color w:val="375623"/>
                <w:sz w:val="18"/>
                <w:szCs w:val="18"/>
              </w:rPr>
              <w:t xml:space="preserve">P3</w:t>
            </w:r>
          </w:p>
        </w:tc>
        <w:tc>
          <w:tcPr>
            <w:tcW w:type="dxa" w:w="860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val="false"/>
                <w:bCs w:val="false"/>
                <w:color w:val="404040"/>
                <w:sz w:val="18"/>
                <w:szCs w:val="18"/>
              </w:rPr>
              <w:t xml:space="preserve">"Agentless notifications" group (DLP block-header injection, CSP header rewrite) is disabled on CVS but active on Aetna — confirm whether this is intended.</w:t>
            </w:r>
          </w:p>
        </w:tc>
        <w:tc>
          <w:tcPr>
            <w:tcW w:type="dxa" w:w="472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r>
      <w:tr>
        <w:tc>
          <w:tcPr>
            <w:tcW w:type="dxa" w:w="180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bCs/>
                <w:color w:val="375623"/>
                <w:sz w:val="18"/>
                <w:szCs w:val="18"/>
              </w:rPr>
              <w:t xml:space="preserve">P3</w:t>
            </w:r>
          </w:p>
        </w:tc>
        <w:tc>
          <w:tcPr>
            <w:tcW w:type="dxa" w:w="860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val="false"/>
                <w:bCs w:val="false"/>
                <w:color w:val="404040"/>
                <w:sz w:val="18"/>
                <w:szCs w:val="18"/>
              </w:rPr>
              <w:t xml:space="preserve">Aetna's "Certificate Verification - Monitor Only" group name is a documentation/naming artifact — it performs active blocking, not monitoring. Recommend a naming cleanup pass.</w:t>
            </w:r>
          </w:p>
        </w:tc>
        <w:tc>
          <w:tcPr>
            <w:tcW w:type="dxa" w:w="472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val="false"/>
                <w:bCs w:val="false"/>
                <w:color w:val="404040"/>
                <w:sz w:val="18"/>
                <w:szCs w:val="18"/>
              </w:rPr>
              <w:t xml:space="preserve">Aetna</w:t>
            </w:r>
          </w:p>
        </w:tc>
      </w:tr>
      <w:tr>
        <w:tc>
          <w:tcPr>
            <w:tcW w:type="dxa" w:w="180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bCs/>
                <w:color w:val="375623"/>
                <w:sz w:val="18"/>
                <w:szCs w:val="18"/>
              </w:rPr>
              <w:t xml:space="preserve">P3</w:t>
            </w:r>
          </w:p>
        </w:tc>
        <w:tc>
          <w:tcPr>
            <w:tcW w:type="dxa" w:w="860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val="false"/>
                <w:bCs w:val="false"/>
                <w:color w:val="404040"/>
                <w:sz w:val="18"/>
                <w:szCs w:val="18"/>
              </w:rPr>
              <w:t xml:space="preserve">Aetna and CVS share identical Azure AD Tenant Restrictions v2 header configuration (same tenant-context GUID, same externally-sourced domain list URL on proxyconsole.aetna.com) — confirms centralized governance; worth validating the list content directly rather than assuming parity from config alone.</w:t>
            </w:r>
          </w:p>
        </w:tc>
        <w:tc>
          <w:tcPr>
            <w:tcW w:type="dxa" w:w="472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val="false"/>
                <w:bCs w:val="false"/>
                <w:color w:val="404040"/>
                <w:sz w:val="18"/>
                <w:szCs w:val="18"/>
              </w:rPr>
              <w:t xml:space="preserve">Both</w:t>
            </w:r>
          </w:p>
        </w:tc>
      </w:tr>
      <w:tr>
        <w:tc>
          <w:tcPr>
            <w:tcW w:type="dxa" w:w="180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bCs/>
                <w:color w:val="375623"/>
                <w:sz w:val="18"/>
                <w:szCs w:val="18"/>
              </w:rPr>
              <w:t xml:space="preserve">P3</w:t>
            </w:r>
          </w:p>
        </w:tc>
        <w:tc>
          <w:tcPr>
            <w:tcW w:type="dxa" w:w="860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val="false"/>
                <w:bCs w:val="false"/>
                <w:color w:val="404040"/>
                <w:sz w:val="18"/>
                <w:szCs w:val="18"/>
              </w:rPr>
              <w:t xml:space="preserve">CVS enforces Slack workspace tenant restriction at the proxy layer (X-Slack-Allowed-Workspaces headers); Aetna does not have an equivalent rule group.</w:t>
            </w:r>
          </w:p>
        </w:tc>
        <w:tc>
          <w:tcPr>
            <w:tcW w:type="dxa" w:w="472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val="false"/>
                <w:bCs w:val="false"/>
                <w:color w:val="404040"/>
                <w:sz w:val="18"/>
                <w:szCs w:val="18"/>
              </w:rPr>
              <w:t xml:space="preserve">CVS-only</w:t>
            </w:r>
          </w:p>
        </w:tc>
      </w:tr>
    </w:tbl>
    <w:p>
      <w:r>
        <w:t xml:space="preserve"/>
      </w:r>
    </w:p>
    <w:p>
      <w:pPr>
        <w:pStyle w:val="Heading2"/>
      </w:pPr>
      <w:r>
        <w:rPr>
          <w:rFonts w:ascii="Arial" w:cs="Arial" w:eastAsia="Arial" w:hAnsi="Arial"/>
          <w:b w:val="false"/>
          <w:bCs w:val="false"/>
          <w:color w:val="404040"/>
          <w:sz w:val="24"/>
          <w:szCs w:val="24"/>
        </w:rPr>
        <w:t xml:space="preserve">Recommendations</w:t>
      </w:r>
    </w:p>
    <w:p>
      <w:pPr>
        <w:pStyle w:val="ListParagraph"/>
        <w:numPr>
          <w:ilvl w:val="0"/>
          <w:numId w:val="2"/>
        </w:numPr>
        <w:spacing w:after="60"/>
      </w:pPr>
      <w:r>
        <w:rPr>
          <w:rFonts w:ascii="Arial" w:cs="Arial" w:eastAsia="Arial" w:hAnsi="Arial"/>
          <w:color w:val="595959"/>
          <w:sz w:val="20"/>
          <w:szCs w:val="20"/>
        </w:rPr>
        <w:t xml:space="preserve">Enable (or explicitly risk-accept and document) active certificate-verification blocking on the CVS proxy, matching Aetna's enforced posture, particularly given the PCI DSS v4.0.1 / NIST SP 800-53 compliance mapping already in progress for the broader security stack.</w:t>
      </w:r>
    </w:p>
    <w:p>
      <w:pPr>
        <w:pStyle w:val="ListParagraph"/>
        <w:numPr>
          <w:ilvl w:val="0"/>
          <w:numId w:val="2"/>
        </w:numPr>
        <w:spacing w:after="60"/>
      </w:pPr>
      <w:r>
        <w:rPr>
          <w:rFonts w:ascii="Arial" w:cs="Arial" w:eastAsia="Arial" w:hAnsi="Arial"/>
          <w:color w:val="595959"/>
          <w:sz w:val="20"/>
          <w:szCs w:val="20"/>
        </w:rPr>
        <w:t xml:space="preserve">Pull live contents of the CVS opt-in/opt-out list objects (Category, Domain, Domain REGEX, Trial Run, Slack) from proxyconsole.aetna.com to determine actual current HTTPS-inspection coverage, since the backup captures only list definitions, not content.</w:t>
      </w:r>
    </w:p>
    <w:p>
      <w:pPr>
        <w:pStyle w:val="ListParagraph"/>
        <w:numPr>
          <w:ilvl w:val="0"/>
          <w:numId w:val="2"/>
        </w:numPr>
        <w:spacing w:after="60"/>
      </w:pPr>
      <w:r>
        <w:rPr>
          <w:rFonts w:ascii="Arial" w:cs="Arial" w:eastAsia="Arial" w:hAnsi="Arial"/>
          <w:color w:val="595959"/>
          <w:sz w:val="20"/>
          <w:szCs w:val="20"/>
        </w:rPr>
        <w:t xml:space="preserve">Confirm whether the disabled "Agentless notifications" group on CVS (DLP block header, CSP rewrite) should be enabled to match Aetna, or is intentionally scoped out for the CVS retail proxy.</w:t>
      </w:r>
    </w:p>
    <w:p>
      <w:pPr>
        <w:pStyle w:val="ListParagraph"/>
        <w:numPr>
          <w:ilvl w:val="0"/>
          <w:numId w:val="2"/>
        </w:numPr>
        <w:spacing w:after="60"/>
      </w:pPr>
      <w:r>
        <w:rPr>
          <w:rFonts w:ascii="Arial" w:cs="Arial" w:eastAsia="Arial" w:hAnsi="Arial"/>
          <w:color w:val="595959"/>
          <w:sz w:val="20"/>
          <w:szCs w:val="20"/>
        </w:rPr>
        <w:t xml:space="preserve">Rename Aetna's "Certificate Verification - Monitor Only" rule group to reflect its actual (blocking) behavior, to prevent misreading during future audits or handoffs.</w:t>
      </w:r>
    </w:p>
    <w:p>
      <w:pPr>
        <w:pStyle w:val="ListParagraph"/>
        <w:numPr>
          <w:ilvl w:val="0"/>
          <w:numId w:val="2"/>
        </w:numPr>
        <w:spacing w:after="60"/>
      </w:pPr>
      <w:r>
        <w:rPr>
          <w:rFonts w:ascii="Arial" w:cs="Arial" w:eastAsia="Arial" w:hAnsi="Arial"/>
          <w:color w:val="595959"/>
          <w:sz w:val="20"/>
          <w:szCs w:val="20"/>
        </w:rPr>
        <w:t xml:space="preserve">Validate the Azure AD Tenant Restrictions header value (tenant GUID fabb61b8-3afe-4e75-b934-a47f782b8cd7 and the dynamic allowed-tenants list) against current Entra ID tenant configuration to confirm it still matches the intended CVS Health tenant scope.</w:t>
      </w:r>
    </w:p>
    <w:p>
      <w:r>
        <w:t xml:space="preserve"/>
      </w:r>
    </w:p>
    <w:p>
      <w:pPr>
        <w:spacing w:after="100"/>
      </w:pPr>
      <w:r>
        <w:rPr>
          <w:rFonts w:ascii="Arial" w:cs="Arial" w:eastAsia="Arial" w:hAnsi="Arial"/>
          <w:i/>
          <w:iCs/>
          <w:color w:val="AAAAAA"/>
          <w:sz w:val="20"/>
          <w:szCs w:val="20"/>
        </w:rPr>
        <w:t xml:space="preserve">Prepared by: CCD Platform / InfoSec Architecture  |  Data sources: Aetna-SH-Proxy-2026-07-21_backup.zip, CVS-roxy-SH-2026-07-16_backup.zip  |  July 2026</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val="false"/>
      <w:bCs w:val="false"/>
      <w:color w:val="404040"/>
      <w:sz w:val="30"/>
      <w:szCs w:val="30"/>
    </w:rPr>
  </w:style>
  <w:style w:type="paragraph" w:styleId="Heading2">
    <w:name w:val="Heading 2"/>
    <w:basedOn w:val="Normal"/>
    <w:next w:val="Normal"/>
    <w:qFormat/>
    <w:pPr>
      <w:spacing w:after="100" w:before="240"/>
      <w:outlineLvl w:val="1"/>
    </w:pPr>
    <w:rPr>
      <w:rFonts w:ascii="Arial" w:cs="Arial" w:eastAsia="Arial" w:hAnsi="Arial"/>
      <w:b w:val="false"/>
      <w:bCs w:val="false"/>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2026-07-28T19:53:57.449Z</dcterms:created>
  <dcterms:modified xsi:type="dcterms:W3CDTF">2026-07-28T19:53:57.465Z</dcterms:modified>
</cp:coreProperties>
</file>

<file path=docProps/custom.xml><?xml version="1.0" encoding="utf-8"?>
<Properties xmlns="http://schemas.openxmlformats.org/officeDocument/2006/custom-properties" xmlns:vt="http://schemas.openxmlformats.org/officeDocument/2006/docPropsVTypes"/>
</file>