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44"/>
          <w:szCs w:val="44"/>
        </w:rPr>
        <w:t xml:space="preserve">Microsegmentation Architecture Survey</w:t>
      </w:r>
    </w:p>
    <w:p>
      <w:pPr>
        <w:spacing w:after="100" w:before="200"/>
        <w:jc w:val="center"/>
      </w:pPr>
      <w:r>
        <w:rPr>
          <w:color w:val="44546A"/>
          <w:sz w:val="26"/>
          <w:szCs w:val="26"/>
        </w:rPr>
        <w:t xml:space="preserve">Enforcement Models, Container-Native Gaps, and Encrypted-Traffic Inspection Constraints</w:t>
      </w:r>
    </w:p>
    <w:p>
      <w:pPr>
        <w:spacing w:before="600"/>
        <w:jc w:val="center"/>
      </w:pPr>
      <w:r>
        <w:rPr>
          <w:i/>
          <w:iCs/>
          <w:sz w:val="22"/>
          <w:szCs w:val="22"/>
        </w:rPr>
        <w:t xml:space="preserve">CVS Health — Network Security Engineering</w:t>
      </w:r>
    </w:p>
    <w:p>
      <w:pPr>
        <w:spacing w:before="100"/>
        <w:jc w:val="center"/>
      </w:pPr>
      <w:r>
        <w:rPr>
          <w:sz w:val="20"/>
          <w:szCs w:val="20"/>
        </w:rPr>
        <w:t xml:space="preserve">Prepared for: NAC/ZTNA Modernization &amp; 3PLZ-adjacent Segmentation Evaluation</w:t>
      </w:r>
    </w:p>
    <w:p>
      <w:pPr>
        <w:spacing w:before="400"/>
        <w:jc w:val="center"/>
      </w:pPr>
      <w:r>
        <w:rPr>
          <w:color w:val="808080"/>
          <w:sz w:val="20"/>
          <w:szCs w:val="20"/>
        </w:rPr>
        <w:t xml:space="preserve">Version 1.0 — Draft for Technical Review</w:t>
      </w:r>
    </w:p>
    <w:p>
      <w:r>
        <w:br w:type="page"/>
      </w:r>
    </w:p>
    <w:p>
      <w:pPr>
        <w:pStyle w:val="Heading1"/>
        <w:spacing w:after="160" w:before="360"/>
      </w:pPr>
      <w:r>
        <w:t xml:space="preserve">1. Purpose and Scope</w:t>
      </w:r>
    </w:p>
    <w:p>
      <w:pPr>
        <w:spacing w:after="160"/>
      </w:pPr>
      <w:r>
        <w:t xml:space="preserve">This survey provides a technically detailed comparison of the primary architectural models used for host- and workload-level microsegmentation, evaluated against CVS Health's estate characteristics: a large, predominantly on-premises, non-containerized, low-App-ID-adoption environment (per cvs-netsec-context estate facts) undergoing parallel NAC modernization (Forescout) and a nascent push toward container adoption (Kubernetes/Istio/Envoy).</w:t>
      </w:r>
    </w:p>
    <w:p>
      <w:pPr>
        <w:spacing w:after="160"/>
      </w:pPr>
      <w:r>
        <w:t xml:space="preserve">The survey is organized around four representative architectural models rather than a vendor feature checklist, because the model — not the brand — determines which operational and compliance constraints an implementation will hit:</w:t>
      </w:r>
    </w:p>
    <w:p>
      <w:pPr>
        <w:pStyle w:val="ListParagraph"/>
        <w:numPr>
          <w:ilvl w:val="0"/>
          <w:numId w:val="2"/>
        </w:numPr>
        <w:spacing w:after="80"/>
      </w:pPr>
      <w:r>
        <w:rPr>
          <w:b/>
          <w:bCs/>
        </w:rPr>
        <w:t xml:space="preserve">Cryptographic identity / "circle of trust" model</w:t>
      </w:r>
      <w:r>
        <w:t xml:space="preserve"> — Unisys Stealth</w:t>
      </w:r>
    </w:p>
    <w:p>
      <w:pPr>
        <w:pStyle w:val="ListParagraph"/>
        <w:numPr>
          <w:ilvl w:val="0"/>
          <w:numId w:val="2"/>
        </w:numPr>
        <w:spacing w:after="80"/>
      </w:pPr>
      <w:r>
        <w:rPr>
          <w:b/>
          <w:bCs/>
        </w:rPr>
        <w:t xml:space="preserve">Proprietary agent + integrated deception model</w:t>
      </w:r>
      <w:r>
        <w:t xml:space="preserve"> — Akamai Guardicore Segmentation</w:t>
      </w:r>
    </w:p>
    <w:p>
      <w:pPr>
        <w:pStyle w:val="ListParagraph"/>
        <w:numPr>
          <w:ilvl w:val="0"/>
          <w:numId w:val="2"/>
        </w:numPr>
        <w:spacing w:after="80"/>
      </w:pPr>
      <w:r>
        <w:rPr>
          <w:b/>
          <w:bCs/>
        </w:rPr>
        <w:t xml:space="preserve">OS-native agent / centralized policy compute model</w:t>
      </w:r>
      <w:r>
        <w:t xml:space="preserve"> — Illumio</w:t>
      </w:r>
    </w:p>
    <w:p>
      <w:pPr>
        <w:pStyle w:val="ListParagraph"/>
        <w:numPr>
          <w:ilvl w:val="0"/>
          <w:numId w:val="2"/>
        </w:numPr>
        <w:spacing w:after="80"/>
      </w:pPr>
      <w:r>
        <w:rPr>
          <w:b/>
          <w:bCs/>
        </w:rPr>
        <w:t xml:space="preserve">Cloud broker / proxy model</w:t>
      </w:r>
      <w:r>
        <w:t xml:space="preserve"> — Zscaler Zero Trust Exchange</w:t>
      </w:r>
    </w:p>
    <w:p>
      <w:pPr>
        <w:spacing w:after="160"/>
      </w:pPr>
      <w:r>
        <w:t xml:space="preserve">Section 6 and Section 7 then address two cross-cutting constraints that apply regardless of which vendor model is selected: the architectural gap microsegmentation hits inside container/service-mesh environments, and the compliance-driven expectation of encrypted-traffic inspection for application traffic. These two constraints are the primary open decision points for any forward architecture and are treated in depth accordingly.</w:t>
      </w:r>
    </w:p>
    <w:p>
      <w:pPr>
        <w:spacing w:after="160"/>
      </w:pPr>
      <w:r>
        <w:rPr>
          <w:i/>
          <w:iCs/>
        </w:rPr>
        <w:t xml:space="preserve">This document is written for a practitioner audience (network security engineering, architecture review). It assumes familiarity with PAN-OS/Panorama policy constructs, the estate's App-ID adoption gap, and the NAC/ZTNA-FPMS and 3PLZ program contexts.</w:t>
      </w:r>
    </w:p>
    <w:p>
      <w:pPr>
        <w:pStyle w:val="Heading1"/>
        <w:spacing w:after="160" w:before="360"/>
      </w:pPr>
      <w:r>
        <w:t xml:space="preserve">2. Comparative Framework</w:t>
      </w:r>
    </w:p>
    <w:p>
      <w:pPr>
        <w:spacing w:after="160"/>
      </w:pPr>
      <w:r>
        <w:t xml:space="preserve">Four questions determine how a given microsegmentation model will behave in a real enterprise estate, independent of vendor marketing claims:</w:t>
      </w:r>
    </w:p>
    <w:p>
      <w:pPr>
        <w:pStyle w:val="ListParagraph"/>
        <w:numPr>
          <w:ilvl w:val="0"/>
          <w:numId w:val="3"/>
        </w:numPr>
        <w:spacing w:after="80"/>
      </w:pPr>
      <w:r>
        <w:t xml:space="preserve">Where is the enforcement point? (host OS firewall, proprietary local firewall, network switch, cloud proxy)</w:t>
      </w:r>
    </w:p>
    <w:p>
      <w:pPr>
        <w:pStyle w:val="ListParagraph"/>
        <w:numPr>
          <w:ilvl w:val="0"/>
          <w:numId w:val="3"/>
        </w:numPr>
        <w:spacing w:after="80"/>
      </w:pPr>
      <w:r>
        <w:t xml:space="preserve">Does traffic change path, or only policy? (broker models reroute traffic; agent models enforce locally and leave the path unchanged)</w:t>
      </w:r>
    </w:p>
    <w:p>
      <w:pPr>
        <w:pStyle w:val="ListParagraph"/>
        <w:numPr>
          <w:ilvl w:val="0"/>
          <w:numId w:val="3"/>
        </w:numPr>
        <w:spacing w:after="80"/>
      </w:pPr>
      <w:r>
        <w:t xml:space="preserve">What is the identity primitive? (cryptographic community membership, process/application fingerprint, IP/label-based tag, user/device identity)</w:t>
      </w:r>
    </w:p>
    <w:p>
      <w:pPr>
        <w:pStyle w:val="ListParagraph"/>
        <w:numPr>
          <w:ilvl w:val="0"/>
          <w:numId w:val="3"/>
        </w:numPr>
        <w:spacing w:after="80"/>
      </w:pPr>
      <w:r>
        <w:t xml:space="preserve">What does the model require of the counterparty? (both sides must run the same agent, only one side needs an agent, neither side needs anything because enforcement is external)</w:t>
      </w:r>
    </w:p>
    <w:p>
      <w:pPr>
        <w:spacing w:after="160"/>
      </w:pPr>
      <w:r>
        <w:t xml:space="preserve">The comparison matrix below applies these four questions across all four models.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1950"/>
        <w:gridCol w:w="1950"/>
        <w:gridCol w:w="1950"/>
        <w:gridCol w:w="1950"/>
      </w:tblGrid>
      <w:tr>
        <w:trPr>
          <w:cantSplit/>
          <w:tblHeader/>
        </w:trPr>
        <w:tc>
          <w:tcPr>
            <w:tcW w:type="dxa" w:w="2000"/>
            <w:shd w:fill="1F3864" w:val="clear"/>
            <w:tcMar>
              <w:top w:type="dxa" w:w="80"/>
              <w:left w:type="dxa" w:w="100"/>
              <w:bottom w:type="dxa" w:w="80"/>
              <w:right w:type="dxa" w:w="100"/>
            </w:tcMar>
            <w:vAlign w:val="center"/>
          </w:tcPr>
          <w:p>
            <w:pPr>
              <w:spacing w:after="0"/>
              <w:jc w:val="left"/>
            </w:pPr>
            <w:r>
              <w:rPr>
                <w:b/>
                <w:bCs/>
                <w:i w:val="false"/>
                <w:iCs w:val="false"/>
                <w:sz w:val="19"/>
                <w:szCs w:val="19"/>
              </w:rPr>
              <w:t xml:space="preserve">Question</w:t>
            </w:r>
          </w:p>
        </w:tc>
        <w:tc>
          <w:tcPr>
            <w:tcW w:type="dxa" w:w="1950"/>
            <w:shd w:fill="1F3864" w:val="clear"/>
            <w:tcMar>
              <w:top w:type="dxa" w:w="80"/>
              <w:left w:type="dxa" w:w="100"/>
              <w:bottom w:type="dxa" w:w="80"/>
              <w:right w:type="dxa" w:w="100"/>
            </w:tcMar>
            <w:vAlign w:val="center"/>
          </w:tcPr>
          <w:p>
            <w:pPr>
              <w:spacing w:after="0"/>
              <w:jc w:val="left"/>
            </w:pPr>
            <w:r>
              <w:rPr>
                <w:b/>
                <w:bCs/>
                <w:i w:val="false"/>
                <w:iCs w:val="false"/>
                <w:sz w:val="19"/>
                <w:szCs w:val="19"/>
              </w:rPr>
              <w:t xml:space="preserve">Unisys Stealth</w:t>
            </w:r>
          </w:p>
        </w:tc>
        <w:tc>
          <w:tcPr>
            <w:tcW w:type="dxa" w:w="1950"/>
            <w:shd w:fill="1F3864" w:val="clear"/>
            <w:tcMar>
              <w:top w:type="dxa" w:w="80"/>
              <w:left w:type="dxa" w:w="100"/>
              <w:bottom w:type="dxa" w:w="80"/>
              <w:right w:type="dxa" w:w="100"/>
            </w:tcMar>
            <w:vAlign w:val="center"/>
          </w:tcPr>
          <w:p>
            <w:pPr>
              <w:spacing w:after="0"/>
              <w:jc w:val="left"/>
            </w:pPr>
            <w:r>
              <w:rPr>
                <w:b/>
                <w:bCs/>
                <w:i w:val="false"/>
                <w:iCs w:val="false"/>
                <w:sz w:val="19"/>
                <w:szCs w:val="19"/>
              </w:rPr>
              <w:t xml:space="preserve">Akamai Guardicore</w:t>
            </w:r>
          </w:p>
        </w:tc>
        <w:tc>
          <w:tcPr>
            <w:tcW w:type="dxa" w:w="1950"/>
            <w:shd w:fill="1F3864" w:val="clear"/>
            <w:tcMar>
              <w:top w:type="dxa" w:w="80"/>
              <w:left w:type="dxa" w:w="100"/>
              <w:bottom w:type="dxa" w:w="80"/>
              <w:right w:type="dxa" w:w="100"/>
            </w:tcMar>
            <w:vAlign w:val="center"/>
          </w:tcPr>
          <w:p>
            <w:pPr>
              <w:spacing w:after="0"/>
              <w:jc w:val="left"/>
            </w:pPr>
            <w:r>
              <w:rPr>
                <w:b/>
                <w:bCs/>
                <w:i w:val="false"/>
                <w:iCs w:val="false"/>
                <w:sz w:val="19"/>
                <w:szCs w:val="19"/>
              </w:rPr>
              <w:t xml:space="preserve">Illumio</w:t>
            </w:r>
          </w:p>
        </w:tc>
        <w:tc>
          <w:tcPr>
            <w:tcW w:type="dxa" w:w="1950"/>
            <w:shd w:fill="1F3864" w:val="clear"/>
            <w:tcMar>
              <w:top w:type="dxa" w:w="80"/>
              <w:left w:type="dxa" w:w="100"/>
              <w:bottom w:type="dxa" w:w="80"/>
              <w:right w:type="dxa" w:w="100"/>
            </w:tcMar>
            <w:vAlign w:val="center"/>
          </w:tcPr>
          <w:p>
            <w:pPr>
              <w:spacing w:after="0"/>
              <w:jc w:val="left"/>
            </w:pPr>
            <w:r>
              <w:rPr>
                <w:b/>
                <w:bCs/>
                <w:i w:val="false"/>
                <w:iCs w:val="false"/>
                <w:sz w:val="19"/>
                <w:szCs w:val="19"/>
              </w:rPr>
              <w:t xml:space="preserve">Zscaler ZTE</w:t>
            </w:r>
          </w:p>
        </w:tc>
      </w:tr>
      <w:tr>
        <w:trPr>
          <w:cantSplit/>
        </w:trPr>
        <w:tc>
          <w:tcPr>
            <w:tcW w:type="dxa" w:w="2000"/>
            <w:tcMar>
              <w:top w:type="dxa" w:w="80"/>
              <w:left w:type="dxa" w:w="100"/>
              <w:bottom w:type="dxa" w:w="80"/>
              <w:right w:type="dxa" w:w="100"/>
            </w:tcMar>
            <w:vAlign w:val="center"/>
          </w:tcPr>
          <w:p>
            <w:pPr>
              <w:spacing w:after="0"/>
              <w:jc w:val="left"/>
            </w:pPr>
            <w:r>
              <w:rPr>
                <w:b w:val="false"/>
                <w:bCs w:val="false"/>
                <w:i w:val="false"/>
                <w:iCs w:val="false"/>
                <w:sz w:val="19"/>
                <w:szCs w:val="19"/>
              </w:rPr>
              <w:t xml:space="preserve">Enforcement point</w:t>
            </w:r>
          </w:p>
        </w:tc>
        <w:tc>
          <w:tcPr>
            <w:tcW w:type="dxa" w:w="1950"/>
            <w:tcMar>
              <w:top w:type="dxa" w:w="80"/>
              <w:left w:type="dxa" w:w="100"/>
              <w:bottom w:type="dxa" w:w="80"/>
              <w:right w:type="dxa" w:w="100"/>
            </w:tcMar>
            <w:vAlign w:val="center"/>
          </w:tcPr>
          <w:p>
            <w:pPr>
              <w:spacing w:after="0"/>
              <w:jc w:val="left"/>
            </w:pPr>
            <w:r>
              <w:rPr>
                <w:b w:val="false"/>
                <w:bCs w:val="false"/>
                <w:i w:val="false"/>
                <w:iCs w:val="false"/>
                <w:sz w:val="19"/>
                <w:szCs w:val="19"/>
              </w:rPr>
              <w:t xml:space="preserve">Cryptographic tunnel endpoint (both sides)</w:t>
            </w:r>
          </w:p>
        </w:tc>
        <w:tc>
          <w:tcPr>
            <w:tcW w:type="dxa" w:w="1950"/>
            <w:tcMar>
              <w:top w:type="dxa" w:w="80"/>
              <w:left w:type="dxa" w:w="100"/>
              <w:bottom w:type="dxa" w:w="80"/>
              <w:right w:type="dxa" w:w="100"/>
            </w:tcMar>
            <w:vAlign w:val="center"/>
          </w:tcPr>
          <w:p>
            <w:pPr>
              <w:spacing w:after="0"/>
              <w:jc w:val="left"/>
            </w:pPr>
            <w:r>
              <w:rPr>
                <w:b w:val="false"/>
                <w:bCs w:val="false"/>
                <w:i w:val="false"/>
                <w:iCs w:val="false"/>
                <w:sz w:val="19"/>
                <w:szCs w:val="19"/>
              </w:rPr>
              <w:t xml:space="preserve">Proprietary local firewall (agent)</w:t>
            </w:r>
          </w:p>
        </w:tc>
        <w:tc>
          <w:tcPr>
            <w:tcW w:type="dxa" w:w="1950"/>
            <w:tcMar>
              <w:top w:type="dxa" w:w="80"/>
              <w:left w:type="dxa" w:w="100"/>
              <w:bottom w:type="dxa" w:w="80"/>
              <w:right w:type="dxa" w:w="100"/>
            </w:tcMar>
            <w:vAlign w:val="center"/>
          </w:tcPr>
          <w:p>
            <w:pPr>
              <w:spacing w:after="0"/>
              <w:jc w:val="left"/>
            </w:pPr>
            <w:r>
              <w:rPr>
                <w:b w:val="false"/>
                <w:bCs w:val="false"/>
                <w:i w:val="false"/>
                <w:iCs w:val="false"/>
                <w:sz w:val="19"/>
                <w:szCs w:val="19"/>
              </w:rPr>
              <w:t xml:space="preserve">Native OS firewall (iptables/nftables/WFP), agent-configured</w:t>
            </w:r>
          </w:p>
        </w:tc>
        <w:tc>
          <w:tcPr>
            <w:tcW w:type="dxa" w:w="1950"/>
            <w:tcMar>
              <w:top w:type="dxa" w:w="80"/>
              <w:left w:type="dxa" w:w="100"/>
              <w:bottom w:type="dxa" w:w="80"/>
              <w:right w:type="dxa" w:w="100"/>
            </w:tcMar>
            <w:vAlign w:val="center"/>
          </w:tcPr>
          <w:p>
            <w:pPr>
              <w:spacing w:after="0"/>
              <w:jc w:val="left"/>
            </w:pPr>
            <w:r>
              <w:rPr>
                <w:b w:val="false"/>
                <w:bCs w:val="false"/>
                <w:i w:val="false"/>
                <w:iCs w:val="false"/>
                <w:sz w:val="19"/>
                <w:szCs w:val="19"/>
              </w:rPr>
              <w:t xml:space="preserve">Cloud proxy (ZPA) or local agent (Zscaler Microsegmentation)</w:t>
            </w:r>
          </w:p>
        </w:tc>
      </w:tr>
      <w:tr>
        <w:trPr>
          <w:cantSplit/>
        </w:trPr>
        <w:tc>
          <w:tcPr>
            <w:tcW w:type="dxa" w:w="2000"/>
            <w:shd w:fill="F2F2F2" w:val="clear"/>
            <w:tcMar>
              <w:top w:type="dxa" w:w="80"/>
              <w:left w:type="dxa" w:w="100"/>
              <w:bottom w:type="dxa" w:w="80"/>
              <w:right w:type="dxa" w:w="100"/>
            </w:tcMar>
            <w:vAlign w:val="center"/>
          </w:tcPr>
          <w:p>
            <w:pPr>
              <w:spacing w:after="0"/>
              <w:jc w:val="left"/>
            </w:pPr>
            <w:r>
              <w:rPr>
                <w:b w:val="false"/>
                <w:bCs w:val="false"/>
                <w:i w:val="false"/>
                <w:iCs w:val="false"/>
                <w:sz w:val="19"/>
                <w:szCs w:val="19"/>
              </w:rPr>
              <w:t xml:space="preserve">Traffic path change?</w:t>
            </w:r>
          </w:p>
        </w:tc>
        <w:tc>
          <w:tcPr>
            <w:tcW w:type="dxa" w:w="1950"/>
            <w:shd w:fill="F2F2F2" w:val="clear"/>
            <w:tcMar>
              <w:top w:type="dxa" w:w="80"/>
              <w:left w:type="dxa" w:w="100"/>
              <w:bottom w:type="dxa" w:w="80"/>
              <w:right w:type="dxa" w:w="100"/>
            </w:tcMar>
            <w:vAlign w:val="center"/>
          </w:tcPr>
          <w:p>
            <w:pPr>
              <w:spacing w:after="0"/>
              <w:jc w:val="left"/>
            </w:pPr>
            <w:r>
              <w:rPr>
                <w:b w:val="false"/>
                <w:bCs w:val="false"/>
                <w:i w:val="false"/>
                <w:iCs w:val="false"/>
                <w:sz w:val="19"/>
                <w:szCs w:val="19"/>
              </w:rPr>
              <w:t xml:space="preserve">Yes — encrypted tunnel required between community members</w:t>
            </w:r>
          </w:p>
        </w:tc>
        <w:tc>
          <w:tcPr>
            <w:tcW w:type="dxa" w:w="1950"/>
            <w:shd w:fill="F2F2F2" w:val="clear"/>
            <w:tcMar>
              <w:top w:type="dxa" w:w="80"/>
              <w:left w:type="dxa" w:w="100"/>
              <w:bottom w:type="dxa" w:w="80"/>
              <w:right w:type="dxa" w:w="100"/>
            </w:tcMar>
            <w:vAlign w:val="center"/>
          </w:tcPr>
          <w:p>
            <w:pPr>
              <w:spacing w:after="0"/>
              <w:jc w:val="left"/>
            </w:pPr>
            <w:r>
              <w:rPr>
                <w:b w:val="false"/>
                <w:bCs w:val="false"/>
                <w:i w:val="false"/>
                <w:iCs w:val="false"/>
                <w:sz w:val="19"/>
                <w:szCs w:val="19"/>
              </w:rPr>
              <w:t xml:space="preserve">No — local enforcement only</w:t>
            </w:r>
          </w:p>
        </w:tc>
        <w:tc>
          <w:tcPr>
            <w:tcW w:type="dxa" w:w="1950"/>
            <w:shd w:fill="F2F2F2" w:val="clear"/>
            <w:tcMar>
              <w:top w:type="dxa" w:w="80"/>
              <w:left w:type="dxa" w:w="100"/>
              <w:bottom w:type="dxa" w:w="80"/>
              <w:right w:type="dxa" w:w="100"/>
            </w:tcMar>
            <w:vAlign w:val="center"/>
          </w:tcPr>
          <w:p>
            <w:pPr>
              <w:spacing w:after="0"/>
              <w:jc w:val="left"/>
            </w:pPr>
            <w:r>
              <w:rPr>
                <w:b w:val="false"/>
                <w:bCs w:val="false"/>
                <w:i w:val="false"/>
                <w:iCs w:val="false"/>
                <w:sz w:val="19"/>
                <w:szCs w:val="19"/>
              </w:rPr>
              <w:t xml:space="preserve">No — local enforcement only</w:t>
            </w:r>
          </w:p>
        </w:tc>
        <w:tc>
          <w:tcPr>
            <w:tcW w:type="dxa" w:w="1950"/>
            <w:shd w:fill="F2F2F2" w:val="clear"/>
            <w:tcMar>
              <w:top w:type="dxa" w:w="80"/>
              <w:left w:type="dxa" w:w="100"/>
              <w:bottom w:type="dxa" w:w="80"/>
              <w:right w:type="dxa" w:w="100"/>
            </w:tcMar>
            <w:vAlign w:val="center"/>
          </w:tcPr>
          <w:p>
            <w:pPr>
              <w:spacing w:after="0"/>
              <w:jc w:val="left"/>
            </w:pPr>
            <w:r>
              <w:rPr>
                <w:b w:val="false"/>
                <w:bCs w:val="false"/>
                <w:i w:val="false"/>
                <w:iCs w:val="false"/>
                <w:sz w:val="19"/>
                <w:szCs w:val="19"/>
              </w:rPr>
              <w:t xml:space="preserve">Yes for ZPA (routed through cloud); No for Zscaler Microsegmentation agent mode</w:t>
            </w:r>
          </w:p>
        </w:tc>
      </w:tr>
      <w:tr>
        <w:trPr>
          <w:cantSplit/>
        </w:trPr>
        <w:tc>
          <w:tcPr>
            <w:tcW w:type="dxa" w:w="2000"/>
            <w:tcMar>
              <w:top w:type="dxa" w:w="80"/>
              <w:left w:type="dxa" w:w="100"/>
              <w:bottom w:type="dxa" w:w="80"/>
              <w:right w:type="dxa" w:w="100"/>
            </w:tcMar>
            <w:vAlign w:val="center"/>
          </w:tcPr>
          <w:p>
            <w:pPr>
              <w:spacing w:after="0"/>
              <w:jc w:val="left"/>
            </w:pPr>
            <w:r>
              <w:rPr>
                <w:b w:val="false"/>
                <w:bCs w:val="false"/>
                <w:i w:val="false"/>
                <w:iCs w:val="false"/>
                <w:sz w:val="19"/>
                <w:szCs w:val="19"/>
              </w:rPr>
              <w:t xml:space="preserve">Identity primitive</w:t>
            </w:r>
          </w:p>
        </w:tc>
        <w:tc>
          <w:tcPr>
            <w:tcW w:type="dxa" w:w="1950"/>
            <w:tcMar>
              <w:top w:type="dxa" w:w="80"/>
              <w:left w:type="dxa" w:w="100"/>
              <w:bottom w:type="dxa" w:w="80"/>
              <w:right w:type="dxa" w:w="100"/>
            </w:tcMar>
            <w:vAlign w:val="center"/>
          </w:tcPr>
          <w:p>
            <w:pPr>
              <w:spacing w:after="0"/>
              <w:jc w:val="left"/>
            </w:pPr>
            <w:r>
              <w:rPr>
                <w:b w:val="false"/>
                <w:bCs w:val="false"/>
                <w:i w:val="false"/>
                <w:iCs w:val="false"/>
                <w:sz w:val="19"/>
                <w:szCs w:val="19"/>
              </w:rPr>
              <w:t xml:space="preserve">Cryptographic "community of interest" membership</w:t>
            </w:r>
          </w:p>
        </w:tc>
        <w:tc>
          <w:tcPr>
            <w:tcW w:type="dxa" w:w="1950"/>
            <w:tcMar>
              <w:top w:type="dxa" w:w="80"/>
              <w:left w:type="dxa" w:w="100"/>
              <w:bottom w:type="dxa" w:w="80"/>
              <w:right w:type="dxa" w:w="100"/>
            </w:tcMar>
            <w:vAlign w:val="center"/>
          </w:tcPr>
          <w:p>
            <w:pPr>
              <w:spacing w:after="0"/>
              <w:jc w:val="left"/>
            </w:pPr>
            <w:r>
              <w:rPr>
                <w:b w:val="false"/>
                <w:bCs w:val="false"/>
                <w:i w:val="false"/>
                <w:iCs w:val="false"/>
                <w:sz w:val="19"/>
                <w:szCs w:val="19"/>
              </w:rPr>
              <w:t xml:space="preserve">Process-level attribution + proprietary agent tagging</w:t>
            </w:r>
          </w:p>
        </w:tc>
        <w:tc>
          <w:tcPr>
            <w:tcW w:type="dxa" w:w="1950"/>
            <w:tcMar>
              <w:top w:type="dxa" w:w="80"/>
              <w:left w:type="dxa" w:w="100"/>
              <w:bottom w:type="dxa" w:w="80"/>
              <w:right w:type="dxa" w:w="100"/>
            </w:tcMar>
            <w:vAlign w:val="center"/>
          </w:tcPr>
          <w:p>
            <w:pPr>
              <w:spacing w:after="0"/>
              <w:jc w:val="left"/>
            </w:pPr>
            <w:r>
              <w:rPr>
                <w:b w:val="false"/>
                <w:bCs w:val="false"/>
                <w:i w:val="false"/>
                <w:iCs w:val="false"/>
                <w:sz w:val="19"/>
                <w:szCs w:val="19"/>
              </w:rPr>
              <w:t xml:space="preserve">Workload labels / application dependency map</w:t>
            </w:r>
          </w:p>
        </w:tc>
        <w:tc>
          <w:tcPr>
            <w:tcW w:type="dxa" w:w="1950"/>
            <w:tcMar>
              <w:top w:type="dxa" w:w="80"/>
              <w:left w:type="dxa" w:w="100"/>
              <w:bottom w:type="dxa" w:w="80"/>
              <w:right w:type="dxa" w:w="100"/>
            </w:tcMar>
            <w:vAlign w:val="center"/>
          </w:tcPr>
          <w:p>
            <w:pPr>
              <w:spacing w:after="0"/>
              <w:jc w:val="left"/>
            </w:pPr>
            <w:r>
              <w:rPr>
                <w:b w:val="false"/>
                <w:bCs w:val="false"/>
                <w:i w:val="false"/>
                <w:iCs w:val="false"/>
                <w:sz w:val="19"/>
                <w:szCs w:val="19"/>
              </w:rPr>
              <w:t xml:space="preserve">User/device identity (ZPA) or AI-derived host/traffic grouping (Microsegmentation)</w:t>
            </w:r>
          </w:p>
        </w:tc>
      </w:tr>
      <w:tr>
        <w:trPr>
          <w:cantSplit/>
        </w:trPr>
        <w:tc>
          <w:tcPr>
            <w:tcW w:type="dxa" w:w="2000"/>
            <w:shd w:fill="F2F2F2" w:val="clear"/>
            <w:tcMar>
              <w:top w:type="dxa" w:w="80"/>
              <w:left w:type="dxa" w:w="100"/>
              <w:bottom w:type="dxa" w:w="80"/>
              <w:right w:type="dxa" w:w="100"/>
            </w:tcMar>
            <w:vAlign w:val="center"/>
          </w:tcPr>
          <w:p>
            <w:pPr>
              <w:spacing w:after="0"/>
              <w:jc w:val="left"/>
            </w:pPr>
            <w:r>
              <w:rPr>
                <w:b w:val="false"/>
                <w:bCs w:val="false"/>
                <w:i w:val="false"/>
                <w:iCs w:val="false"/>
                <w:sz w:val="19"/>
                <w:szCs w:val="19"/>
              </w:rPr>
              <w:t xml:space="preserve">Counterparty requirement</w:t>
            </w:r>
          </w:p>
        </w:tc>
        <w:tc>
          <w:tcPr>
            <w:tcW w:type="dxa" w:w="1950"/>
            <w:shd w:fill="F2F2F2" w:val="clear"/>
            <w:tcMar>
              <w:top w:type="dxa" w:w="80"/>
              <w:left w:type="dxa" w:w="100"/>
              <w:bottom w:type="dxa" w:w="80"/>
              <w:right w:type="dxa" w:w="100"/>
            </w:tcMar>
            <w:vAlign w:val="center"/>
          </w:tcPr>
          <w:p>
            <w:pPr>
              <w:spacing w:after="0"/>
              <w:jc w:val="left"/>
            </w:pPr>
            <w:r>
              <w:rPr>
                <w:b w:val="false"/>
                <w:bCs w:val="false"/>
                <w:i w:val="false"/>
                <w:iCs w:val="false"/>
                <w:sz w:val="19"/>
                <w:szCs w:val="19"/>
              </w:rPr>
              <w:t xml:space="preserve">Both sides must run Stealth (or a gateway)</w:t>
            </w:r>
          </w:p>
        </w:tc>
        <w:tc>
          <w:tcPr>
            <w:tcW w:type="dxa" w:w="1950"/>
            <w:shd w:fill="F2F2F2" w:val="clear"/>
            <w:tcMar>
              <w:top w:type="dxa" w:w="80"/>
              <w:left w:type="dxa" w:w="100"/>
              <w:bottom w:type="dxa" w:w="80"/>
              <w:right w:type="dxa" w:w="100"/>
            </w:tcMar>
            <w:vAlign w:val="center"/>
          </w:tcPr>
          <w:p>
            <w:pPr>
              <w:spacing w:after="0"/>
              <w:jc w:val="left"/>
            </w:pPr>
            <w:r>
              <w:rPr>
                <w:b w:val="false"/>
                <w:bCs w:val="false"/>
                <w:i w:val="false"/>
                <w:iCs w:val="false"/>
                <w:sz w:val="19"/>
                <w:szCs w:val="19"/>
              </w:rPr>
              <w:t xml:space="preserve">Both sides run Guardicore agent, or one side + network telemetry</w:t>
            </w:r>
          </w:p>
        </w:tc>
        <w:tc>
          <w:tcPr>
            <w:tcW w:type="dxa" w:w="1950"/>
            <w:shd w:fill="F2F2F2" w:val="clear"/>
            <w:tcMar>
              <w:top w:type="dxa" w:w="80"/>
              <w:left w:type="dxa" w:w="100"/>
              <w:bottom w:type="dxa" w:w="80"/>
              <w:right w:type="dxa" w:w="100"/>
            </w:tcMar>
            <w:vAlign w:val="center"/>
          </w:tcPr>
          <w:p>
            <w:pPr>
              <w:spacing w:after="0"/>
              <w:jc w:val="left"/>
            </w:pPr>
            <w:r>
              <w:rPr>
                <w:b w:val="false"/>
                <w:bCs w:val="false"/>
                <w:i w:val="false"/>
                <w:iCs w:val="false"/>
                <w:sz w:val="19"/>
                <w:szCs w:val="19"/>
              </w:rPr>
              <w:t xml:space="preserve">Agent on the workload; counterparty can be unmanaged if policy is one-directional</w:t>
            </w:r>
          </w:p>
        </w:tc>
        <w:tc>
          <w:tcPr>
            <w:tcW w:type="dxa" w:w="1950"/>
            <w:shd w:fill="F2F2F2" w:val="clear"/>
            <w:tcMar>
              <w:top w:type="dxa" w:w="80"/>
              <w:left w:type="dxa" w:w="100"/>
              <w:bottom w:type="dxa" w:w="80"/>
              <w:right w:type="dxa" w:w="100"/>
            </w:tcMar>
            <w:vAlign w:val="center"/>
          </w:tcPr>
          <w:p>
            <w:pPr>
              <w:spacing w:after="0"/>
              <w:jc w:val="left"/>
            </w:pPr>
            <w:r>
              <w:rPr>
                <w:b w:val="false"/>
                <w:bCs w:val="false"/>
                <w:i w:val="false"/>
                <w:iCs w:val="false"/>
                <w:sz w:val="19"/>
                <w:szCs w:val="19"/>
              </w:rPr>
              <w:t xml:space="preserve">None for ZPA (broker mediates); agent required for Zscaler Microsegmentation</w:t>
            </w:r>
          </w:p>
        </w:tc>
      </w:tr>
    </w:tbl>
    <w:p>
      <w:pPr>
        <w:spacing w:before="200"/>
      </w:pPr>
    </w:p>
    <w:p>
      <w:pPr>
        <w:pStyle w:val="Heading1"/>
        <w:spacing w:after="160" w:before="360"/>
      </w:pPr>
      <w:r>
        <w:t xml:space="preserve">3. Model 1 — Cryptographic Identity / Circle-of-Trust: Unisys Stealth</w:t>
      </w:r>
    </w:p>
    <w:p>
      <w:pPr>
        <w:pStyle w:val="Heading2"/>
        <w:spacing w:after="120" w:before="280"/>
      </w:pPr>
      <w:r>
        <w:t xml:space="preserve">3.1 Mechanism</w:t>
      </w:r>
    </w:p>
    <w:p>
      <w:pPr>
        <w:spacing w:after="160"/>
      </w:pPr>
      <w:r>
        <w:t xml:space="preserve">Stealth groups authorized users and devices into cryptographically defined "communities of interest." Communication is carried over encrypted, identity-verified tunnels between community members; anything outside the community is not merely denied by policy but rendered network-invisible — unauthorized hosts cannot discover or address community members at all. This is a materially different security property than an allow-list: it is cloaking plus encryption plus authentication, not just an ACL evaluated per packet.</w:t>
      </w:r>
    </w:p>
    <w:p>
      <w:pPr>
        <w:pStyle w:val="Heading2"/>
        <w:spacing w:after="120" w:before="280"/>
      </w:pPr>
      <w:r>
        <w:t xml:space="preserve">3.2 Coverage claims</w:t>
      </w:r>
    </w:p>
    <w:p>
      <w:pPr>
        <w:pStyle w:val="ListParagraph"/>
        <w:numPr>
          <w:ilvl w:val="0"/>
          <w:numId w:val="2"/>
        </w:numPr>
        <w:spacing w:after="80"/>
      </w:pPr>
      <w:r>
        <w:t xml:space="preserve">Public, private, hybrid, multi-cloud, and on-premises environments, including extension to IoT/medical devices, industrial control systems, and surveillance cameras (2018 release).</w:t>
      </w:r>
    </w:p>
    <w:p>
      <w:pPr>
        <w:pStyle w:val="ListParagraph"/>
        <w:numPr>
          <w:ilvl w:val="0"/>
          <w:numId w:val="2"/>
        </w:numPr>
        <w:spacing w:after="80"/>
      </w:pPr>
      <w:r>
        <w:t xml:space="preserve">Stealth 6.0 (Nov 2020) added AI/ML-driven automated policy generation and dashboard/visualization tooling, addressing a persistent criticism (see 3.4) that deployment and policy management were manually intensive.</w:t>
      </w:r>
    </w:p>
    <w:p>
      <w:pPr>
        <w:pStyle w:val="Heading2"/>
        <w:spacing w:after="120" w:before="280"/>
      </w:pPr>
      <w:r>
        <w:t xml:space="preserve">3.3 Where the model is architecturally stronger than agent-based alternatives</w:t>
      </w:r>
    </w:p>
    <w:p>
      <w:pPr>
        <w:spacing w:after="160"/>
      </w:pPr>
      <w:r>
        <w:t xml:space="preserve">The cryptographic tunnel requirement means a compromised host cannot even enumerate other community members on the network — this is a stronger containment property than an OS-firewall allow-list, which still permits network discovery/reconnaissance of denied targets even when it blocks the connection. For environments with a genuine adversary model that includes active reconnaissance and lateral scanning, this is not a marketing distinction — it is a real difference in attacker workflow cost.</w:t>
      </w:r>
    </w:p>
    <w:p>
      <w:pPr>
        <w:pStyle w:val="Heading2"/>
        <w:spacing w:after="120" w:before="280"/>
      </w:pPr>
      <w:r>
        <w:t xml:space="preserve">3.4 Why adoption did not track the technical model</w:t>
      </w:r>
    </w:p>
    <w:p>
      <w:pPr>
        <w:spacing w:after="160"/>
      </w:pPr>
      <w:r>
        <w:t xml:space="preserve">This is inference from architectural mechanics and observed market data, not a documented vendor postmortem — flagged accordingly for anyone citing this section further.</w:t>
      </w:r>
    </w:p>
    <w:p>
      <w:pPr>
        <w:pStyle w:val="ListParagraph"/>
        <w:numPr>
          <w:ilvl w:val="0"/>
          <w:numId w:val="2"/>
        </w:numPr>
        <w:spacing w:after="80"/>
      </w:pPr>
      <w:r>
        <w:rPr>
          <w:b/>
          <w:bCs/>
        </w:rPr>
        <w:t xml:space="preserve">Bilateral dependency inflates rollout scope. </w:t>
      </w:r>
      <w:r>
        <w:t xml:space="preserve">Because both communicating parties must run Stealth (or route through a Stealth gateway), a segmentation project cannot be adopted workload-by-workload the way an OS-native agent can — every counterparty in a communication path is an in-scope dependency. This structurally front-loads project scope compared to a model where you can instrument one workload at a time and interoperate with anything already on the network.</w:t>
      </w:r>
    </w:p>
    <w:p>
      <w:pPr>
        <w:pStyle w:val="ListParagraph"/>
        <w:numPr>
          <w:ilvl w:val="0"/>
          <w:numId w:val="2"/>
        </w:numPr>
        <w:spacing w:after="80"/>
      </w:pPr>
      <w:r>
        <w:rPr>
          <w:b/>
          <w:bCs/>
        </w:rPr>
        <w:t xml:space="preserve">Multi-year, repeated "simplification" releases signal persistent friction. </w:t>
      </w:r>
      <w:r>
        <w:t xml:space="preserve">Stealth(aware) (2016), the 2017 hybrid-cloud release, the 2018 IoT extension, and Stealth 6.0 (2020) were all marketed primarily around reducing deployment/policy complexity — a five-year cadence of "now it's finally simpler" is evidence the underlying operational cost was real and not fully resolved by any single release.</w:t>
      </w:r>
    </w:p>
    <w:p>
      <w:pPr>
        <w:pStyle w:val="ListParagraph"/>
        <w:numPr>
          <w:ilvl w:val="0"/>
          <w:numId w:val="2"/>
        </w:numPr>
        <w:spacing w:after="80"/>
      </w:pPr>
      <w:r>
        <w:rPr>
          <w:b/>
          <w:bCs/>
        </w:rPr>
        <w:t xml:space="preserve">Vendor focus dilution. </w:t>
      </w:r>
      <w:r>
        <w:t xml:space="preserve">Unisys is a diversified IT services/hardware/legacy-mainframe company; Stealth was one product line competing for R&amp;D and go-to-market investment against services revenue, digital workplace, and infrastructure lines. Pure-play competitors (Illumio, and Guardicore pre-Akamai) had no comparable internal competition for investment.</w:t>
      </w:r>
    </w:p>
    <w:p>
      <w:pPr>
        <w:pStyle w:val="ListParagraph"/>
        <w:numPr>
          <w:ilvl w:val="0"/>
          <w:numId w:val="2"/>
        </w:numPr>
        <w:spacing w:after="80"/>
      </w:pPr>
      <w:r>
        <w:rPr>
          <w:b/>
          <w:bCs/>
        </w:rPr>
        <w:t xml:space="preserve">No current independent market validation. </w:t>
      </w:r>
      <w:r>
        <w:t xml:space="preserve">As of mid-2026, Stealth carries 1.5% mindshare in the ZTNA/microsegmentation category (PeerSpot), up marginally from 0.3% the prior year, versus Zero Networks at 6.2% and Illumio/Guardicore each carrying 147–168+ reviews. Stealth does not appear in the current Forrester Wave, Gartner Peer Insights Customers' Choice, Gartner Market Guide Representative Vendor list, or Constellation ShortList for 2026 — all of which list Illumio, Akamai Guardicore, Cisco, ColorTokens, and Elisity.</w:t>
      </w:r>
    </w:p>
    <w:p>
      <w:pPr>
        <w:pStyle w:val="Heading2"/>
        <w:spacing w:after="120" w:before="280"/>
      </w:pPr>
      <w:r>
        <w:t xml:space="preserve">3.5 Fit assessment for this estate</w:t>
      </w:r>
    </w:p>
    <w:p>
      <w:pPr>
        <w:spacing w:after="160"/>
      </w:pPr>
      <w:r>
        <w:t xml:space="preserve">Not recommended as a primary candidate. The technology is not deficient, but it is commercially marginalized (near-zero current customer base, no analyst validation) and its bilateral-dependency deployment model is a poor match for an estate with a documented lack of asset/topology source of truth — you cannot cleanly scope "both sides of every conversation" when you do not have a reliable map of conversations in the first place.</w:t>
      </w:r>
    </w:p>
    <w:p>
      <w:pPr>
        <w:pStyle w:val="Heading1"/>
        <w:spacing w:after="160" w:before="360"/>
      </w:pPr>
      <w:r>
        <w:t xml:space="preserve">4. Model 2 — Proprietary Agent + Integrated Deception: Akamai Guardicore Segmentation</w:t>
      </w:r>
    </w:p>
    <w:p>
      <w:pPr>
        <w:pStyle w:val="Heading2"/>
        <w:spacing w:after="120" w:before="280"/>
      </w:pPr>
      <w:r>
        <w:t xml:space="preserve">4.1 Mechanism</w:t>
      </w:r>
    </w:p>
    <w:p>
      <w:pPr>
        <w:spacing w:after="160"/>
      </w:pPr>
      <w:r>
        <w:t xml:space="preserve">Guardicore (acquired by Akamai, 2021) installs a proprietary software firewall on each protected host rather than configuring the native OS firewall. This differs from Illumio/ColorTokens, which configure the OS's own firewall (iptables/nftables/WFP) via an agent. The proprietary firewall approach gives Guardicore process-level traffic attribution and native support for integrated deception (network, service, and credential decoys) as part of the core platform — Illumio has no comparable native deception capability.</w:t>
      </w:r>
    </w:p>
    <w:p>
      <w:pPr>
        <w:pStyle w:val="Heading2"/>
        <w:spacing w:after="120" w:before="280"/>
      </w:pPr>
      <w:r>
        <w:t xml:space="preserve">4.2 Trade-offs of the proprietary-firewall approach</w:t>
      </w:r>
    </w:p>
    <w:p>
      <w:pPr>
        <w:pStyle w:val="ListParagraph"/>
        <w:numPr>
          <w:ilvl w:val="0"/>
          <w:numId w:val="2"/>
        </w:numPr>
        <w:spacing w:after="80"/>
      </w:pPr>
      <w:r>
        <w:t xml:space="preserve">Richer per-flow context (process-level attribution) than OS-firewall-configuration models.</w:t>
      </w:r>
    </w:p>
    <w:p>
      <w:pPr>
        <w:pStyle w:val="ListParagraph"/>
        <w:numPr>
          <w:ilvl w:val="0"/>
          <w:numId w:val="2"/>
        </w:numPr>
        <w:spacing w:after="80"/>
      </w:pPr>
      <w:r>
        <w:t xml:space="preserve">Integrated deception provides a detection capability the agent-configures-native-firewall vendors do not offer natively.</w:t>
      </w:r>
    </w:p>
    <w:p>
      <w:pPr>
        <w:pStyle w:val="ListParagraph"/>
        <w:numPr>
          <w:ilvl w:val="0"/>
          <w:numId w:val="2"/>
        </w:numPr>
        <w:spacing w:after="80"/>
      </w:pPr>
      <w:r>
        <w:rPr>
          <w:i/>
          <w:iCs/>
        </w:rPr>
        <w:t xml:space="preserve">Cost: </w:t>
      </w:r>
      <w:r>
        <w:t xml:space="preserve">a proprietary firewall installed on every host runs counter to NIST SP 800-207's preference for standard architecture components, and complicates OS upgrade cycles — the proprietary firewall may require patching or reinstallation across OS version upgrades, an operational burden the OS-native-configuration model avoids by design.</w:t>
      </w:r>
    </w:p>
    <w:p>
      <w:pPr>
        <w:pStyle w:val="Heading2"/>
        <w:spacing w:after="120" w:before="280"/>
      </w:pPr>
      <w:r>
        <w:t xml:space="preserve">4.3 Independent standing</w:t>
      </w:r>
    </w:p>
    <w:p>
      <w:pPr>
        <w:spacing w:after="160"/>
      </w:pPr>
      <w:r>
        <w:t xml:space="preserve">Forrester Wave Leader (Q3 2024) alongside Illumio, Cisco, and ColorTokens; Gartner Peer Insights Customers' Choice 2026 (168 reviews, 4.8/5, tied with Illumio); named on the Constellation ShortList 2026. This is a current, well-validated market leader by every available analyst measure — the closest direct alternative to Illumio for managed server/data-center estates, differentiated primarily by the deception capability and the proprietary-firewall cost trade-off above.</w:t>
      </w:r>
    </w:p>
    <w:p>
      <w:pPr>
        <w:pStyle w:val="Heading2"/>
        <w:spacing w:after="120" w:before="280"/>
      </w:pPr>
      <w:r>
        <w:t xml:space="preserve">4.4 Fit assessment for this estate</w:t>
      </w:r>
    </w:p>
    <w:p>
      <w:pPr>
        <w:spacing w:after="160"/>
      </w:pPr>
      <w:r>
        <w:t xml:space="preserve">A credible primary candidate for the managed on-premises server estate specifically because it does not require the traffic-path change or bilateral-agent dependency of the broker or cryptographic-tunnel models. The proprietary-firewall OS-upgrade friction is a real operational cost that should be quantified against the deception-capability benefit during a POC, particularly given the estate's existing operational load managing ~15,600 Panorama-managed rules.</w:t>
      </w:r>
    </w:p>
    <w:p>
      <w:pPr>
        <w:pStyle w:val="Heading1"/>
        <w:spacing w:after="160" w:before="360"/>
      </w:pPr>
      <w:r>
        <w:t xml:space="preserve">5. Model 3 — OS-Native Agent / Centralized Policy Compute: Illumio</w:t>
      </w:r>
    </w:p>
    <w:p>
      <w:pPr>
        <w:pStyle w:val="Heading2"/>
        <w:spacing w:after="120" w:before="280"/>
      </w:pPr>
      <w:r>
        <w:t xml:space="preserve">5.1 Mechanism — a direct answer to "why not just do this with a daemon and IP whitelists"</w:t>
      </w:r>
    </w:p>
    <w:p>
      <w:pPr>
        <w:spacing w:after="160"/>
      </w:pPr>
      <w:r>
        <w:t xml:space="preserve">Stripped of marketing language, Illumio's Policy Compute Engine (PCE) model is: an agent on each workload reports flow telemetry to a central service; the central service computes a policy graph from that telemetry plus labels/tags; the computed policy is pushed down and configures the host's own native firewall (iptables, nftables, or Windows Filtering Platform). Enforcement itself is the OS firewall — the same mechanism a hand-rolled Ansible/Puppet-managed iptables rule push would use. The product's differentiated value is not the enforcement primitive (which is free and built into every OS); it is:</w:t>
      </w:r>
    </w:p>
    <w:p>
      <w:pPr>
        <w:pStyle w:val="ListParagraph"/>
        <w:numPr>
          <w:ilvl w:val="0"/>
          <w:numId w:val="3"/>
        </w:numPr>
        <w:spacing w:after="80"/>
      </w:pPr>
      <w:r>
        <w:t xml:space="preserve">Automated traffic discovery and dependency mapping at scale — the labor-intensive part of building an accurate policy that would otherwise require manual reverse-engineering of "who talks to whom" across thousands of workloads.</w:t>
      </w:r>
    </w:p>
    <w:p>
      <w:pPr>
        <w:pStyle w:val="ListParagraph"/>
        <w:numPr>
          <w:ilvl w:val="0"/>
          <w:numId w:val="3"/>
        </w:numPr>
        <w:spacing w:after="80"/>
      </w:pPr>
      <w:r>
        <w:t xml:space="preserve">Policy anchored to workload identity (labels/tags) rather than static IP, which survives IP churn from autoscaling, container rescheduling, or DHCP reassignment — an advantage that is largely moot for static, long-lived, fixed-IP on-premises VMs, and significant only where workload elasticity is real.</w:t>
      </w:r>
    </w:p>
    <w:p>
      <w:pPr>
        <w:pStyle w:val="ListParagraph"/>
        <w:numPr>
          <w:ilvl w:val="0"/>
          <w:numId w:val="3"/>
        </w:numPr>
        <w:spacing w:after="80"/>
      </w:pPr>
      <w:r>
        <w:t xml:space="preserve">Staged/learning-mode rollout (alert-only before enforcement) to reduce the risk of a policy push breaking a production application.</w:t>
      </w:r>
    </w:p>
    <w:p>
      <w:pPr>
        <w:pStyle w:val="ListParagraph"/>
        <w:numPr>
          <w:ilvl w:val="0"/>
          <w:numId w:val="3"/>
        </w:numPr>
        <w:spacing w:after="80"/>
      </w:pPr>
      <w:r>
        <w:t xml:space="preserve">Cross-platform policy consistency — one policy language instead of separately maintained iptables/nftables/WFP/cloud-security-group scripts.</w:t>
      </w:r>
    </w:p>
    <w:p>
      <w:pPr>
        <w:spacing w:after="160"/>
      </w:pPr>
      <w:r>
        <w:t xml:space="preserve">For a static, largely non-elastic on-premises estate, item 2's advantage is limited. Items 1, 3, and 4 remain the genuine value proposition — and item 1 in particular maps directly onto this estate's documented visibility gap (no reliable asset/network source of truth), making the discovery/mapping capability the strongest justification for the license cost here, independent of whether Illumio's own enforcement engine is ultimately used or the resulting map instead feeds internally-built automation.</w:t>
      </w:r>
    </w:p>
    <w:p>
      <w:pPr>
        <w:pStyle w:val="Heading2"/>
        <w:spacing w:after="120" w:before="280"/>
      </w:pPr>
      <w:r>
        <w:t xml:space="preserve">5.2 Independent standing</w:t>
      </w:r>
    </w:p>
    <w:p>
      <w:pPr>
        <w:spacing w:after="160"/>
      </w:pPr>
      <w:r>
        <w:t xml:space="preserve">Forrester Wave Leader (highest current-offering and strategy scores, Q3 2024); Gartner Peer Insights Customers' Choice 2026 (59 verified reviews, 4.8/5, 98% willingness to recommend); Constellation ShortList 2026. Illumio Insights (Feb 2026) added agentless visibility alongside the existing agent-based enforcement, partially addressing the historical "servers/data-center workloads only" limitation.</w:t>
      </w:r>
    </w:p>
    <w:p>
      <w:pPr>
        <w:pStyle w:val="Heading2"/>
        <w:spacing w:after="120" w:before="280"/>
      </w:pPr>
      <w:r>
        <w:t xml:space="preserve">5.3 Fit assessment for this estate</w:t>
      </w:r>
    </w:p>
    <w:p>
      <w:pPr>
        <w:spacing w:after="160"/>
      </w:pPr>
      <w:r>
        <w:t xml:space="preserve">The strongest-validated candidate for managed server/workload segmentation. The core buying question to put to Illumio directly in a POC is not "can it enforce" (any OS firewall can) but "how much of the discovery/mapping value can we realize independent of committing to the enforcement engine" — i.e., can the dependency map be exported/consumed by CCD Platform or FPMS rather than creating a second, parallel policy source of truth.</w:t>
      </w:r>
    </w:p>
    <w:p>
      <w:pPr>
        <w:pStyle w:val="Heading1"/>
        <w:spacing w:after="160" w:before="360"/>
      </w:pPr>
      <w:r>
        <w:t xml:space="preserve">6. Model 4 — Cloud Broker / Proxy: Zscaler Zero Trust Exchange</w:t>
      </w:r>
    </w:p>
    <w:p>
      <w:pPr>
        <w:pStyle w:val="Heading2"/>
        <w:spacing w:after="120" w:before="280"/>
      </w:pPr>
      <w:r>
        <w:t xml:space="preserve">6.1 Mechanism and provenance — three lineages under one brand</w:t>
      </w:r>
    </w:p>
    <w:p>
      <w:pPr>
        <w:spacing w:after="160"/>
      </w:pPr>
      <w:r>
        <w:t xml:space="preserve">Zscaler's segmentation capability is not one coherent architecture; it is three acquired/native lineages marketed under unified "Zero Trust Segmentation" branding: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200"/>
        <w:gridCol w:w="1800"/>
      </w:tblGrid>
      <w:tr>
        <w:trPr>
          <w:cantSplit/>
          <w:tblHeader/>
        </w:trPr>
        <w:tc>
          <w:tcPr>
            <w:tcW w:type="dxa" w:w="2200"/>
            <w:shd w:fill="1F3864" w:val="clear"/>
            <w:tcMar>
              <w:top w:type="dxa" w:w="80"/>
              <w:left w:type="dxa" w:w="100"/>
              <w:bottom w:type="dxa" w:w="80"/>
              <w:right w:type="dxa" w:w="100"/>
            </w:tcMar>
            <w:vAlign w:val="center"/>
          </w:tcPr>
          <w:p>
            <w:pPr>
              <w:spacing w:after="0"/>
              <w:jc w:val="left"/>
            </w:pPr>
            <w:r>
              <w:rPr>
                <w:b/>
                <w:bCs/>
                <w:i w:val="false"/>
                <w:iCs w:val="false"/>
                <w:sz w:val="19"/>
                <w:szCs w:val="19"/>
              </w:rPr>
              <w:t xml:space="preserve">Layer</w:t>
            </w:r>
          </w:p>
        </w:tc>
        <w:tc>
          <w:tcPr>
            <w:tcW w:type="dxa" w:w="2600"/>
            <w:shd w:fill="1F3864" w:val="clear"/>
            <w:tcMar>
              <w:top w:type="dxa" w:w="80"/>
              <w:left w:type="dxa" w:w="100"/>
              <w:bottom w:type="dxa" w:w="80"/>
              <w:right w:type="dxa" w:w="100"/>
            </w:tcMar>
            <w:vAlign w:val="center"/>
          </w:tcPr>
          <w:p>
            <w:pPr>
              <w:spacing w:after="0"/>
              <w:jc w:val="left"/>
            </w:pPr>
            <w:r>
              <w:rPr>
                <w:b/>
                <w:bCs/>
                <w:i w:val="false"/>
                <w:iCs w:val="false"/>
                <w:sz w:val="19"/>
                <w:szCs w:val="19"/>
              </w:rPr>
              <w:t xml:space="preserve">Origin</w:t>
            </w:r>
          </w:p>
        </w:tc>
        <w:tc>
          <w:tcPr>
            <w:tcW w:type="dxa" w:w="3200"/>
            <w:shd w:fill="1F3864" w:val="clear"/>
            <w:tcMar>
              <w:top w:type="dxa" w:w="80"/>
              <w:left w:type="dxa" w:w="100"/>
              <w:bottom w:type="dxa" w:w="80"/>
              <w:right w:type="dxa" w:w="100"/>
            </w:tcMar>
            <w:vAlign w:val="center"/>
          </w:tcPr>
          <w:p>
            <w:pPr>
              <w:spacing w:after="0"/>
              <w:jc w:val="left"/>
            </w:pPr>
            <w:r>
              <w:rPr>
                <w:b/>
                <w:bCs/>
                <w:i w:val="false"/>
                <w:iCs w:val="false"/>
                <w:sz w:val="19"/>
                <w:szCs w:val="19"/>
              </w:rPr>
              <w:t xml:space="preserve">Mechanism</w:t>
            </w:r>
          </w:p>
        </w:tc>
        <w:tc>
          <w:tcPr>
            <w:tcW w:type="dxa" w:w="1800"/>
            <w:shd w:fill="1F3864" w:val="clear"/>
            <w:tcMar>
              <w:top w:type="dxa" w:w="80"/>
              <w:left w:type="dxa" w:w="100"/>
              <w:bottom w:type="dxa" w:w="80"/>
              <w:right w:type="dxa" w:w="100"/>
            </w:tcMar>
            <w:vAlign w:val="center"/>
          </w:tcPr>
          <w:p>
            <w:pPr>
              <w:spacing w:after="0"/>
              <w:jc w:val="left"/>
            </w:pPr>
            <w:r>
              <w:rPr>
                <w:b/>
                <w:bCs/>
                <w:i w:val="false"/>
                <w:iCs w:val="false"/>
                <w:sz w:val="19"/>
                <w:szCs w:val="19"/>
              </w:rPr>
              <w:t xml:space="preserve">Target traffic</w:t>
            </w:r>
          </w:p>
        </w:tc>
      </w:tr>
      <w:tr>
        <w:trPr>
          <w:cantSplit/>
        </w:trPr>
        <w:tc>
          <w:tcPr>
            <w:tcW w:type="dxa" w:w="2200"/>
            <w:tcMar>
              <w:top w:type="dxa" w:w="80"/>
              <w:left w:type="dxa" w:w="100"/>
              <w:bottom w:type="dxa" w:w="80"/>
              <w:right w:type="dxa" w:w="100"/>
            </w:tcMar>
            <w:vAlign w:val="center"/>
          </w:tcPr>
          <w:p>
            <w:pPr>
              <w:spacing w:after="0"/>
              <w:jc w:val="left"/>
            </w:pPr>
            <w:r>
              <w:rPr>
                <w:b w:val="false"/>
                <w:bCs w:val="false"/>
                <w:i w:val="false"/>
                <w:iCs w:val="false"/>
                <w:sz w:val="19"/>
                <w:szCs w:val="19"/>
              </w:rPr>
              <w:t xml:space="preserve">ZPA (Zscaler Private Access)</w:t>
            </w:r>
          </w:p>
        </w:tc>
        <w:tc>
          <w:tcPr>
            <w:tcW w:type="dxa" w:w="2600"/>
            <w:tcMar>
              <w:top w:type="dxa" w:w="80"/>
              <w:left w:type="dxa" w:w="100"/>
              <w:bottom w:type="dxa" w:w="80"/>
              <w:right w:type="dxa" w:w="100"/>
            </w:tcMar>
            <w:vAlign w:val="center"/>
          </w:tcPr>
          <w:p>
            <w:pPr>
              <w:spacing w:after="0"/>
              <w:jc w:val="left"/>
            </w:pPr>
            <w:r>
              <w:rPr>
                <w:b w:val="false"/>
                <w:bCs w:val="false"/>
                <w:i w:val="false"/>
                <w:iCs w:val="false"/>
                <w:sz w:val="19"/>
                <w:szCs w:val="19"/>
              </w:rPr>
              <w:t xml:space="preserve">Native, built since founding</w:t>
            </w:r>
          </w:p>
        </w:tc>
        <w:tc>
          <w:tcPr>
            <w:tcW w:type="dxa" w:w="3200"/>
            <w:tcMar>
              <w:top w:type="dxa" w:w="80"/>
              <w:left w:type="dxa" w:w="100"/>
              <w:bottom w:type="dxa" w:w="80"/>
              <w:right w:type="dxa" w:w="100"/>
            </w:tcMar>
            <w:vAlign w:val="center"/>
          </w:tcPr>
          <w:p>
            <w:pPr>
              <w:spacing w:after="0"/>
              <w:jc w:val="left"/>
            </w:pPr>
            <w:r>
              <w:rPr>
                <w:b w:val="false"/>
                <w:bCs w:val="false"/>
                <w:i w:val="false"/>
                <w:iCs w:val="false"/>
                <w:sz w:val="19"/>
                <w:szCs w:val="19"/>
              </w:rPr>
              <w:t xml:space="preserve">Cloud broker/proxy — user or workload never placed on the network; direct brokered connection to a specific resource</w:t>
            </w:r>
          </w:p>
        </w:tc>
        <w:tc>
          <w:tcPr>
            <w:tcW w:type="dxa" w:w="1800"/>
            <w:tcMar>
              <w:top w:type="dxa" w:w="80"/>
              <w:left w:type="dxa" w:w="100"/>
              <w:bottom w:type="dxa" w:w="80"/>
              <w:right w:type="dxa" w:w="100"/>
            </w:tcMar>
            <w:vAlign w:val="center"/>
          </w:tcPr>
          <w:p>
            <w:pPr>
              <w:spacing w:after="0"/>
              <w:jc w:val="left"/>
            </w:pPr>
            <w:r>
              <w:rPr>
                <w:b w:val="false"/>
                <w:bCs w:val="false"/>
                <w:i w:val="false"/>
                <w:iCs w:val="false"/>
                <w:sz w:val="19"/>
                <w:szCs w:val="19"/>
              </w:rPr>
              <w:t xml:space="preserve">User-to-app; increasingly app-to-app</w:t>
            </w:r>
          </w:p>
        </w:tc>
      </w:tr>
      <w:tr>
        <w:trPr>
          <w:cantSplit/>
        </w:trPr>
        <w:tc>
          <w:tcPr>
            <w:tcW w:type="dxa" w:w="2200"/>
            <w:shd w:fill="F2F2F2" w:val="clear"/>
            <w:tcMar>
              <w:top w:type="dxa" w:w="80"/>
              <w:left w:type="dxa" w:w="100"/>
              <w:bottom w:type="dxa" w:w="80"/>
              <w:right w:type="dxa" w:w="100"/>
            </w:tcMar>
            <w:vAlign w:val="center"/>
          </w:tcPr>
          <w:p>
            <w:pPr>
              <w:spacing w:after="0"/>
              <w:jc w:val="left"/>
            </w:pPr>
            <w:r>
              <w:rPr>
                <w:b w:val="false"/>
                <w:bCs w:val="false"/>
                <w:i w:val="false"/>
                <w:iCs w:val="false"/>
                <w:sz w:val="19"/>
                <w:szCs w:val="19"/>
              </w:rPr>
              <w:t xml:space="preserve">Zscaler Microsegmentation</w:t>
            </w:r>
          </w:p>
        </w:tc>
        <w:tc>
          <w:tcPr>
            <w:tcW w:type="dxa" w:w="2600"/>
            <w:shd w:fill="F2F2F2" w:val="clear"/>
            <w:tcMar>
              <w:top w:type="dxa" w:w="80"/>
              <w:left w:type="dxa" w:w="100"/>
              <w:bottom w:type="dxa" w:w="80"/>
              <w:right w:type="dxa" w:w="100"/>
            </w:tcMar>
            <w:vAlign w:val="center"/>
          </w:tcPr>
          <w:p>
            <w:pPr>
              <w:spacing w:after="0"/>
              <w:jc w:val="left"/>
            </w:pPr>
            <w:r>
              <w:rPr>
                <w:b w:val="false"/>
                <w:bCs w:val="false"/>
                <w:i w:val="false"/>
                <w:iCs w:val="false"/>
                <w:sz w:val="19"/>
                <w:szCs w:val="19"/>
              </w:rPr>
              <w:t xml:space="preserve">Substantially descends from Edgewise Networks (acquired May 2020)</w:t>
            </w:r>
          </w:p>
        </w:tc>
        <w:tc>
          <w:tcPr>
            <w:tcW w:type="dxa" w:w="3200"/>
            <w:shd w:fill="F2F2F2" w:val="clear"/>
            <w:tcMar>
              <w:top w:type="dxa" w:w="80"/>
              <w:left w:type="dxa" w:w="100"/>
              <w:bottom w:type="dxa" w:w="80"/>
              <w:right w:type="dxa" w:w="100"/>
            </w:tcMar>
            <w:vAlign w:val="center"/>
          </w:tcPr>
          <w:p>
            <w:pPr>
              <w:spacing w:after="0"/>
              <w:jc w:val="left"/>
            </w:pPr>
            <w:r>
              <w:rPr>
                <w:b w:val="false"/>
                <w:bCs w:val="false"/>
                <w:i w:val="false"/>
                <w:iCs w:val="false"/>
                <w:sz w:val="19"/>
                <w:szCs w:val="19"/>
              </w:rPr>
              <w:t xml:space="preserve">Agent-based; AI/ML application-identity pattern learning; local enforcement</w:t>
            </w:r>
          </w:p>
        </w:tc>
        <w:tc>
          <w:tcPr>
            <w:tcW w:type="dxa" w:w="1800"/>
            <w:shd w:fill="F2F2F2" w:val="clear"/>
            <w:tcMar>
              <w:top w:type="dxa" w:w="80"/>
              <w:left w:type="dxa" w:w="100"/>
              <w:bottom w:type="dxa" w:w="80"/>
              <w:right w:type="dxa" w:w="100"/>
            </w:tcMar>
            <w:vAlign w:val="center"/>
          </w:tcPr>
          <w:p>
            <w:pPr>
              <w:spacing w:after="0"/>
              <w:jc w:val="left"/>
            </w:pPr>
            <w:r>
              <w:rPr>
                <w:b w:val="false"/>
                <w:bCs w:val="false"/>
                <w:i w:val="false"/>
                <w:iCs w:val="false"/>
                <w:sz w:val="19"/>
                <w:szCs w:val="19"/>
              </w:rPr>
              <w:t xml:space="preserve">Cloud workload-to-workload (AWS/Azure/on-prem/K8s claimed)</w:t>
            </w:r>
          </w:p>
        </w:tc>
      </w:tr>
      <w:tr>
        <w:trPr>
          <w:cantSplit/>
        </w:trPr>
        <w:tc>
          <w:tcPr>
            <w:tcW w:type="dxa" w:w="2200"/>
            <w:tcMar>
              <w:top w:type="dxa" w:w="80"/>
              <w:left w:type="dxa" w:w="100"/>
              <w:bottom w:type="dxa" w:w="80"/>
              <w:right w:type="dxa" w:w="100"/>
            </w:tcMar>
            <w:vAlign w:val="center"/>
          </w:tcPr>
          <w:p>
            <w:pPr>
              <w:spacing w:after="0"/>
              <w:jc w:val="left"/>
            </w:pPr>
            <w:r>
              <w:rPr>
                <w:b w:val="false"/>
                <w:bCs w:val="false"/>
                <w:i w:val="false"/>
                <w:iCs w:val="false"/>
                <w:sz w:val="19"/>
                <w:szCs w:val="19"/>
              </w:rPr>
              <w:t xml:space="preserve">Zero Trust Branch / Zscaler Cellular</w:t>
            </w:r>
          </w:p>
        </w:tc>
        <w:tc>
          <w:tcPr>
            <w:tcW w:type="dxa" w:w="2600"/>
            <w:tcMar>
              <w:top w:type="dxa" w:w="80"/>
              <w:left w:type="dxa" w:w="100"/>
              <w:bottom w:type="dxa" w:w="80"/>
              <w:right w:type="dxa" w:w="100"/>
            </w:tcMar>
            <w:vAlign w:val="center"/>
          </w:tcPr>
          <w:p>
            <w:pPr>
              <w:spacing w:after="0"/>
              <w:jc w:val="left"/>
            </w:pPr>
            <w:r>
              <w:rPr>
                <w:b w:val="false"/>
                <w:bCs w:val="false"/>
                <w:i w:val="false"/>
                <w:iCs w:val="false"/>
                <w:sz w:val="19"/>
                <w:szCs w:val="19"/>
              </w:rPr>
              <w:t xml:space="preserve">Acquired from Airgap Networks (April 2024)</w:t>
            </w:r>
          </w:p>
        </w:tc>
        <w:tc>
          <w:tcPr>
            <w:tcW w:type="dxa" w:w="3200"/>
            <w:tcMar>
              <w:top w:type="dxa" w:w="80"/>
              <w:left w:type="dxa" w:w="100"/>
              <w:bottom w:type="dxa" w:w="80"/>
              <w:right w:type="dxa" w:w="100"/>
            </w:tcMar>
            <w:vAlign w:val="center"/>
          </w:tcPr>
          <w:p>
            <w:pPr>
              <w:spacing w:after="0"/>
              <w:jc w:val="left"/>
            </w:pPr>
            <w:r>
              <w:rPr>
                <w:b w:val="false"/>
                <w:bCs w:val="false"/>
                <w:i w:val="false"/>
                <w:iCs w:val="false"/>
                <w:sz w:val="19"/>
                <w:szCs w:val="19"/>
              </w:rPr>
              <w:t xml:space="preserve">DHCP-proxy device isolation — every device assigned a /32 address with default gateway, creating a network-of-one; agentless</w:t>
            </w:r>
          </w:p>
        </w:tc>
        <w:tc>
          <w:tcPr>
            <w:tcW w:type="dxa" w:w="1800"/>
            <w:tcMar>
              <w:top w:type="dxa" w:w="80"/>
              <w:left w:type="dxa" w:w="100"/>
              <w:bottom w:type="dxa" w:w="80"/>
              <w:right w:type="dxa" w:w="100"/>
            </w:tcMar>
            <w:vAlign w:val="center"/>
          </w:tcPr>
          <w:p>
            <w:pPr>
              <w:spacing w:after="0"/>
              <w:jc w:val="left"/>
            </w:pPr>
            <w:r>
              <w:rPr>
                <w:b w:val="false"/>
                <w:bCs w:val="false"/>
                <w:i w:val="false"/>
                <w:iCs w:val="false"/>
                <w:sz w:val="19"/>
                <w:szCs w:val="19"/>
              </w:rPr>
              <w:t xml:space="preserve">Campus LAN, branch, factory, OT/IoT</w:t>
            </w:r>
          </w:p>
        </w:tc>
      </w:tr>
    </w:tbl>
    <w:p>
      <w:pPr>
        <w:spacing w:before="200"/>
      </w:pPr>
    </w:p>
    <w:p>
      <w:pPr>
        <w:spacing w:after="160"/>
      </w:pPr>
      <w:r>
        <w:t xml:space="preserve">Edgewise (2020) was explicitly kept as a standalone product initially, with Zscaler's own leadership stating integration would be "gradual" — the Edgewise brand has since disappeared from current marketing, and its application-identity technology most plausibly persists inside the current "Zscaler Microsegmentation" SKU, though this is not independently confirmed and should be a direct due-diligence question in any vendor call.</w:t>
      </w:r>
    </w:p>
    <w:p>
      <w:pPr>
        <w:pStyle w:val="Heading2"/>
        <w:spacing w:after="120" w:before="280"/>
      </w:pPr>
      <w:r>
        <w:t xml:space="preserve">6.2 The strategic positioning difference from every other model in this survey</w:t>
      </w:r>
    </w:p>
    <w:p>
      <w:pPr>
        <w:spacing w:after="160"/>
      </w:pPr>
      <w:r>
        <w:t xml:space="preserve">Airgap's pre-acquisition marketing, retained by Zscaler post-acquisition, explicitly frames the product as eliminating the need for east-west firewalls, NAC, and traditional microsegmentation — a replace, not complement, positioning. Every other vendor in this survey (Illumio, Guardicore, Unisys) is architected to sit alongside an existing network and firewall estate. This is a meaningful strategic distinction for an organization concurrently investing in NAC modernization (Forescout): Zscaler's stated architectural ambition is in direct tension with retaining NAC, not complementary to it.</w:t>
      </w:r>
    </w:p>
    <w:p>
      <w:pPr>
        <w:pStyle w:val="Heading2"/>
        <w:spacing w:after="120" w:before="280"/>
      </w:pPr>
      <w:r>
        <w:t xml:space="preserve">6.3 On-premises data-center fit — treat marketing claims as unverified</w:t>
      </w:r>
    </w:p>
    <w:p>
      <w:pPr>
        <w:spacing w:after="160"/>
      </w:pPr>
      <w:r>
        <w:t xml:space="preserve">Zscaler's own marketing lists on-prem alongside AWS/Azure as a target for the Zscaler Microsegmentation product. However, every concrete, recently-invested capability identified in vendor announcements (Zero Trust Branch, Airgap DHCP-proxy, GCP/AWS Zero Trust Gateway, Kubernetes microsegmentation at Zenith Live 2026) is aimed at hyperscaler cloud, branch/campus, or OT/IoT — not core on-premises data-center server-to-server segmentation, which is precisely where Illumio and Guardicore hold their deepest, analyst-validated footprint. Zscaler's segmentation product is notably absent from the Forrester Wave, Gartner Customers' Choice, and Constellation ShortList artifacts that validate the other three vendors' on-prem/data-center capability.</w:t>
      </w:r>
    </w:p>
    <w:p>
      <w:pPr>
        <w:pStyle w:val="Heading2"/>
        <w:spacing w:after="120" w:before="280"/>
      </w:pPr>
      <w:r>
        <w:t xml:space="preserve">6.4 Fit assessment for this estate</w:t>
      </w:r>
    </w:p>
    <w:p>
      <w:pPr>
        <w:spacing w:after="160"/>
      </w:pPr>
      <w:r>
        <w:t xml:space="preserve">Not recommended as the primary model for on-premises data-center microsegmentation, given (a) the strategic tension with the concurrent NAC investment, (b) unverified/unvalidated on-prem depth relative to Illumio and Guardicore, and (c) the traffic-path change inherent to the ZPA broker component, which is architecturally heavier to retrofit onto an estate with the documented RFC1918 collision and topology-visibility issues already on record. Zero Trust Branch/Zscaler Cellular may warrant a narrow, separate evaluation specifically for OT/IoT/unmanaged-device segmentation, where it competes more directly with Elisity and Zero Networks rather than with Illumio or Guardicore.</w:t>
      </w:r>
    </w:p>
    <w:p>
      <w:pPr>
        <w:pStyle w:val="Heading1"/>
        <w:spacing w:after="160" w:before="360"/>
      </w:pPr>
      <w:r>
        <w:t xml:space="preserve">7. Container-Native Constraints</w:t>
      </w:r>
    </w:p>
    <w:p>
      <w:pPr>
        <w:pStyle w:val="Heading2"/>
        <w:spacing w:after="120" w:before="280"/>
      </w:pPr>
      <w:r>
        <w:t xml:space="preserve">7.1 Why the broker model breaks down inside Kubernetes</w:t>
      </w:r>
    </w:p>
    <w:p>
      <w:pPr>
        <w:spacing w:after="160"/>
      </w:pPr>
      <w:r>
        <w:t xml:space="preserve">A broker/enclave model (ZPA-style, or Stealth's cryptographic communities) requires a legible application boundary to broker in front of. This works when there is a clean app-tier topology. It does not work cleanly inside a shared, multi-tenant Kubernetes cluster, where pod-to-pod traffic is frequently encapsulated in an overlay tunnel (VXLAN/Geneve) between nodes — an external broker or firewall observing that traffic sees only node-to-node UDP encapsulation, with pod identity, namespace, and label context invisible at that layer. Building the application dependency map required to make brokering meaningful is the actual hard problem inside a cluster; the estate's own lack of a source of truth for on-premises workloads recurs, in a new form, at the pod level.</w:t>
      </w:r>
    </w:p>
    <w:p>
      <w:pPr>
        <w:pStyle w:val="Heading2"/>
        <w:spacing w:after="120" w:before="280"/>
      </w:pPr>
      <w:r>
        <w:t xml:space="preserve">7.2 The eBPF/Cilium answer, and its actual boundary</w:t>
      </w:r>
    </w:p>
    <w:p>
      <w:pPr>
        <w:spacing w:after="160"/>
      </w:pPr>
      <w:r>
        <w:t xml:space="preserve">The current industry-standard resolution is not a better tap into the overlay tunnel; it is removing the need for an external observer to see inside it at all. Cilium (eBPF-based CNI) assigns each pod a numeric security identity derived from its Kubernetes labels. That identity travels in packet route metadata; the receiving node's kernel-resident eBPF program evaluates policy via constant-time BPF map lookups, independent of whether VXLAN/Geneve encapsulation is in use — the enforcement point is the source and destination node kernels, not a network-path observer. This is now close to a default recommendation for production clusters (e.g., Azure CNI Overlay + Cilium as the standard AKS configuration by 2026).</w:t>
      </w:r>
    </w:p>
    <w:p>
      <w:pPr>
        <w:spacing w:after="160"/>
      </w:pPr>
      <w:r>
        <w:t xml:space="preserve">This resolves L3/L4 identity-based east-west policy cleanly. It does not extend to:</w:t>
      </w:r>
    </w:p>
    <w:p>
      <w:pPr>
        <w:pStyle w:val="ListParagraph"/>
        <w:numPr>
          <w:ilvl w:val="0"/>
          <w:numId w:val="2"/>
        </w:numPr>
        <w:spacing w:after="80"/>
      </w:pPr>
      <w:r>
        <w:rPr>
          <w:b/>
          <w:bCs/>
        </w:rPr>
        <w:t xml:space="preserve">TLS/SSL decryption. </w:t>
      </w:r>
      <w:r>
        <w:t xml:space="preserve">Cilium has no CA infrastructure or MITM capability. Its embedded Envoy proxy performs limited L7 metadata matching (HTTP method/path, gRPC service, DNS FQDN) only on traffic it can already read in cleartext — encrypted payloads, and especially mTLS-secured service-mesh traffic, fall back to L3/L4 identity decisions only.</w:t>
      </w:r>
    </w:p>
    <w:p>
      <w:pPr>
        <w:pStyle w:val="ListParagraph"/>
        <w:numPr>
          <w:ilvl w:val="0"/>
          <w:numId w:val="2"/>
        </w:numPr>
        <w:spacing w:after="80"/>
      </w:pPr>
      <w:r>
        <w:rPr>
          <w:b/>
          <w:bCs/>
        </w:rPr>
        <w:t xml:space="preserve">IDS/IPS signature or behavioral inspection. </w:t>
      </w:r>
      <w:r>
        <w:t xml:space="preserve">There is no threat-signature engine or anomaly-detection logic in the Cilium/eBPF stack itself. Hubble provides flow telemetry (a K8s-native analog of NetFlow) — observability, not inspection.</w:t>
      </w:r>
    </w:p>
    <w:p>
      <w:pPr>
        <w:pStyle w:val="ListParagraph"/>
        <w:numPr>
          <w:ilvl w:val="0"/>
          <w:numId w:val="2"/>
        </w:numPr>
        <w:spacing w:after="80"/>
      </w:pPr>
      <w:r>
        <w:rPr>
          <w:b/>
          <w:bCs/>
        </w:rPr>
        <w:t xml:space="preserve">App-ID-equivalent classification. </w:t>
      </w:r>
      <w:r>
        <w:t xml:space="preserve">Cilium's "identity" is a label-hash-derived policy identity, a different concept entirely from PAN-OS App-ID's protocol-behavior/payload-signature classification. The two should not be conflated in architecture documents.</w:t>
      </w:r>
    </w:p>
    <w:p>
      <w:pPr>
        <w:pStyle w:val="Heading2"/>
        <w:spacing w:after="120" w:before="280"/>
      </w:pPr>
      <w:r>
        <w:t xml:space="preserve">7.3 Governance gap this creates</w:t>
      </w:r>
    </w:p>
    <w:p>
      <w:pPr>
        <w:spacing w:after="160"/>
      </w:pPr>
      <w:r>
        <w:t xml:space="preserve">Even where Cilium enforces correctly, policy is defined as Kubernetes-native CiliumNetworkPolicy/NetworkPolicy YAML, entirely outside Panorama, outside the FPMS rule builder, and outside any estate-wide governance model built for 3PLZ or NAC-ZTNA. This is a governance and audit gap, not a technical one, and should be scoped explicitly in any container-adoption security requirement: how K8s-native policy is represented in, or reconciled against, estate-wide firewall governance.</w:t>
      </w:r>
    </w:p>
    <w:p>
      <w:pPr>
        <w:pStyle w:val="Heading2"/>
        <w:spacing w:after="120" w:before="280"/>
      </w:pPr>
      <w:r>
        <w:t xml:space="preserve">7.4 Recommended egress/decrypt architecture pattern for containerized workloads</w:t>
      </w:r>
    </w:p>
    <w:p>
      <w:pPr>
        <w:spacing w:after="160"/>
      </w:pPr>
      <w:r>
        <w:t xml:space="preserve">Where actual decrypt-and-inspect capability (DLP, IDS/IPS signature matching, App-ID-style classification) is required for container egress, Cilium is not and cannot become that control point by design. Three patterns close this gap, in increasing order of centralization:</w:t>
      </w:r>
    </w:p>
    <w:p>
      <w:pPr>
        <w:pStyle w:val="ListParagraph"/>
        <w:numPr>
          <w:ilvl w:val="0"/>
          <w:numId w:val="3"/>
        </w:numPr>
        <w:spacing w:after="80"/>
      </w:pPr>
      <w:r>
        <w:t xml:space="preserve">Service-mesh sidecar TLS termination (Istio/Envoy mTLS boundary) — decrypt capability limited to mesh-managed east-west traffic; introduces a separate CA/cert-trust-domain governance problem.</w:t>
      </w:r>
    </w:p>
    <w:p>
      <w:pPr>
        <w:pStyle w:val="ListParagraph"/>
        <w:numPr>
          <w:ilvl w:val="0"/>
          <w:numId w:val="3"/>
        </w:numPr>
        <w:spacing w:after="80"/>
      </w:pPr>
      <w:r>
        <w:t xml:space="preserve">Dedicated egress gateway (Istio egress gateway, or a PA VM-series/Cloud NGFW instance as the mandatory cluster egress path) — Cilium's role narrows to guaranteeing the egress gateway is the only permitted path out; decrypt/DLP/App-ID happens at the gateway using the existing PAN-OS policy stack.</w:t>
      </w:r>
    </w:p>
    <w:p>
      <w:pPr>
        <w:pStyle w:val="ListParagraph"/>
        <w:numPr>
          <w:ilvl w:val="0"/>
          <w:numId w:val="3"/>
        </w:numPr>
        <w:spacing w:after="80"/>
      </w:pPr>
      <w:r>
        <w:t xml:space="preserve">NAT/proxy-chaining into the existing PA estate — cluster egress routed through a VM-series instance (cloud-native or on-prem) applying the same Content-ID/DLP/App-ID policy already governing traditional workloads.</w:t>
      </w:r>
    </w:p>
    <w:p>
      <w:pPr>
        <w:spacing w:after="160"/>
      </w:pPr>
      <w:r>
        <w:rPr>
          <w:i/>
          <w:iCs/>
        </w:rPr>
        <w:t xml:space="preserve">Treating "Cilium enforces network policy" as equivalent to "this traffic is inspected" would reproduce the Alert-All-SPG pattern in a new form: a control that appears to cover a case it does not actually cover. Any container-adoption security requirement should state the chosen egress/decrypt pattern explicitly rather than leaving it implicit.</w:t>
      </w:r>
    </w:p>
    <w:p>
      <w:pPr>
        <w:pStyle w:val="Heading1"/>
        <w:spacing w:after="160" w:before="360"/>
      </w:pPr>
      <w:r>
        <w:t xml:space="preserve">8. Encrypted-Traffic Inspection for Application Traffic</w:t>
      </w:r>
    </w:p>
    <w:p>
      <w:pPr>
        <w:pStyle w:val="Heading2"/>
        <w:spacing w:after="120" w:before="280"/>
      </w:pPr>
      <w:r>
        <w:t xml:space="preserve">8.1 The compliance model is client-centric; the risk surface is server-to-server</w:t>
      </w:r>
    </w:p>
    <w:p>
      <w:pPr>
        <w:spacing w:after="160"/>
      </w:pPr>
      <w:r>
        <w:t xml:space="preserve">PCI DSS 4.0 and the HIPAA Security Rule's network-control language were written against a threat model centered on a human-operated endpoint reaching a server: a workstation compromised via phishing, a user session accessing the CDE/ePHI environment. EDR, DLP-at-egress, and the decrypt-and-inspect firewall pattern all assume an endpoint with an OS, a user context, and behavior that deviates from a human-usage baseline.</w:t>
      </w:r>
    </w:p>
    <w:p>
      <w:pPr>
        <w:spacing w:after="160"/>
      </w:pPr>
      <w:r>
        <w:t xml:space="preserve">Server-to-server and pod-to-pod east-west traffic has none of that texture: no user session, no browser-behavior baseline, and traffic that is often legitimately regular and high-frequency — a signal profile indistinguishable, on its face, from C2 beaconing. Neither PCI nor HIPAA text was written against this threat surface; it has been retrofitted onto it via the existing decrypt-and-inspect compensating control, which is why containerized east-west traffic strains the model.</w:t>
      </w:r>
    </w:p>
    <w:p>
      <w:pPr>
        <w:pStyle w:val="Heading2"/>
        <w:spacing w:after="120" w:before="280"/>
      </w:pPr>
      <w:r>
        <w:t xml:space="preserve">8.2 Regulatory text does not mandate decryption — this is a load-bearing distinction</w:t>
      </w:r>
    </w:p>
    <w:p>
      <w:pPr>
        <w:spacing w:after="160"/>
      </w:pPr>
      <w:r>
        <w:t xml:space="preserve">Neither PCI DSS 4.0 nor HIPAA contains a provision requiring an intermediary to decrypt and inspect payment or health data in transit. PCI DSS Requirement 4.1 mandates strong cryptography to protect PAN in transit; Requirement 4.2.1/4.2.1.1 require certificate/key inventory and validity management — governance of encryption, not defeat of it. PCI's own IDS/IPS language (Requirement 11.4.7 area) explicitly lists real-time endpoint scanning, egress traffic filtering, and DLP tools as acceptable malware-communication-detection mechanisms, alongside network-based intrusion detection — none of which require network-layer decryption.</w:t>
      </w:r>
    </w:p>
    <w:p>
      <w:pPr>
        <w:spacing w:after="160"/>
      </w:pPr>
      <w:r>
        <w:rPr>
          <w:b/>
          <w:bCs/>
        </w:rPr>
        <w:t xml:space="preserve">The decrypt requirement in this estate's architecture is a compensating-control design choice (App-ID/Content-ID/DLP on PAN-OS requires decrypt to function), not an external regulatory mandate. This distinction should be stated explicitly and precisely in any leadership-facing material: the remediation path for "our chosen control depends on decrypt" is fundamentally different from the remediation path for "the regulation requires decrypt," and conflating the two forecloses options that are, in fact, available.</w:t>
      </w:r>
    </w:p>
    <w:p>
      <w:pPr>
        <w:pStyle w:val="Heading2"/>
        <w:spacing w:after="120" w:before="280"/>
      </w:pPr>
      <w:r>
        <w:t xml:space="preserve">8.3 Encrypted traffic analysis (ETA) — decrypt-free detection techniques</w:t>
      </w:r>
    </w:p>
    <w:p>
      <w:pPr>
        <w:spacing w:after="160"/>
      </w:pPr>
      <w:r>
        <w:t xml:space="preserve">A mature discipline exists for anomaly/behavioral detection without decryption. None of it substitutes for content-level signature matching, but several techniques directly close the gap for server/workload traffic:</w:t>
      </w:r>
    </w:p>
    <w:p>
      <w:pPr>
        <w:pStyle w:val="Heading3"/>
        <w:spacing w:after="100" w:before="200"/>
      </w:pPr>
      <w:r>
        <w:t xml:space="preserve">8.3.1 Handshake and certificate metadata (cleartext, pre-encryption)</w:t>
      </w:r>
    </w:p>
    <w:p>
      <w:pPr>
        <w:pStyle w:val="ListParagraph"/>
        <w:numPr>
          <w:ilvl w:val="0"/>
          <w:numId w:val="2"/>
        </w:numPr>
        <w:spacing w:after="80"/>
      </w:pPr>
      <w:r>
        <w:rPr>
          <w:b/>
          <w:bCs/>
        </w:rPr>
        <w:t xml:space="preserve">JA3/JA3S and JA4 TLS fingerprinting</w:t>
      </w:r>
      <w:r>
        <w:t xml:space="preserve"> — the TLS ClientHello/ServerHello (cipher suites, extensions, curve order) fingerprints the client/server library and version before encryption begins. Known malware C2 frameworks and non-browser TLS stacks carry distinct, catalogued JA3 signatures.</w:t>
      </w:r>
    </w:p>
    <w:p>
      <w:pPr>
        <w:pStyle w:val="ListParagraph"/>
        <w:numPr>
          <w:ilvl w:val="0"/>
          <w:numId w:val="2"/>
        </w:numPr>
        <w:spacing w:after="80"/>
      </w:pPr>
      <w:r>
        <w:rPr>
          <w:b/>
          <w:bCs/>
        </w:rPr>
        <w:t xml:space="preserve">SNI (Server Name Indication)</w:t>
      </w:r>
      <w:r>
        <w:t xml:space="preserve"> — sent in cleartext during the handshake even when the session body is encrypted; enables destination-domain policy enforcement and logging without decryption, and is the mechanism most "inspection-free" proxies already use for domain allow/deny.</w:t>
      </w:r>
    </w:p>
    <w:p>
      <w:pPr>
        <w:pStyle w:val="ListParagraph"/>
        <w:numPr>
          <w:ilvl w:val="0"/>
          <w:numId w:val="2"/>
        </w:numPr>
        <w:spacing w:after="80"/>
      </w:pPr>
      <w:r>
        <w:rPr>
          <w:b/>
          <w:bCs/>
        </w:rPr>
        <w:t xml:space="preserve">Certificate inspection</w:t>
      </w:r>
      <w:r>
        <w:t xml:space="preserve"> — self-signed certs, CN/SAN mismatch, unusually short validity, or untrusted CAs are visible pre-encryption and are strong anomaly indicators independent of payload content.</w:t>
      </w:r>
    </w:p>
    <w:p>
      <w:pPr>
        <w:pStyle w:val="Heading3"/>
        <w:spacing w:after="100" w:before="200"/>
      </w:pPr>
      <w:r>
        <w:t xml:space="preserve">8.3.2 Flow-behavioral / statistical analysis</w:t>
      </w:r>
    </w:p>
    <w:p>
      <w:pPr>
        <w:pStyle w:val="ListParagraph"/>
        <w:numPr>
          <w:ilvl w:val="0"/>
          <w:numId w:val="2"/>
        </w:numPr>
        <w:spacing w:after="80"/>
      </w:pPr>
      <w:r>
        <w:t xml:space="preserve">Packet size distribution, inter-arrival timing, and byte-count ratio analysis — the technical basis of NDR platforms (Darktrace, ExtraHop, Vectra, Corelight) and directly aligned with this program's existing beacon-heuristic/IRC C2 detection work under the IDS/IPS rebuild.</w:t>
      </w:r>
    </w:p>
    <w:p>
      <w:pPr>
        <w:pStyle w:val="ListParagraph"/>
        <w:numPr>
          <w:ilvl w:val="0"/>
          <w:numId w:val="2"/>
        </w:numPr>
        <w:spacing w:after="80"/>
      </w:pPr>
      <w:r>
        <w:t xml:space="preserve">Volume/direction asymmetry (e.g., a workload's outbound traffic suddenly exceeding its historical baseline) as a content-blind exfiltration signal.</w:t>
      </w:r>
    </w:p>
    <w:p>
      <w:pPr>
        <w:pStyle w:val="Heading3"/>
        <w:spacing w:after="100" w:before="200"/>
      </w:pPr>
      <w:r>
        <w:t xml:space="preserve">8.3.3 Workload/process-identity runtime detection</w:t>
      </w:r>
    </w:p>
    <w:p>
      <w:pPr>
        <w:pStyle w:val="ListParagraph"/>
        <w:numPr>
          <w:ilvl w:val="0"/>
          <w:numId w:val="2"/>
        </w:numPr>
        <w:spacing w:after="80"/>
      </w:pPr>
      <w:r>
        <w:rPr>
          <w:b/>
          <w:bCs/>
        </w:rPr>
        <w:t xml:space="preserve">Cilium Tetragon</w:t>
      </w:r>
      <w:r>
        <w:t xml:space="preserve"> — eBPF-based runtime security in the same project family as Cilium; hooks syscalls, process execution, file access, and network activity at the kernel level, independent of payload encryption. Detects unexpected process spawning, anomalous outbound socket use, privilege escalation, and unexpected sensitive-path file writes.</w:t>
      </w:r>
    </w:p>
    <w:p>
      <w:pPr>
        <w:pStyle w:val="ListParagraph"/>
        <w:numPr>
          <w:ilvl w:val="0"/>
          <w:numId w:val="2"/>
        </w:numPr>
        <w:spacing w:after="80"/>
      </w:pPr>
      <w:r>
        <w:rPr>
          <w:b/>
          <w:bCs/>
        </w:rPr>
        <w:t xml:space="preserve">Falco (CNCF)</w:t>
      </w:r>
      <w:r>
        <w:t xml:space="preserve"> — comparable eBPF/syscall-based detection; anomalous syscall patterns and unexpected outbound connections from a container.</w:t>
      </w:r>
    </w:p>
    <w:p>
      <w:pPr>
        <w:pStyle w:val="ListParagraph"/>
        <w:numPr>
          <w:ilvl w:val="0"/>
          <w:numId w:val="2"/>
        </w:numPr>
        <w:spacing w:after="80"/>
      </w:pPr>
      <w:r>
        <w:rPr>
          <w:i/>
          <w:iCs/>
        </w:rPr>
        <w:t xml:space="preserve">Maturity caveat: </w:t>
      </w:r>
      <w:r>
        <w:t xml:space="preserve">this category is genuinely immature relative to two decades of signature-based EDR. Baseline-building is largely manual (hand-written Falco rules/Tetragon tracing policies per workload type, which does not scale cleanly to a 1,000-tenant estate any better than hand-written firewall ACLs); false-positive rates against legitimate-but-unusual behavior (batch jobs, deploy-time scripts, autoscaling events) are high without deep per-application knowledge the estate does not currently have; and there is no mature, curated threat-intelligence feed comparable to commercial EDR threat feeds. This should be documented as an immature, probabilistic compensating control if adopted — not represented as IDS/IPS parity.</w:t>
      </w:r>
    </w:p>
    <w:p>
      <w:pPr>
        <w:pStyle w:val="Heading3"/>
        <w:spacing w:after="100" w:before="200"/>
      </w:pPr>
      <w:r>
        <w:t xml:space="preserve">8.3.4 DNS-layer visibility</w:t>
      </w:r>
    </w:p>
    <w:p>
      <w:pPr>
        <w:spacing w:after="160"/>
      </w:pPr>
      <w:r>
        <w:t xml:space="preserve">Outbound connections (absent DoH/DoT circumvention) generate a preceding, cleartext DNS lookup. High-entropy/DGA-pattern domains, anomalous query volume, and queries to newly-observed or known-bad domains are a long-standing decrypt-free detection layer, and align directly with Cilium's own FQDN-based egress policy mechanism — the same control surface can serve both segmentation and detection purposes.</w:t>
      </w:r>
    </w:p>
    <w:p>
      <w:pPr>
        <w:pStyle w:val="Heading2"/>
        <w:spacing w:after="120" w:before="280"/>
      </w:pPr>
      <w:r>
        <w:t xml:space="preserve">8.4 The irreducible ceiling</w:t>
      </w:r>
    </w:p>
    <w:p>
      <w:pPr>
        <w:spacing w:after="160"/>
      </w:pPr>
      <w:r>
        <w:t xml:space="preserve">None of the above confirms what specific data traversed an encrypted channel. If the compliance-relevant question is "did PAN or PHI leave via this connection," metadata and behavioral analysis can flag the connection as anomalous but cannot confirm or rule out data content. Closing that specific gap requires one of:</w:t>
      </w:r>
    </w:p>
    <w:p>
      <w:pPr>
        <w:pStyle w:val="ListParagraph"/>
        <w:numPr>
          <w:ilvl w:val="0"/>
          <w:numId w:val="3"/>
        </w:numPr>
        <w:spacing w:after="80"/>
      </w:pPr>
      <w:r>
        <w:t xml:space="preserve">A controlled decrypt boundary (egress gateway or service-mesh boundary, per Section 7.4) for the subset of traffic that is genuinely in-scope for PCI/HIPAA — paying the decrypt cost only where regulated data actually flows, rather than blanket-inspecting all east-west traffic; or</w:t>
      </w:r>
    </w:p>
    <w:p>
      <w:pPr>
        <w:pStyle w:val="ListParagraph"/>
        <w:numPr>
          <w:ilvl w:val="0"/>
          <w:numId w:val="3"/>
        </w:numPr>
        <w:spacing w:after="80"/>
      </w:pPr>
      <w:r>
        <w:t xml:space="preserve">Data minimization at the source — tokenization or field-level encryption of PAN/PHI before it reaches the network layer at all, such that the sensitive value is already rendered unreadable per PCI Requirement 3.4 regardless of what does or does not inspect the transport layer.</w:t>
      </w:r>
    </w:p>
    <w:p>
      <w:pPr>
        <w:pStyle w:val="Heading1"/>
        <w:spacing w:after="160" w:before="360"/>
      </w:pPr>
      <w:r>
        <w:t xml:space="preserve">9. Summary Recommendations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400"/>
      </w:tblGrid>
      <w:tr>
        <w:trPr>
          <w:cantSplit/>
          <w:tblHeader/>
        </w:trPr>
        <w:tc>
          <w:tcPr>
            <w:tcW w:type="dxa" w:w="2600"/>
            <w:shd w:fill="1F3864" w:val="clear"/>
            <w:tcMar>
              <w:top w:type="dxa" w:w="80"/>
              <w:left w:type="dxa" w:w="100"/>
              <w:bottom w:type="dxa" w:w="80"/>
              <w:right w:type="dxa" w:w="100"/>
            </w:tcMar>
            <w:vAlign w:val="center"/>
          </w:tcPr>
          <w:p>
            <w:pPr>
              <w:spacing w:after="0"/>
              <w:jc w:val="left"/>
            </w:pPr>
            <w:r>
              <w:rPr>
                <w:b/>
                <w:bCs/>
                <w:i w:val="false"/>
                <w:iCs w:val="false"/>
                <w:sz w:val="19"/>
                <w:szCs w:val="19"/>
              </w:rPr>
              <w:t xml:space="preserve">Decision area</w:t>
            </w:r>
          </w:p>
        </w:tc>
        <w:tc>
          <w:tcPr>
            <w:tcW w:type="dxa" w:w="3800"/>
            <w:shd w:fill="1F3864" w:val="clear"/>
            <w:tcMar>
              <w:top w:type="dxa" w:w="80"/>
              <w:left w:type="dxa" w:w="100"/>
              <w:bottom w:type="dxa" w:w="80"/>
              <w:right w:type="dxa" w:w="100"/>
            </w:tcMar>
            <w:vAlign w:val="center"/>
          </w:tcPr>
          <w:p>
            <w:pPr>
              <w:spacing w:after="0"/>
              <w:jc w:val="left"/>
            </w:pPr>
            <w:r>
              <w:rPr>
                <w:b/>
                <w:bCs/>
                <w:i w:val="false"/>
                <w:iCs w:val="false"/>
                <w:sz w:val="19"/>
                <w:szCs w:val="19"/>
              </w:rPr>
              <w:t xml:space="preserve">Recommendation</w:t>
            </w:r>
          </w:p>
        </w:tc>
        <w:tc>
          <w:tcPr>
            <w:tcW w:type="dxa" w:w="2400"/>
            <w:shd w:fill="1F3864" w:val="clear"/>
            <w:tcMar>
              <w:top w:type="dxa" w:w="80"/>
              <w:left w:type="dxa" w:w="100"/>
              <w:bottom w:type="dxa" w:w="80"/>
              <w:right w:type="dxa" w:w="100"/>
            </w:tcMar>
            <w:vAlign w:val="center"/>
          </w:tcPr>
          <w:p>
            <w:pPr>
              <w:spacing w:after="0"/>
              <w:jc w:val="left"/>
            </w:pPr>
            <w:r>
              <w:rPr>
                <w:b/>
                <w:bCs/>
                <w:i w:val="false"/>
                <w:iCs w:val="false"/>
                <w:sz w:val="19"/>
                <w:szCs w:val="19"/>
              </w:rPr>
              <w:t xml:space="preserve">Rationale (see section)</w:t>
            </w:r>
          </w:p>
        </w:tc>
      </w:tr>
      <w:tr>
        <w:trPr>
          <w:cantSplit/>
        </w:trPr>
        <w:tc>
          <w:tcPr>
            <w:tcW w:type="dxa" w:w="2600"/>
            <w:tcMar>
              <w:top w:type="dxa" w:w="80"/>
              <w:left w:type="dxa" w:w="100"/>
              <w:bottom w:type="dxa" w:w="80"/>
              <w:right w:type="dxa" w:w="100"/>
            </w:tcMar>
            <w:vAlign w:val="center"/>
          </w:tcPr>
          <w:p>
            <w:pPr>
              <w:spacing w:after="0"/>
              <w:jc w:val="left"/>
            </w:pPr>
            <w:r>
              <w:rPr>
                <w:b w:val="false"/>
                <w:bCs w:val="false"/>
                <w:i w:val="false"/>
                <w:iCs w:val="false"/>
                <w:sz w:val="19"/>
                <w:szCs w:val="19"/>
              </w:rPr>
              <w:t xml:space="preserve">On-prem server/workload microsegmentation — primary model</w:t>
            </w:r>
          </w:p>
        </w:tc>
        <w:tc>
          <w:tcPr>
            <w:tcW w:type="dxa" w:w="3800"/>
            <w:tcMar>
              <w:top w:type="dxa" w:w="80"/>
              <w:left w:type="dxa" w:w="100"/>
              <w:bottom w:type="dxa" w:w="80"/>
              <w:right w:type="dxa" w:w="100"/>
            </w:tcMar>
            <w:vAlign w:val="center"/>
          </w:tcPr>
          <w:p>
            <w:pPr>
              <w:spacing w:after="0"/>
              <w:jc w:val="left"/>
            </w:pPr>
            <w:r>
              <w:rPr>
                <w:b w:val="false"/>
                <w:bCs w:val="false"/>
                <w:i w:val="false"/>
                <w:iCs w:val="false"/>
                <w:sz w:val="19"/>
                <w:szCs w:val="19"/>
              </w:rPr>
              <w:t xml:space="preserve">Illumio or Akamai Guardicore (OS-native agent / proprietary-agent models); both are current analyst-validated Leaders</w:t>
            </w:r>
          </w:p>
        </w:tc>
        <w:tc>
          <w:tcPr>
            <w:tcW w:type="dxa" w:w="2400"/>
            <w:tcMar>
              <w:top w:type="dxa" w:w="80"/>
              <w:left w:type="dxa" w:w="100"/>
              <w:bottom w:type="dxa" w:w="80"/>
              <w:right w:type="dxa" w:w="100"/>
            </w:tcMar>
            <w:vAlign w:val="center"/>
          </w:tcPr>
          <w:p>
            <w:pPr>
              <w:spacing w:after="0"/>
              <w:jc w:val="left"/>
            </w:pPr>
            <w:r>
              <w:rPr>
                <w:b w:val="false"/>
                <w:bCs w:val="false"/>
                <w:i w:val="false"/>
                <w:iCs w:val="false"/>
                <w:sz w:val="19"/>
                <w:szCs w:val="19"/>
              </w:rPr>
              <w:t xml:space="preserve">Sections 4, 5</w:t>
            </w:r>
          </w:p>
        </w:tc>
      </w:tr>
      <w:tr>
        <w:trPr>
          <w:cantSplit/>
        </w:trPr>
        <w:tc>
          <w:tcPr>
            <w:tcW w:type="dxa" w:w="2600"/>
            <w:shd w:fill="F2F2F2" w:val="clear"/>
            <w:tcMar>
              <w:top w:type="dxa" w:w="80"/>
              <w:left w:type="dxa" w:w="100"/>
              <w:bottom w:type="dxa" w:w="80"/>
              <w:right w:type="dxa" w:w="100"/>
            </w:tcMar>
            <w:vAlign w:val="center"/>
          </w:tcPr>
          <w:p>
            <w:pPr>
              <w:spacing w:after="0"/>
              <w:jc w:val="left"/>
            </w:pPr>
            <w:r>
              <w:rPr>
                <w:b w:val="false"/>
                <w:bCs w:val="false"/>
                <w:i w:val="false"/>
                <w:iCs w:val="false"/>
                <w:sz w:val="19"/>
                <w:szCs w:val="19"/>
              </w:rPr>
              <w:t xml:space="preserve">Unisys Stealth</w:t>
            </w:r>
          </w:p>
        </w:tc>
        <w:tc>
          <w:tcPr>
            <w:tcW w:type="dxa" w:w="3800"/>
            <w:shd w:fill="F2F2F2" w:val="clear"/>
            <w:tcMar>
              <w:top w:type="dxa" w:w="80"/>
              <w:left w:type="dxa" w:w="100"/>
              <w:bottom w:type="dxa" w:w="80"/>
              <w:right w:type="dxa" w:w="100"/>
            </w:tcMar>
            <w:vAlign w:val="center"/>
          </w:tcPr>
          <w:p>
            <w:pPr>
              <w:spacing w:after="0"/>
              <w:jc w:val="left"/>
            </w:pPr>
            <w:r>
              <w:rPr>
                <w:b w:val="false"/>
                <w:bCs w:val="false"/>
                <w:i w:val="false"/>
                <w:iCs w:val="false"/>
                <w:sz w:val="19"/>
                <w:szCs w:val="19"/>
              </w:rPr>
              <w:t xml:space="preserve">Do not carry forward as a primary candidate</w:t>
            </w:r>
          </w:p>
        </w:tc>
        <w:tc>
          <w:tcPr>
            <w:tcW w:type="dxa" w:w="2400"/>
            <w:shd w:fill="F2F2F2" w:val="clear"/>
            <w:tcMar>
              <w:top w:type="dxa" w:w="80"/>
              <w:left w:type="dxa" w:w="100"/>
              <w:bottom w:type="dxa" w:w="80"/>
              <w:right w:type="dxa" w:w="100"/>
            </w:tcMar>
            <w:vAlign w:val="center"/>
          </w:tcPr>
          <w:p>
            <w:pPr>
              <w:spacing w:after="0"/>
              <w:jc w:val="left"/>
            </w:pPr>
            <w:r>
              <w:rPr>
                <w:b w:val="false"/>
                <w:bCs w:val="false"/>
                <w:i w:val="false"/>
                <w:iCs w:val="false"/>
                <w:sz w:val="19"/>
                <w:szCs w:val="19"/>
              </w:rPr>
              <w:t xml:space="preserve">Section 3.5</w:t>
            </w:r>
          </w:p>
        </w:tc>
      </w:tr>
      <w:tr>
        <w:trPr>
          <w:cantSplit/>
        </w:trPr>
        <w:tc>
          <w:tcPr>
            <w:tcW w:type="dxa" w:w="2600"/>
            <w:tcMar>
              <w:top w:type="dxa" w:w="80"/>
              <w:left w:type="dxa" w:w="100"/>
              <w:bottom w:type="dxa" w:w="80"/>
              <w:right w:type="dxa" w:w="100"/>
            </w:tcMar>
            <w:vAlign w:val="center"/>
          </w:tcPr>
          <w:p>
            <w:pPr>
              <w:spacing w:after="0"/>
              <w:jc w:val="left"/>
            </w:pPr>
            <w:r>
              <w:rPr>
                <w:b w:val="false"/>
                <w:bCs w:val="false"/>
                <w:i w:val="false"/>
                <w:iCs w:val="false"/>
                <w:sz w:val="19"/>
                <w:szCs w:val="19"/>
              </w:rPr>
              <w:t xml:space="preserve">Zscaler ZTE for on-prem data center segmentation</w:t>
            </w:r>
          </w:p>
        </w:tc>
        <w:tc>
          <w:tcPr>
            <w:tcW w:type="dxa" w:w="3800"/>
            <w:tcMar>
              <w:top w:type="dxa" w:w="80"/>
              <w:left w:type="dxa" w:w="100"/>
              <w:bottom w:type="dxa" w:w="80"/>
              <w:right w:type="dxa" w:w="100"/>
            </w:tcMar>
            <w:vAlign w:val="center"/>
          </w:tcPr>
          <w:p>
            <w:pPr>
              <w:spacing w:after="0"/>
              <w:jc w:val="left"/>
            </w:pPr>
            <w:r>
              <w:rPr>
                <w:b w:val="false"/>
                <w:bCs w:val="false"/>
                <w:i w:val="false"/>
                <w:iCs w:val="false"/>
                <w:sz w:val="19"/>
                <w:szCs w:val="19"/>
              </w:rPr>
              <w:t xml:space="preserve">Do not carry forward; consider Zero Trust Branch narrowly for OT/IoT only, in competition with Elisity/Zero Networks</w:t>
            </w:r>
          </w:p>
        </w:tc>
        <w:tc>
          <w:tcPr>
            <w:tcW w:type="dxa" w:w="2400"/>
            <w:tcMar>
              <w:top w:type="dxa" w:w="80"/>
              <w:left w:type="dxa" w:w="100"/>
              <w:bottom w:type="dxa" w:w="80"/>
              <w:right w:type="dxa" w:w="100"/>
            </w:tcMar>
            <w:vAlign w:val="center"/>
          </w:tcPr>
          <w:p>
            <w:pPr>
              <w:spacing w:after="0"/>
              <w:jc w:val="left"/>
            </w:pPr>
            <w:r>
              <w:rPr>
                <w:b w:val="false"/>
                <w:bCs w:val="false"/>
                <w:i w:val="false"/>
                <w:iCs w:val="false"/>
                <w:sz w:val="19"/>
                <w:szCs w:val="19"/>
              </w:rPr>
              <w:t xml:space="preserve">Section 6.4</w:t>
            </w:r>
          </w:p>
        </w:tc>
      </w:tr>
      <w:tr>
        <w:trPr>
          <w:cantSplit/>
        </w:trPr>
        <w:tc>
          <w:tcPr>
            <w:tcW w:type="dxa" w:w="2600"/>
            <w:shd w:fill="F2F2F2" w:val="clear"/>
            <w:tcMar>
              <w:top w:type="dxa" w:w="80"/>
              <w:left w:type="dxa" w:w="100"/>
              <w:bottom w:type="dxa" w:w="80"/>
              <w:right w:type="dxa" w:w="100"/>
            </w:tcMar>
            <w:vAlign w:val="center"/>
          </w:tcPr>
          <w:p>
            <w:pPr>
              <w:spacing w:after="0"/>
              <w:jc w:val="left"/>
            </w:pPr>
            <w:r>
              <w:rPr>
                <w:b w:val="false"/>
                <w:bCs w:val="false"/>
                <w:i w:val="false"/>
                <w:iCs w:val="false"/>
                <w:sz w:val="19"/>
                <w:szCs w:val="19"/>
              </w:rPr>
              <w:t xml:space="preserve">Container east-west (K8s)</w:t>
            </w:r>
          </w:p>
        </w:tc>
        <w:tc>
          <w:tcPr>
            <w:tcW w:type="dxa" w:w="3800"/>
            <w:shd w:fill="F2F2F2" w:val="clear"/>
            <w:tcMar>
              <w:top w:type="dxa" w:w="80"/>
              <w:left w:type="dxa" w:w="100"/>
              <w:bottom w:type="dxa" w:w="80"/>
              <w:right w:type="dxa" w:w="100"/>
            </w:tcMar>
            <w:vAlign w:val="center"/>
          </w:tcPr>
          <w:p>
            <w:pPr>
              <w:spacing w:after="0"/>
              <w:jc w:val="left"/>
            </w:pPr>
            <w:r>
              <w:rPr>
                <w:b w:val="false"/>
                <w:bCs w:val="false"/>
                <w:i w:val="false"/>
                <w:iCs w:val="false"/>
                <w:sz w:val="19"/>
                <w:szCs w:val="19"/>
              </w:rPr>
              <w:t xml:space="preserve">Adopt Cilium/eBPF for L3/L4 identity-based enforcement; do not treat as IDS/IPS or decrypt-capable</w:t>
            </w:r>
          </w:p>
        </w:tc>
        <w:tc>
          <w:tcPr>
            <w:tcW w:type="dxa" w:w="2400"/>
            <w:shd w:fill="F2F2F2" w:val="clear"/>
            <w:tcMar>
              <w:top w:type="dxa" w:w="80"/>
              <w:left w:type="dxa" w:w="100"/>
              <w:bottom w:type="dxa" w:w="80"/>
              <w:right w:type="dxa" w:w="100"/>
            </w:tcMar>
            <w:vAlign w:val="center"/>
          </w:tcPr>
          <w:p>
            <w:pPr>
              <w:spacing w:after="0"/>
              <w:jc w:val="left"/>
            </w:pPr>
            <w:r>
              <w:rPr>
                <w:b w:val="false"/>
                <w:bCs w:val="false"/>
                <w:i w:val="false"/>
                <w:iCs w:val="false"/>
                <w:sz w:val="19"/>
                <w:szCs w:val="19"/>
              </w:rPr>
              <w:t xml:space="preserve">Section 7.2</w:t>
            </w:r>
          </w:p>
        </w:tc>
      </w:tr>
      <w:tr>
        <w:trPr>
          <w:cantSplit/>
        </w:trPr>
        <w:tc>
          <w:tcPr>
            <w:tcW w:type="dxa" w:w="2600"/>
            <w:tcMar>
              <w:top w:type="dxa" w:w="80"/>
              <w:left w:type="dxa" w:w="100"/>
              <w:bottom w:type="dxa" w:w="80"/>
              <w:right w:type="dxa" w:w="100"/>
            </w:tcMar>
            <w:vAlign w:val="center"/>
          </w:tcPr>
          <w:p>
            <w:pPr>
              <w:spacing w:after="0"/>
              <w:jc w:val="left"/>
            </w:pPr>
            <w:r>
              <w:rPr>
                <w:b w:val="false"/>
                <w:bCs w:val="false"/>
                <w:i w:val="false"/>
                <w:iCs w:val="false"/>
                <w:sz w:val="19"/>
                <w:szCs w:val="19"/>
              </w:rPr>
              <w:t xml:space="preserve">Container egress decrypt/DLP/App-ID</w:t>
            </w:r>
          </w:p>
        </w:tc>
        <w:tc>
          <w:tcPr>
            <w:tcW w:type="dxa" w:w="3800"/>
            <w:tcMar>
              <w:top w:type="dxa" w:w="80"/>
              <w:left w:type="dxa" w:w="100"/>
              <w:bottom w:type="dxa" w:w="80"/>
              <w:right w:type="dxa" w:w="100"/>
            </w:tcMar>
            <w:vAlign w:val="center"/>
          </w:tcPr>
          <w:p>
            <w:pPr>
              <w:spacing w:after="0"/>
              <w:jc w:val="left"/>
            </w:pPr>
            <w:r>
              <w:rPr>
                <w:b w:val="false"/>
                <w:bCs w:val="false"/>
                <w:i w:val="false"/>
                <w:iCs w:val="false"/>
                <w:sz w:val="19"/>
                <w:szCs w:val="19"/>
              </w:rPr>
              <w:t xml:space="preserve">Route through a dedicated egress gateway or PA VM-series instance; do not rely on Cilium for this function</w:t>
            </w:r>
          </w:p>
        </w:tc>
        <w:tc>
          <w:tcPr>
            <w:tcW w:type="dxa" w:w="2400"/>
            <w:tcMar>
              <w:top w:type="dxa" w:w="80"/>
              <w:left w:type="dxa" w:w="100"/>
              <w:bottom w:type="dxa" w:w="80"/>
              <w:right w:type="dxa" w:w="100"/>
            </w:tcMar>
            <w:vAlign w:val="center"/>
          </w:tcPr>
          <w:p>
            <w:pPr>
              <w:spacing w:after="0"/>
              <w:jc w:val="left"/>
            </w:pPr>
            <w:r>
              <w:rPr>
                <w:b w:val="false"/>
                <w:bCs w:val="false"/>
                <w:i w:val="false"/>
                <w:iCs w:val="false"/>
                <w:sz w:val="19"/>
                <w:szCs w:val="19"/>
              </w:rPr>
              <w:t xml:space="preserve">Section 7.4</w:t>
            </w:r>
          </w:p>
        </w:tc>
      </w:tr>
      <w:tr>
        <w:trPr>
          <w:cantSplit/>
        </w:trPr>
        <w:tc>
          <w:tcPr>
            <w:tcW w:type="dxa" w:w="2600"/>
            <w:shd w:fill="F2F2F2" w:val="clear"/>
            <w:tcMar>
              <w:top w:type="dxa" w:w="80"/>
              <w:left w:type="dxa" w:w="100"/>
              <w:bottom w:type="dxa" w:w="80"/>
              <w:right w:type="dxa" w:w="100"/>
            </w:tcMar>
            <w:vAlign w:val="center"/>
          </w:tcPr>
          <w:p>
            <w:pPr>
              <w:spacing w:after="0"/>
              <w:jc w:val="left"/>
            </w:pPr>
            <w:r>
              <w:rPr>
                <w:b w:val="false"/>
                <w:bCs w:val="false"/>
                <w:i w:val="false"/>
                <w:iCs w:val="false"/>
                <w:sz w:val="19"/>
                <w:szCs w:val="19"/>
              </w:rPr>
              <w:t xml:space="preserve">Compliance framing (PCI/HIPAA)</w:t>
            </w:r>
          </w:p>
        </w:tc>
        <w:tc>
          <w:tcPr>
            <w:tcW w:type="dxa" w:w="3800"/>
            <w:shd w:fill="F2F2F2" w:val="clear"/>
            <w:tcMar>
              <w:top w:type="dxa" w:w="80"/>
              <w:left w:type="dxa" w:w="100"/>
              <w:bottom w:type="dxa" w:w="80"/>
              <w:right w:type="dxa" w:w="100"/>
            </w:tcMar>
            <w:vAlign w:val="center"/>
          </w:tcPr>
          <w:p>
            <w:pPr>
              <w:spacing w:after="0"/>
              <w:jc w:val="left"/>
            </w:pPr>
            <w:r>
              <w:rPr>
                <w:b w:val="false"/>
                <w:bCs w:val="false"/>
                <w:i w:val="false"/>
                <w:iCs w:val="false"/>
                <w:sz w:val="19"/>
                <w:szCs w:val="19"/>
              </w:rPr>
              <w:t xml:space="preserve">Correct internally: decrypt is a compensating-control design choice, not a regulatory mandate; document ETA techniques as an explicit, bounded compensating control where decrypt is not feasible</w:t>
            </w:r>
          </w:p>
        </w:tc>
        <w:tc>
          <w:tcPr>
            <w:tcW w:type="dxa" w:w="2400"/>
            <w:shd w:fill="F2F2F2" w:val="clear"/>
            <w:tcMar>
              <w:top w:type="dxa" w:w="80"/>
              <w:left w:type="dxa" w:w="100"/>
              <w:bottom w:type="dxa" w:w="80"/>
              <w:right w:type="dxa" w:w="100"/>
            </w:tcMar>
            <w:vAlign w:val="center"/>
          </w:tcPr>
          <w:p>
            <w:pPr>
              <w:spacing w:after="0"/>
              <w:jc w:val="left"/>
            </w:pPr>
            <w:r>
              <w:rPr>
                <w:b w:val="false"/>
                <w:bCs w:val="false"/>
                <w:i w:val="false"/>
                <w:iCs w:val="false"/>
                <w:sz w:val="19"/>
                <w:szCs w:val="19"/>
              </w:rPr>
              <w:t xml:space="preserve">Section 8.2, 8.4</w:t>
            </w:r>
          </w:p>
        </w:tc>
      </w:tr>
    </w:tbl>
    <w:p>
      <w:pPr>
        <w:spacing w:before="300"/>
      </w:pPr>
    </w:p>
    <w:p>
      <w:pPr>
        <w:pStyle w:val="Heading1"/>
        <w:spacing w:after="160" w:before="360"/>
      </w:pPr>
      <w:r>
        <w:t xml:space="preserve">10. Open Decisions Requiring Further Work</w:t>
      </w:r>
    </w:p>
    <w:p>
      <w:pPr>
        <w:pStyle w:val="ListParagraph"/>
        <w:numPr>
          <w:ilvl w:val="0"/>
          <w:numId w:val="2"/>
        </w:numPr>
        <w:spacing w:after="80"/>
      </w:pPr>
      <w:r>
        <w:t xml:space="preserve">POC scope and success criteria for Illumio vs. Akamai Guardicore against actual estate traffic (dependency-mapping accuracy against known application inventories should be the primary evaluation criterion, not raw enforcement capability).</w:t>
      </w:r>
    </w:p>
    <w:p>
      <w:pPr>
        <w:pStyle w:val="ListParagraph"/>
        <w:numPr>
          <w:ilvl w:val="0"/>
          <w:numId w:val="2"/>
        </w:numPr>
        <w:spacing w:after="80"/>
      </w:pPr>
      <w:r>
        <w:t xml:space="preserve">Direct vendor due-diligence question set for Zscaler: which capabilities trace to native ZPA, Edgewise-derived, and Airgap-derived code paths respectively, and what integration/re-architecture work has actually occurred since each acquisition.</w:t>
      </w:r>
    </w:p>
    <w:p>
      <w:pPr>
        <w:pStyle w:val="ListParagraph"/>
        <w:numPr>
          <w:ilvl w:val="0"/>
          <w:numId w:val="2"/>
        </w:numPr>
        <w:spacing w:after="80"/>
      </w:pPr>
      <w:r>
        <w:t xml:space="preserve">Formal position on K8s-native policy governance: how CiliumNetworkPolicy/NetworkPolicy definitions will be represented in, or reconciled against, Panorama/FPMS governance.</w:t>
      </w:r>
    </w:p>
    <w:p>
      <w:pPr>
        <w:pStyle w:val="ListParagraph"/>
        <w:numPr>
          <w:ilvl w:val="0"/>
          <w:numId w:val="2"/>
        </w:numPr>
        <w:spacing w:after="80"/>
      </w:pPr>
      <w:r>
        <w:t xml:space="preserve">Quantified cost/benefit of the egress-gateway decrypt pattern (Section 7.4) versus tokenization/data-minimization (Section 8.4) for the specific application workloads planned for containerization.</w:t>
      </w:r>
    </w:p>
    <w:p>
      <w:pPr>
        <w:pStyle w:val="ListParagraph"/>
        <w:numPr>
          <w:ilvl w:val="0"/>
          <w:numId w:val="2"/>
        </w:numPr>
        <w:spacing w:after="80"/>
      </w:pPr>
      <w:r>
        <w:t xml:space="preserve">Formal documentation, for QSA/compliance review, of the ETA compensating-control stack (Section 8.3) if adopted in place of network-layer decrypt for any in-scope traffic.</w:t>
      </w:r>
    </w:p>
    <w:p>
      <w:pPr>
        <w:spacing w:before="400"/>
      </w:pPr>
    </w:p>
    <w:p>
      <w:pPr>
        <w:pBdr>
          <w:bottom w:val="single" w:color="999999" w:sz="6" w:space="1"/>
        </w:pBdr>
        <w:spacing w:after="200" w:before="100"/>
      </w:pPr>
    </w:p>
    <w:p>
      <w:pPr>
        <w:spacing w:before="100"/>
      </w:pPr>
      <w:r>
        <w:rPr>
          <w:i/>
          <w:iCs/>
          <w:color w:val="808080"/>
          <w:sz w:val="18"/>
          <w:szCs w:val="18"/>
        </w:rPr>
        <w:t xml:space="preserve">Prepared as a technical architecture survey in support of NAC/ZTNA modernization and container-adoption security planning. Cross-reference: 3plz-vendor-evaluation, nac-ztna-fpms, panos-dlp-decrypt-migration, cvs-netsec-context.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2026-08-27T15:16:34.252Z</dcterms:created>
  <dcterms:modified xsi:type="dcterms:W3CDTF">2026-08-27T15:16:34.253Z</dcterms:modified>
</cp:coreProperties>
</file>

<file path=docProps/custom.xml><?xml version="1.0" encoding="utf-8"?>
<Properties xmlns="http://schemas.openxmlformats.org/officeDocument/2006/custom-properties" xmlns:vt="http://schemas.openxmlformats.org/officeDocument/2006/docPropsVTypes"/>
</file>