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left w:val="single" w:color="17447C" w:sz="24" w:space="12"/>
        </w:pBdr>
        <w:spacing w:after="60"/>
        <w:ind w:left="280"/>
      </w:pPr>
      <w:r>
        <w:rPr>
          <w:rFonts w:ascii="Arial" w:cs="Arial" w:eastAsia="Arial" w:hAnsi="Arial"/>
          <w:b w:val="false"/>
          <w:bCs w:val="false"/>
          <w:color w:val="595959"/>
          <w:sz w:val="18"/>
          <w:szCs w:val="18"/>
        </w:rPr>
        <w:t xml:space="preserve">CVS Health  |  Information Security</w:t>
      </w:r>
    </w:p>
    <w:p>
      <w:pPr>
        <w:pBdr>
          <w:left w:val="single" w:color="17447C" w:sz="24" w:space="12"/>
        </w:pBdr>
        <w:spacing w:after="60"/>
        <w:ind w:left="280"/>
      </w:pPr>
      <w:r>
        <w:rPr>
          <w:rFonts w:ascii="Arial" w:cs="Arial" w:eastAsia="Arial" w:hAnsi="Arial"/>
          <w:b w:val="false"/>
          <w:bCs w:val="false"/>
          <w:color w:val="404040"/>
          <w:sz w:val="44"/>
          <w:szCs w:val="44"/>
        </w:rPr>
        <w:t xml:space="preserve">Aetna Palo Alto Security Policy Findings</w:t>
      </w:r>
    </w:p>
    <w:p>
      <w:pPr>
        <w:pBdr>
          <w:left w:val="single" w:color="17447C" w:sz="24" w:space="12"/>
        </w:pBdr>
        <w:spacing w:after="60"/>
        <w:ind w:left="280"/>
      </w:pPr>
      <w:r>
        <w:rPr>
          <w:rFonts w:ascii="Arial" w:cs="Arial" w:eastAsia="Arial" w:hAnsi="Arial"/>
          <w:b w:val="false"/>
          <w:bCs w:val="false"/>
          <w:color w:val="17447C"/>
          <w:sz w:val="28"/>
          <w:szCs w:val="28"/>
        </w:rPr>
        <w:t xml:space="preserve">Threat / File / DLP / Content State  +  Internet-Facing Interface Discovery — MID / WIN</w:t>
      </w:r>
    </w:p>
    <w:p>
      <w:pPr>
        <w:pBdr>
          <w:left w:val="single" w:color="17447C" w:sz="24" w:space="12"/>
        </w:pBdr>
        <w:spacing w:after="480"/>
        <w:ind w:left="280"/>
      </w:pPr>
      <w:r>
        <w:rPr>
          <w:rFonts w:ascii="Arial" w:cs="Arial" w:eastAsia="Arial" w:hAnsi="Arial"/>
          <w:b w:val="false"/>
          <w:bCs w:val="false"/>
          <w:color w:val="595959"/>
          <w:sz w:val="18"/>
          <w:szCs w:val="18"/>
        </w:rPr>
        <w:t xml:space="preserve">August 2026  –  CCD Platform Firewall Estate Review  |  Cyber Command &amp; Defense</w:t>
      </w:r>
    </w:p>
    <w:p>
      <w:pPr>
        <w:pStyle w:val="Heading1"/>
        <w:pBdr>
          <w:bottom w:val="single" w:color="17447C" w:sz="4" w:space="4"/>
        </w:pBdr>
      </w:pPr>
      <w:r>
        <w:rPr>
          <w:rFonts w:ascii="Arial" w:cs="Arial" w:eastAsia="Arial" w:hAnsi="Arial"/>
          <w:b w:val="false"/>
          <w:bCs w:val="false"/>
          <w:color w:val="404040"/>
          <w:sz w:val="30"/>
          <w:szCs w:val="30"/>
        </w:rPr>
        <w:t xml:space="preserve">Scope &amp; Methodology</w:t>
      </w:r>
    </w:p>
    <w:p>
      <w:pPr>
        <w:spacing w:after="100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Verifies and extends prior security-policy findings for the Aetna Cluster B Palo Alto firewalls — MID-PAN-PROD-01 (Middletown CT) and WIN-PAN-PROD-01 (Windsor CT) — against the live Panorama configuration exported 2026-07-31, covering all 2,183 security rules across the seven live "mid-*"/"win-*" device-groups shared between the two firewalls.</w:t>
      </w:r>
    </w:p>
    <w:p>
      <w:pPr>
        <w:spacing w:after="100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This edition breaks the prior single "alert-only profile" figure out into its four constituent PAN-OS policy categories — threat, content (URL-filtering), file-blocking, and data-filtering (DLP) — and adds a closed-out discovery pass identifying every real, non-RFC1918 IP address these firewalls directly expose or terminate.</w:t>
      </w:r>
    </w:p>
    <w:p>
      <w:r>
        <w:t xml:space="preserve"/>
      </w:r>
    </w:p>
    <w:p>
      <w:pPr>
        <w:pStyle w:val="Heading1"/>
        <w:pBdr>
          <w:bottom w:val="single" w:color="17447C" w:sz="4" w:space="4"/>
        </w:pBdr>
      </w:pPr>
      <w:r>
        <w:rPr>
          <w:rFonts w:ascii="Arial" w:cs="Arial" w:eastAsia="Arial" w:hAnsi="Arial"/>
          <w:b w:val="false"/>
          <w:bCs w:val="false"/>
          <w:color w:val="404040"/>
          <w:sz w:val="30"/>
          <w:szCs w:val="30"/>
        </w:rPr>
        <w:t xml:space="preserve">Part 1 — Threat / File / DLP / Content Policy State</w:t>
      </w:r>
    </w:p>
    <w:p>
      <w:pPr>
        <w:spacing w:after="100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Every allow rule's profile-setting group was resolved to its actual PAN-OS profile-object definitions (not inferred from group naming) and checked for whether each of the four policy categories is configured at all, and whether the profile it points to is alert-only or enforcing. 2,109 allow rules in scope.</w:t>
      </w:r>
    </w:p>
    <w:p>
      <w:r>
        <w:t xml:space="preserve"/>
      </w:r>
    </w:p>
    <w:tbl>
      <w:tblPr>
        <w:tblW w:type="dxa" w:w="136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2600"/>
        <w:gridCol w:w="2200"/>
        <w:gridCol w:w="4680"/>
      </w:tblGrid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7447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Policy Category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7447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Coverage (% of allow rules)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7447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Typical Mode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7447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Threat (AV / anti-spyware / vulnerability)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99.2%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alert-only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Detects, does not block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Content / URL-filtering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6.2%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mixed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6.2% of rules have any category filtering at all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File-blocking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1%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mixed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99% of allow rules have no file-type control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Data-filtering (DLP)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0%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n/a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Zero rules reference a data-filtering profile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Wildfire (unknown-file analysis)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6.2%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alert-only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Same 6.2% subset as URL-filtering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 w:val="false"/>
          <w:bCs w:val="false"/>
          <w:color w:val="404040"/>
          <w:sz w:val="24"/>
          <w:szCs w:val="24"/>
        </w:rPr>
        <w:t xml:space="preserve">Threat Prevention — Broad Coverage, No Enforcement</w:t>
      </w:r>
    </w:p>
    <w:p>
      <w:pPr>
        <w:spacing w:after="100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99.2% of allow rules reference antivirus, anti-spyware, and vulnerability-protection profiles. All three dominant groups (hcb_DMZ_security_profile, hcb_GLR_security_profile, hcb_officeext_security_profile — 95.1% of all rules) resolve to profile objects literally named alert-only-av, alert_spy, and alert_vulnerablity. Confirmed directly against the live config: these profiles detect and log: they do not reset, drop, or block matched traffic.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 w:val="false"/>
          <w:bCs w:val="false"/>
          <w:color w:val="404040"/>
          <w:sz w:val="24"/>
          <w:szCs w:val="24"/>
        </w:rPr>
        <w:t xml:space="preserve">Content, File, and DLP — Coverage Gap, Not Just an Enforcement Gap</w:t>
      </w:r>
    </w:p>
    <w:p>
      <w:pPr>
        <w:spacing w:after="100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Unlike threat prevention, content (URL-filtering), file-blocking, and DLP (data-filtering) are not broadly configured at alert-only strength — they are largely absent. Only 6.2% of allow rules have any URL-category filtering; only 1% have any file-type control; 0% have a data-filtering profile of any kind. hcb_DMZ_security_profile and hcb_GLR_security_profile — the two groups covering ~90% of all rules — configure none of these three categories at all; the fields are simply absent from their definitions, not set to a permissive value.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 w:val="false"/>
          <w:bCs w:val="false"/>
          <w:color w:val="404040"/>
          <w:sz w:val="24"/>
          <w:szCs w:val="24"/>
        </w:rPr>
        <w:t xml:space="preserve">Where Controls Exist, They Are Real — Not Alert-Only</w:t>
      </w:r>
    </w:p>
    <w:p>
      <w:pPr>
        <w:spacing w:after="100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The small subset of rules using the SPG-Proxy-* profile groups (proxy/web-egress traffic) is the exception in both directions: these groups DO configure content, file-blocking, and wildfire, AND the referenced profiles are genuinely enforcing. Confirmed directly against the live config: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AV_Best_Practice_SP: SMTP/SMB/POP3/IMAP decoders all set to action reset-both — not alert.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File_Blocking_Best_Practice_SP: blocks high-risk file types (exe, dll, scr, jar, encrypted archives, etc.) outright — action block.</w:t>
      </w:r>
    </w:p>
    <w:p>
      <w:pPr>
        <w:spacing w:after="100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This means the ruleset is not uniformly alert-only by policy — it is uniformly alert-only specifically where hcb_DMZ/hcb_GLR/hcb_officeext apply (the bulk of traffic), and genuinely enforcing where SPG-Proxy-* applies (a small, specific slice). The gap is concentrated, not universal — which narrows where remediation would need to focus.</w:t>
      </w:r>
    </w:p>
    <w:p>
      <w:r>
        <w:t xml:space="preserve"/>
      </w:r>
    </w:p>
    <w:p>
      <w:pPr>
        <w:pStyle w:val="Heading1"/>
        <w:pBdr>
          <w:bottom w:val="single" w:color="17447C" w:sz="4" w:space="4"/>
        </w:pBdr>
      </w:pPr>
      <w:r>
        <w:rPr>
          <w:rFonts w:ascii="Arial" w:cs="Arial" w:eastAsia="Arial" w:hAnsi="Arial"/>
          <w:b w:val="false"/>
          <w:bCs w:val="false"/>
          <w:color w:val="404040"/>
          <w:sz w:val="30"/>
          <w:szCs w:val="30"/>
        </w:rPr>
        <w:t xml:space="preserve">Part 2 — Internet-Facing Interface Discovery (Closed Out)</w:t>
      </w:r>
    </w:p>
    <w:p>
      <w:pPr>
        <w:spacing w:after="100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Closes the open discovery thread on which addresses these firewalls directly expose to or terminate from the public internet. Two distinct categories, from two different sources — a literal-interface sweep and the NAT-rulebase gateway scan built earlier in this engagement: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 w:val="false"/>
          <w:bCs w:val="false"/>
          <w:color w:val="404040"/>
          <w:sz w:val="24"/>
          <w:szCs w:val="24"/>
        </w:rPr>
        <w:t xml:space="preserve">Category A — Literal Data-Plane Interface IPs</w:t>
      </w:r>
    </w:p>
    <w:p>
      <w:pPr>
        <w:spacing w:after="100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Pulled from FW-INTERFACE-INVENTORY, filtered to real public (non-RFC1918) addresses, data-plane interfaces only (management/admin interfaces excluded — out-of-band access, not traffic-facing), and HA-pair deduplicated. 9 distinct addresses across the two firewalls:</w:t>
      </w:r>
    </w:p>
    <w:tbl>
      <w:tblPr>
        <w:tblW w:type="dxa" w:w="136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3800"/>
        <w:gridCol w:w="2800"/>
        <w:gridCol w:w="3280"/>
      </w:tblGrid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7447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Firewall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7447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Interface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7447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Public IP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7447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Location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mid-fw-dmz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aggregate-ethernet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206.213.252.20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Middletown CT - Aetna MDC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mid-fw-glr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aggregate-ethernet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206.213.199.121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Middletown CT - Aetna MDC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mid-fw-glr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ethernet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206.213.251.121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Middletown CT - Aetna MDC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mid-fw-officeext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ethernet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206.213.251.77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Middletown CT - Aetna MDC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win-fw-cvs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aggregate-ethernet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206.213.229.11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Windsor CT - Aetna WDC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win-fw-dmz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aggregate-ethernet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206.213.210.20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Windsor CT - Aetna WDC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win-fw-glr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ethernet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206.213.209.121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Windsor CT - Aetna WDC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win-fw-glr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aggregate-ethernet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206.213.199.221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Windsor CT - Aetna WDC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win-fw-officeext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ethernet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206.213.209.77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Windsor CT - Aetna WDC</w:t>
            </w:r>
          </w:p>
        </w:tc>
      </w:tr>
    </w:tbl>
    <w:p>
      <w:pPr>
        <w:spacing w:after="100"/>
      </w:pPr>
      <w:r>
        <w:rPr>
          <w:rFonts w:ascii="Arial" w:cs="Arial" w:eastAsia="Arial" w:hAnsi="Arial"/>
          <w:i/>
          <w:iCs/>
          <w:color w:val="AAAAAA"/>
          <w:sz w:val="20"/>
          <w:szCs w:val="20"/>
        </w:rPr>
        <w:t xml:space="preserve">Zone assignment was not reliably captured for these rows in the source inventory — a known limitation of that dataset, not confirmed here as "no zone configured." Recommend a follow-up pull of zone bindings directly from the interface config if these need individual internet-vs-DMZ classification.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 w:val="false"/>
          <w:bCs w:val="false"/>
          <w:color w:val="404040"/>
          <w:sz w:val="24"/>
          <w:szCs w:val="24"/>
        </w:rPr>
        <w:t xml:space="preserve">Category B — NAT-Rulebase Gateway Objects (SD-WAN / VPN Hub Gateways)</w:t>
      </w:r>
    </w:p>
    <w:p>
      <w:pPr>
        <w:spacing w:after="100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Built earlier via a vendor-agnostic structural scan (real public IP, paired identity-NAT rule with no translation, VPN/tunnel-zone crossing) against the full Panorama export. 24 confirmed addresses, by device-group:</w:t>
      </w:r>
    </w:p>
    <w:tbl>
      <w:tblPr>
        <w:tblW w:type="dxa" w:w="136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0"/>
        <w:gridCol w:w="3680"/>
      </w:tblGrid>
      <w:tr>
        <w:tc>
          <w:tcPr>
            <w:tcW w:type="dxa" w:w="10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7447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Device-Group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7447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Gateway Count</w:t>
            </w:r>
          </w:p>
        </w:tc>
      </w:tr>
      <w:tr>
        <w:tc>
          <w:tcPr>
            <w:tcW w:type="dxa" w:w="10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mid-fw-officeext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14</w:t>
            </w:r>
          </w:p>
        </w:tc>
      </w:tr>
      <w:tr>
        <w:tc>
          <w:tcPr>
            <w:tcW w:type="dxa" w:w="10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win-fw-officeext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9</w:t>
            </w:r>
          </w:p>
        </w:tc>
      </w:tr>
      <w:tr>
        <w:tc>
          <w:tcPr>
            <w:tcW w:type="dxa" w:w="10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mid-fw-officeext|win-fw-officeext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1</w:t>
            </w:r>
          </w:p>
        </w:tc>
      </w:tr>
    </w:tbl>
    <w:p>
      <w:pPr>
        <w:spacing w:after="100"/>
      </w:pPr>
      <w:r>
        <w:rPr>
          <w:rFonts w:ascii="Arial" w:cs="Arial" w:eastAsia="Arial" w:hAnsi="Arial"/>
          <w:i/>
          <w:iCs/>
          <w:color w:val="AAAAAA"/>
          <w:sz w:val="20"/>
          <w:szCs w:val="20"/>
        </w:rPr>
        <w:t xml:space="preserve">These are structurally distinct from Category A: Category A addresses are configured directly on a physical interface; Category B addresses are matched via NAT-rulebase rules with no actual translation applied (the address is real and public on both sides of the rule) and correspond to SD-WAN/VPN hub gateway objects, not the firewall's own interfaces.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 w:val="false"/>
          <w:bCs w:val="false"/>
          <w:color w:val="404040"/>
          <w:sz w:val="24"/>
          <w:szCs w:val="24"/>
        </w:rPr>
        <w:t xml:space="preserve">Combined Public-IP Surface — MID / WIN</w:t>
      </w:r>
    </w:p>
    <w:p>
      <w:pPr>
        <w:spacing w:after="100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33 total distinct real public IP addresses identified as directly exposed to or terminated by these two firewalls (9 literal interfaces + 24 NAT-rulebase gateway objects, no overlap between the two categories). This is the full set now confirmed and closed out; earlier open questions about a single address (206.213.254.41) have been resolved into this broader, complete inventory rather than left as an isolated finding.</w:t>
      </w:r>
    </w:p>
    <w:p>
      <w:r>
        <w:t xml:space="preserve"/>
      </w:r>
    </w:p>
    <w:p>
      <w:pPr>
        <w:pStyle w:val="Heading1"/>
        <w:pBdr>
          <w:bottom w:val="single" w:color="17447C" w:sz="4" w:space="4"/>
        </w:pBdr>
      </w:pPr>
      <w:r>
        <w:rPr>
          <w:rFonts w:ascii="Arial" w:cs="Arial" w:eastAsia="Arial" w:hAnsi="Arial"/>
          <w:b w:val="false"/>
          <w:bCs w:val="false"/>
          <w:color w:val="404040"/>
          <w:sz w:val="30"/>
          <w:szCs w:val="30"/>
        </w:rPr>
        <w:t xml:space="preserve">Summary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Threat prevention: 99.2% coverage, uniformly alert-only across the bulk of the ruleset.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Content, file, and DLP controls: 6.2% / 1% / 0% coverage respectively — a coverage gap, not an enforcement gap, concentrated in the two dominant profile groups (hcb_DMZ, hcb_GLR).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Where content/file controls do exist (SPG-Proxy-* groups), they are genuinely enforcing (block/reset-both), not alert-only — the gap is structural (missing profile assignment), not a policy choice to alert instead of block.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Internet-facing interface discovery closed: 9 literal data-plane public IPs + 24 NAT-rulebase gateway objects = 33 total confirmed public-facing addresses across MID/WIN.</w:t>
      </w:r>
    </w:p>
    <w:p>
      <w:r>
        <w:t xml:space="preserve"/>
      </w:r>
    </w:p>
    <w:p>
      <w:pPr>
        <w:spacing w:after="100"/>
      </w:pPr>
      <w:r>
        <w:rPr>
          <w:rFonts w:ascii="Arial" w:cs="Arial" w:eastAsia="Arial" w:hAnsi="Arial"/>
          <w:i/>
          <w:iCs/>
          <w:color w:val="AAAAAA"/>
          <w:sz w:val="20"/>
          <w:szCs w:val="20"/>
        </w:rPr>
        <w:t xml:space="preserve">Prepared by: CCD Platform  |  Data source: MID-PAN-PROD-01_20260731_060310.config, WIN-PAN-PROD-01_20260731_060108.config, ent-ipdataset-FW-INTERFACE-INVENTORY-v20260803, ent-ipdataset-SDWAN-GATEWAYS-v20260805r4  |  August 2026</w:t>
      </w:r>
    </w:p>
    <w:sectPr>
      <w:pgSz w:w="15840" w:h="122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20"/>
      <w:outlineLvl w:val="0"/>
    </w:pPr>
    <w:rPr>
      <w:rFonts w:ascii="Arial" w:cs="Arial" w:eastAsia="Arial" w:hAnsi="Arial"/>
      <w:b w:val="false"/>
      <w:bCs w:val="false"/>
      <w:color w:val="404040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40"/>
      <w:outlineLvl w:val="1"/>
    </w:pPr>
    <w:rPr>
      <w:rFonts w:ascii="Arial" w:cs="Arial" w:eastAsia="Arial" w:hAnsi="Arial"/>
      <w:b w:val="false"/>
      <w:bCs w:val="false"/>
      <w:color w:val="40404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2026-08-06T18:38:30.738Z</dcterms:created>
  <dcterms:modified xsi:type="dcterms:W3CDTF">2026-08-06T18:38:30.738Z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