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23364D"/>
          <w:sz w:val="38"/>
          <w:szCs w:val="38"/>
        </w:rPr>
        <w:t xml:space="preserve">PCI Network Security Current State Assessment</w:t>
      </w:r>
    </w:p>
    <w:p>
      <w:pPr>
        <w:pStyle w:val="Subtitle"/>
      </w:pPr>
      <w:r>
        <w:rPr>
          <w:rFonts w:ascii="Arial" w:cs="Arial" w:eastAsia="Arial" w:hAnsi="Arial"/>
          <w:color w:val="2F5D7C"/>
          <w:sz w:val="22"/>
          <w:szCs w:val="22"/>
        </w:rPr>
        <w:t xml:space="preserve">Firewall, IDS/IPS, Akamai CDN, and Web Application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3F4F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Purpose</w:t>
            </w:r>
          </w:p>
        </w:tc>
        <w:tc>
          <w:tcPr>
            <w:tcW w:type="dxa" w:w="77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Replace the prior current-state assessment with a concise, evidence-qualified description of how firewall, IDS/IPS, Akamai CDN, and WAF functions are implemented across the PCI environment.</w:t>
            </w:r>
          </w:p>
        </w:tc>
      </w:tr>
      <w:tr>
        <w:tc>
          <w:tcPr>
            <w:tcW w:type="dxa" w:w="1600"/>
            <w:tcBorders>
              <w:top w:val="none" w:color="FFFFFF" w:sz="0"/>
              <w:left w:val="none" w:color="FFFFFF" w:sz="0"/>
              <w:bottom w:val="none" w:color="FFFFFF" w:sz="0"/>
              <w:right w:val="none" w:color="FFFFFF" w:sz="0"/>
            </w:tcBorders>
            <w:shd w:fill="F3F4F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Audience</w:t>
            </w:r>
          </w:p>
        </w:tc>
        <w:tc>
          <w:tcPr>
            <w:tcW w:type="dxa" w:w="77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PCI assessors, internal audit, risk and compliance, control owners, and network security operations.</w:t>
            </w:r>
          </w:p>
        </w:tc>
      </w:tr>
      <w:tr>
        <w:tc>
          <w:tcPr>
            <w:tcW w:type="dxa" w:w="1600"/>
            <w:tcBorders>
              <w:top w:val="none" w:color="FFFFFF" w:sz="0"/>
              <w:left w:val="none" w:color="FFFFFF" w:sz="0"/>
              <w:bottom w:val="none" w:color="FFFFFF" w:sz="0"/>
              <w:right w:val="none" w:color="FFFFFF" w:sz="0"/>
            </w:tcBorders>
            <w:shd w:fill="F3F4F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Document status</w:t>
            </w:r>
          </w:p>
        </w:tc>
        <w:tc>
          <w:tcPr>
            <w:tcW w:type="dxa" w:w="77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Replacement Current State Assessment | Draft for validation and audit use | September 2026</w:t>
            </w:r>
          </w:p>
        </w:tc>
      </w:tr>
    </w:tbl>
    <w:p>
      <w:pPr>
        <w:pStyle w:val="Heading1"/>
        <w:keepNext/>
      </w:pPr>
      <w:r>
        <w:rPr>
          <w:rFonts w:ascii="Arial" w:cs="Arial" w:eastAsia="Arial" w:hAnsi="Arial"/>
          <w:b/>
          <w:bCs/>
          <w:color w:val="23364D"/>
        </w:rPr>
        <w:t xml:space="preserve">Assessment Scope and Method</w:t>
      </w:r>
    </w:p>
    <w:p>
      <w:pPr>
        <w:spacing w:after="100" w:line="280"/>
      </w:pPr>
      <w:r>
        <w:rPr>
          <w:rFonts w:ascii="Arial" w:cs="Arial" w:eastAsia="Arial" w:hAnsi="Arial"/>
          <w:color w:val="3F4650"/>
          <w:sz w:val="20"/>
          <w:szCs w:val="20"/>
        </w:rPr>
        <w:t xml:space="preserve">This assessment consolidates the prior current-state and operational-model documents, the attached FMC access-control and prefilter exports, and architecture clarification supplied by Network Security Engineering. It distinguishes configuration-supported observations from intended design statements and identifies evidence still required to demonstrate operating effectiveness.</w:t>
      </w:r>
    </w:p>
    <w:p>
      <w:pPr>
        <w:pStyle w:val="Heading1"/>
        <w:keepNext/>
      </w:pPr>
      <w:r>
        <w:rPr>
          <w:rFonts w:ascii="Arial" w:cs="Arial" w:eastAsia="Arial" w:hAnsi="Arial"/>
          <w:b/>
          <w:bCs/>
          <w:color w:val="23364D"/>
        </w:rPr>
        <w:t xml:space="preserve">Executive Summary</w:t>
      </w:r>
    </w:p>
    <w:p>
      <w:pPr>
        <w:spacing w:after="100" w:line="280"/>
      </w:pPr>
      <w:r>
        <w:rPr>
          <w:rFonts w:ascii="Arial" w:cs="Arial" w:eastAsia="Arial" w:hAnsi="Arial"/>
          <w:color w:val="3F4650"/>
          <w:sz w:val="20"/>
          <w:szCs w:val="20"/>
        </w:rPr>
        <w:t xml:space="preserve">The current PCI network security implementation is not uniform across locations. Akamai is designated as the CDN and WAF for public-facing applications. Enterprise firewalls provide admission control and segmentation, but the boundary enforced by the PCI firewall varies by site. IDS/IPS coverage also varies by policy, and the reviewed exports show Detection-mode inspection rather than Prevention mode wherever an inspection mode is populated.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6DC" w:sz="4"/>
              <w:left w:val="single" w:color="2F5D7C" w:sz="18"/>
              <w:bottom w:val="single" w:color="D2D6DC" w:sz="4"/>
              <w:right w:val="single" w:color="D2D6DC" w:sz="4"/>
            </w:tcBorders>
            <w:shd w:fill="EAF1F5" w:val="clear"/>
            <w:tcMar>
              <w:top w:type="dxa" w:w="140"/>
              <w:left w:type="dxa" w:w="180"/>
              <w:bottom w:type="dxa" w:w="140"/>
              <w:right w:type="dxa" w:w="180"/>
            </w:tcMar>
          </w:tcPr>
          <w:p>
            <w:pPr>
              <w:spacing w:after="0" w:line="280"/>
            </w:pPr>
            <w:r>
              <w:rPr>
                <w:rFonts w:ascii="Arial" w:cs="Arial" w:eastAsia="Arial" w:hAnsi="Arial"/>
                <w:b/>
                <w:bCs/>
                <w:color w:val="23364D"/>
                <w:sz w:val="19"/>
                <w:szCs w:val="19"/>
              </w:rPr>
              <w:t xml:space="preserve">Assessment conclusion: </w:t>
            </w:r>
            <w:r>
              <w:rPr>
                <w:rFonts w:ascii="Arial" w:cs="Arial" w:eastAsia="Arial" w:hAnsi="Arial"/>
                <w:color w:val="3F4650"/>
                <w:sz w:val="19"/>
                <w:szCs w:val="19"/>
              </w:rPr>
              <w:t xml:space="preserve">The environment uses layered controls, but neither firewall segmentation nor IDS/IPS operation can be represented as one standardized implementation across all sites. Audit testing must be based on the actual location, policy, protected boundary, and configured enforcement mode.</w:t>
            </w:r>
          </w:p>
        </w:tc>
      </w:tr>
    </w:tbl>
    <w:p>
      <w:pPr>
        <w:pStyle w:val="Heading1"/>
        <w:keepNext/>
      </w:pPr>
      <w:r>
        <w:rPr>
          <w:rFonts w:ascii="Arial" w:cs="Arial" w:eastAsia="Arial" w:hAnsi="Arial"/>
          <w:b/>
          <w:bCs/>
          <w:color w:val="23364D"/>
        </w:rPr>
        <w:t xml:space="preserve">Current Control Layers and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50"/>
        <w:gridCol w:w="4010"/>
      </w:tblGrid>
      <w:tr>
        <w:trPr>
          <w:cantSplit/>
          <w:tblHeader/>
        </w:trPr>
        <w:tc>
          <w:tcPr>
            <w:tcW w:type="dxa" w:w="190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left"/>
            </w:pPr>
            <w:r>
              <w:rPr>
                <w:rFonts w:ascii="Arial" w:cs="Arial" w:eastAsia="Arial" w:hAnsi="Arial"/>
                <w:b/>
                <w:bCs/>
                <w:color w:val="FFFFFF"/>
                <w:sz w:val="18"/>
                <w:szCs w:val="18"/>
              </w:rPr>
              <w:t xml:space="preserve">Control layer</w:t>
            </w:r>
          </w:p>
        </w:tc>
        <w:tc>
          <w:tcPr>
            <w:tcW w:type="dxa" w:w="345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left"/>
            </w:pPr>
            <w:r>
              <w:rPr>
                <w:rFonts w:ascii="Arial" w:cs="Arial" w:eastAsia="Arial" w:hAnsi="Arial"/>
                <w:b/>
                <w:bCs/>
                <w:color w:val="FFFFFF"/>
                <w:sz w:val="18"/>
                <w:szCs w:val="18"/>
              </w:rPr>
              <w:t xml:space="preserve">Primary function</w:t>
            </w:r>
          </w:p>
        </w:tc>
        <w:tc>
          <w:tcPr>
            <w:tcW w:type="dxa" w:w="401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left"/>
            </w:pPr>
            <w:r>
              <w:rPr>
                <w:rFonts w:ascii="Arial" w:cs="Arial" w:eastAsia="Arial" w:hAnsi="Arial"/>
                <w:b/>
                <w:bCs/>
                <w:color w:val="FFFFFF"/>
                <w:sz w:val="18"/>
                <w:szCs w:val="18"/>
              </w:rPr>
              <w:t xml:space="preserve">Typical audit evidence</w:t>
            </w:r>
          </w:p>
        </w:tc>
      </w:tr>
      <w:tr>
        <w:trPr>
          <w:cantSplit/>
        </w:trPr>
        <w:tc>
          <w:tcPr>
            <w:tcW w:type="dxa" w:w="19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Akamai CDN and WAF</w:t>
            </w:r>
          </w:p>
        </w:tc>
        <w:tc>
          <w:tcPr>
            <w:tcW w:type="dxa" w:w="345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For public-facing applications assigned to Akamai, the CDN delivers eligible content while the WAF evaluates HTTP/S requests and blocks or challenges requests that match configured application-layer protections before approved traffic is forwarded toward the origin.</w:t>
            </w:r>
          </w:p>
        </w:tc>
        <w:tc>
          <w:tcPr>
            <w:tcW w:type="dxa" w:w="401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Application onboarding record; protected hostname inventory; WAF policy and rule status; origin definition; event logs; alert or case records; periodic policy review evidence.</w:t>
            </w:r>
          </w:p>
        </w:tc>
      </w:tr>
      <w:tr>
        <w:trPr>
          <w:cantSplit/>
        </w:trPr>
        <w:tc>
          <w:tcPr>
            <w:tcW w:type="dxa" w:w="19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DMZ and internal firewalls</w:t>
            </w:r>
          </w:p>
        </w:tc>
        <w:tc>
          <w:tcPr>
            <w:tcW w:type="dxa" w:w="345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Perform Layer 3/Layer 4 admission control. Rules allow only approved sources, destinations, ports, protocols, and traffic directions between the Akamai edge, DMZ services, load balancers, internal zones, and the PCI boundary.</w:t>
            </w:r>
          </w:p>
        </w:tc>
        <w:tc>
          <w:tcPr>
            <w:tcW w:type="dxa" w:w="401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Network and data-flow diagrams; firewall rule exports; object definitions; rule owner and justification; change approvals; traffic logs; rule-review and recertification records.</w:t>
            </w:r>
          </w:p>
        </w:tc>
      </w:tr>
      <w:tr>
        <w:trPr>
          <w:cantSplit/>
        </w:trPr>
        <w:tc>
          <w:tcPr>
            <w:tcW w:type="dxa" w:w="19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PCI segmentation firewall</w:t>
            </w:r>
          </w:p>
        </w:tc>
        <w:tc>
          <w:tcPr>
            <w:tcW w:type="dxa" w:w="345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Restricts connectivity at the applicable PCI boundary. At Windsor and Middletown, it segments application tiers within the CDE. At Shea and Rhode Island, it separates payment-processing systems from application systems rather than segmenting each application tier.</w:t>
            </w:r>
          </w:p>
        </w:tc>
        <w:tc>
          <w:tcPr>
            <w:tcW w:type="dxa" w:w="401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Site-specific CDE boundary diagram; zone or interface mapping; access-control policy; approved flow matrix; denied-path testing; rule-hit and traffic logs; configuration review evidence.</w:t>
            </w:r>
          </w:p>
        </w:tc>
      </w:tr>
      <w:tr>
        <w:trPr>
          <w:cantSplit/>
        </w:trPr>
        <w:tc>
          <w:tcPr>
            <w:tcW w:type="dxa" w:w="19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IDS/IPS (IDP) inspection</w:t>
            </w:r>
          </w:p>
        </w:tc>
        <w:tc>
          <w:tcPr>
            <w:tcW w:type="dxa" w:w="345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Examines traffic already permitted by the firewall for exploit patterns, malicious payloads, command-and-control behavior, and other intrusion indicators. Detection mode generates alerts; prevention mode also blocks, drops, or resets matching traffic according to policy.</w:t>
            </w:r>
          </w:p>
        </w:tc>
        <w:tc>
          <w:tcPr>
            <w:tcW w:type="dxa" w:w="401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Policy-to-rule binding; enabled signatures and actions; detection versus prevention mode; threat or intrusion events; tuning exceptions with expiration dates; alert handling and incident records.</w:t>
            </w:r>
          </w:p>
        </w:tc>
      </w:tr>
      <w:tr>
        <w:trPr>
          <w:cantSplit/>
        </w:trPr>
        <w:tc>
          <w:tcPr>
            <w:tcW w:type="dxa" w:w="19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Internet egress firewall</w:t>
            </w:r>
          </w:p>
        </w:tc>
        <w:tc>
          <w:tcPr>
            <w:tcW w:type="dxa" w:w="345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Allows PCI workloads to reach only documented external services, such as an approved payment processor or intermediary. Threat-prevention inspection protects the residual risk on the small set of destinations that are intentionally permitted.</w:t>
            </w:r>
          </w:p>
        </w:tc>
        <w:tc>
          <w:tcPr>
            <w:tcW w:type="dxa" w:w="401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Approved destination inventory; outbound rule set; DNS controls; intrusion or threat-prevention action; TLS-decryption decision and scope analysis; egress traffic and threat logs.</w:t>
            </w:r>
          </w:p>
        </w:tc>
      </w:tr>
    </w:tbl>
    <w:p>
      <w:pPr>
        <w:pStyle w:val="Heading1"/>
        <w:keepNext/>
      </w:pPr>
      <w:r>
        <w:rPr>
          <w:rFonts w:ascii="Arial" w:cs="Arial" w:eastAsia="Arial" w:hAnsi="Arial"/>
          <w:b/>
          <w:bCs/>
          <w:color w:val="23364D"/>
        </w:rPr>
        <w:t xml:space="preserve">Site-Specific PCI Firewall Roles</w:t>
      </w:r>
    </w:p>
    <w:p>
      <w:pPr>
        <w:spacing w:after="100" w:line="280"/>
      </w:pPr>
      <w:r>
        <w:rPr>
          <w:rFonts w:ascii="Arial" w:cs="Arial" w:eastAsia="Arial" w:hAnsi="Arial"/>
          <w:color w:val="3F4650"/>
          <w:sz w:val="20"/>
          <w:szCs w:val="20"/>
        </w:rPr>
        <w:t xml:space="preserve">The PCI firewall serves a segmentation function at each location, but the protected boundary is not uniform. Audit descriptions and testing must follow the actual site design rather than applying one enterprise-wide 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left"/>
            </w:pPr>
            <w:r>
              <w:rPr>
                <w:rFonts w:ascii="Arial" w:cs="Arial" w:eastAsia="Arial" w:hAnsi="Arial"/>
                <w:b/>
                <w:bCs/>
                <w:color w:val="FFFFFF"/>
                <w:sz w:val="18"/>
                <w:szCs w:val="18"/>
              </w:rPr>
              <w:t xml:space="preserve">Location</w:t>
            </w:r>
          </w:p>
        </w:tc>
        <w:tc>
          <w:tcPr>
            <w:tcW w:type="dxa" w:w="400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left"/>
            </w:pPr>
            <w:r>
              <w:rPr>
                <w:rFonts w:ascii="Arial" w:cs="Arial" w:eastAsia="Arial" w:hAnsi="Arial"/>
                <w:b/>
                <w:bCs/>
                <w:color w:val="FFFFFF"/>
                <w:sz w:val="18"/>
                <w:szCs w:val="18"/>
              </w:rPr>
              <w:t xml:space="preserve">PCI firewall segmentation role</w:t>
            </w:r>
          </w:p>
        </w:tc>
        <w:tc>
          <w:tcPr>
            <w:tcW w:type="dxa" w:w="316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left"/>
            </w:pPr>
            <w:r>
              <w:rPr>
                <w:rFonts w:ascii="Arial" w:cs="Arial" w:eastAsia="Arial" w:hAnsi="Arial"/>
                <w:b/>
                <w:bCs/>
                <w:color w:val="FFFFFF"/>
                <w:sz w:val="18"/>
                <w:szCs w:val="18"/>
              </w:rPr>
              <w:t xml:space="preserve">How the control should be described and tested</w:t>
            </w:r>
          </w:p>
        </w:tc>
      </w:tr>
      <w:tr>
        <w:trPr>
          <w:cantSplit/>
        </w:trPr>
        <w:tc>
          <w:tcPr>
            <w:tcW w:type="dxa" w:w="22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Windsor and Middletown</w:t>
            </w:r>
          </w:p>
        </w:tc>
        <w:tc>
          <w:tcPr>
            <w:tcW w:type="dxa" w:w="400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Segments application tiers within the PCI environment. The firewall architecture separates web-facing, application-processing, and system-administration functions.</w:t>
            </w:r>
          </w:p>
        </w:tc>
        <w:tc>
          <w:tcPr>
            <w:tcW w:type="dxa" w:w="31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Test the approved flows and denied paths between the individual application tiers and verify that alternate routes do not bypass the tier boundaries.</w:t>
            </w:r>
          </w:p>
        </w:tc>
      </w:tr>
      <w:tr>
        <w:trPr>
          <w:cantSplit/>
        </w:trPr>
        <w:tc>
          <w:tcPr>
            <w:tcW w:type="dxa" w:w="22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Shea and Rhode Island</w:t>
            </w:r>
          </w:p>
        </w:tc>
        <w:tc>
          <w:tcPr>
            <w:tcW w:type="dxa" w:w="400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Segments the payment-processing environment from application systems. It is not the control that separates each internal application tier.</w:t>
            </w:r>
          </w:p>
        </w:tc>
        <w:tc>
          <w:tcPr>
            <w:tcW w:type="dxa" w:w="31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Test the boundary between payment processing and applications. Do not describe or test this design as separate web, application, and database tier enforcement unless additional site evidence supports that claim.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6DC" w:sz="4"/>
              <w:left w:val="single" w:color="2F5D7C" w:sz="18"/>
              <w:bottom w:val="single" w:color="D2D6DC" w:sz="4"/>
              <w:right w:val="single" w:color="D2D6DC" w:sz="4"/>
            </w:tcBorders>
            <w:shd w:fill="EAF1F5" w:val="clear"/>
            <w:tcMar>
              <w:top w:type="dxa" w:w="140"/>
              <w:left w:type="dxa" w:w="180"/>
              <w:bottom w:type="dxa" w:w="140"/>
              <w:right w:type="dxa" w:w="180"/>
            </w:tcMar>
          </w:tcPr>
          <w:p>
            <w:pPr>
              <w:spacing w:after="0" w:line="280"/>
            </w:pPr>
            <w:r>
              <w:rPr>
                <w:rFonts w:ascii="Arial" w:cs="Arial" w:eastAsia="Arial" w:hAnsi="Arial"/>
                <w:b/>
                <w:bCs/>
                <w:color w:val="23364D"/>
                <w:sz w:val="19"/>
                <w:szCs w:val="19"/>
              </w:rPr>
              <w:t xml:space="preserve">Common objective, different implementation: </w:t>
            </w:r>
            <w:r>
              <w:rPr>
                <w:rFonts w:ascii="Arial" w:cs="Arial" w:eastAsia="Arial" w:hAnsi="Arial"/>
                <w:color w:val="3F4650"/>
                <w:sz w:val="19"/>
                <w:szCs w:val="19"/>
              </w:rPr>
              <w:t xml:space="preserve">The common control objective is to restrict PCI connectivity to approved flows. The specific security zones and systems separated by the PCI firewall vary by location, so site-level diagrams, policies, and test procedures are required.</w:t>
            </w:r>
          </w:p>
        </w:tc>
      </w:tr>
    </w:tbl>
    <w:p>
      <w:pPr>
        <w:pStyle w:val="Heading2"/>
        <w:keepNext/>
      </w:pPr>
      <w:r>
        <w:rPr>
          <w:rFonts w:ascii="Arial" w:cs="Arial" w:eastAsia="Arial" w:hAnsi="Arial"/>
          <w:b/>
          <w:bCs/>
          <w:color w:val="23364D"/>
        </w:rPr>
        <w:t xml:space="preserve">What the Policy Exports Demonstrate</w:t>
      </w:r>
    </w:p>
    <w:p>
      <w:pPr>
        <w:spacing w:after="100" w:line="280"/>
      </w:pPr>
      <w:r>
        <w:rPr>
          <w:rFonts w:ascii="Arial" w:cs="Arial" w:eastAsia="Arial" w:hAnsi="Arial"/>
          <w:color w:val="3F4650"/>
          <w:sz w:val="20"/>
          <w:szCs w:val="20"/>
        </w:rPr>
        <w:t xml:space="preserve">The attached FMC policy exports support a location- and policy-specific segmentation model rather than one universal application-tier design. They provide stronger rule-level evidence than the earlier summary registry, but they do not include the Windsor or Middletown policy exports or a definitive policy-to-site deployment map.</w:t>
      </w:r>
    </w:p>
    <w:p>
      <w:pPr>
        <w:pStyle w:val="ListParagraph"/>
        <w:numPr>
          <w:ilvl w:val="0"/>
          <w:numId w:val="2"/>
        </w:numPr>
        <w:spacing w:after="60" w:line="270"/>
      </w:pPr>
      <w:r>
        <w:rPr>
          <w:rFonts w:ascii="Arial" w:cs="Arial" w:eastAsia="Arial" w:hAnsi="Arial"/>
          <w:color w:val="3F4650"/>
          <w:sz w:val="20"/>
          <w:szCs w:val="20"/>
        </w:rPr>
        <w:t xml:space="preserve">Five legacy PSS VLAN policies use paired Inside and Outside security zones. Across those files, 2,086 rules are enabled and no attached Intrusion Policy is present in the exported rule fields.</w:t>
      </w:r>
    </w:p>
    <w:p>
      <w:pPr>
        <w:pStyle w:val="ListParagraph"/>
        <w:numPr>
          <w:ilvl w:val="0"/>
          <w:numId w:val="2"/>
        </w:numPr>
        <w:spacing w:after="60" w:line="270"/>
      </w:pPr>
      <w:r>
        <w:rPr>
          <w:rFonts w:ascii="Arial" w:cs="Arial" w:eastAsia="Arial" w:hAnsi="Arial"/>
          <w:color w:val="3F4650"/>
          <w:sz w:val="20"/>
          <w:szCs w:val="20"/>
        </w:rPr>
        <w:t xml:space="preserve">The PSS Nexus PCI policy contains 3,704 enabled rules. An Intrusion Policy in Detection mode is attached to 3,476 of those rules; no Prevention-mode value appears in the export.</w:t>
      </w:r>
    </w:p>
    <w:p>
      <w:pPr>
        <w:pStyle w:val="ListParagraph"/>
        <w:numPr>
          <w:ilvl w:val="0"/>
          <w:numId w:val="2"/>
        </w:numPr>
        <w:spacing w:after="60" w:line="270"/>
      </w:pPr>
      <w:r>
        <w:rPr>
          <w:rFonts w:ascii="Arial" w:cs="Arial" w:eastAsia="Arial" w:hAnsi="Arial"/>
          <w:color w:val="3F4650"/>
          <w:sz w:val="20"/>
          <w:szCs w:val="20"/>
        </w:rPr>
        <w:t xml:space="preserve">The Retail internal PCI policy contains 2,898 exported rows, but only 212 are enabled. Of the enabled rules, 116 have a Detection-mode Intrusion Policy. Its active zones include Inside, Outside, Management, Kiosk, and numbered PCI VLAN zones rather than a web/application/database hierarchy.</w:t>
      </w:r>
    </w:p>
    <w:p>
      <w:pPr>
        <w:pStyle w:val="ListParagraph"/>
        <w:numPr>
          <w:ilvl w:val="0"/>
          <w:numId w:val="2"/>
        </w:numPr>
        <w:spacing w:after="60" w:line="270"/>
      </w:pPr>
      <w:r>
        <w:rPr>
          <w:rFonts w:ascii="Arial" w:cs="Arial" w:eastAsia="Arial" w:hAnsi="Arial"/>
          <w:color w:val="3F4650"/>
          <w:sz w:val="20"/>
          <w:szCs w:val="20"/>
        </w:rPr>
        <w:t xml:space="preserve">The enabled Retail rules contain populated source and destination network fields. The prior characterization that all Retail rules use broad or “any” network objects is not supported by these CSV columns; object-group expansion and complete rule-condition review are still required to assess rule breadth.</w:t>
      </w:r>
    </w:p>
    <w:p>
      <w:pPr>
        <w:pStyle w:val="ListParagraph"/>
        <w:numPr>
          <w:ilvl w:val="0"/>
          <w:numId w:val="2"/>
        </w:numPr>
        <w:spacing w:after="60" w:line="270"/>
      </w:pPr>
      <w:r>
        <w:rPr>
          <w:rFonts w:ascii="Arial" w:cs="Arial" w:eastAsia="Arial" w:hAnsi="Arial"/>
          <w:color w:val="3F4650"/>
          <w:sz w:val="20"/>
          <w:szCs w:val="20"/>
        </w:rPr>
        <w:t xml:space="preserve">Three enabled FASTPATH prefilter entries appear across the GCP CaaS and PSS Nexus exports. Their business justification, logging, and intended inspection treatment should be reviewed separately.</w:t>
      </w:r>
    </w:p>
    <w:p>
      <w:pPr>
        <w:pStyle w:val="Heading1"/>
        <w:keepNext/>
      </w:pPr>
      <w:r>
        <w:rPr>
          <w:rFonts w:ascii="Arial" w:cs="Arial" w:eastAsia="Arial" w:hAnsi="Arial"/>
          <w:b/>
          <w:bCs/>
          <w:color w:val="23364D"/>
        </w:rPr>
        <w:t xml:space="preserve">Documented Public-Facing Ingress Model</w:t>
      </w:r>
    </w:p>
    <w:p>
      <w:pPr>
        <w:spacing w:after="100" w:line="280"/>
      </w:pPr>
      <w:r>
        <w:rPr>
          <w:rFonts w:ascii="Arial" w:cs="Arial" w:eastAsia="Arial" w:hAnsi="Arial"/>
          <w:color w:val="3F4650"/>
          <w:sz w:val="20"/>
          <w:szCs w:val="20"/>
        </w:rPr>
        <w:t xml:space="preserve">The intended logical flow for a public-facing PCI application is shown below. Exact device names and the number of enforcement points vary by site. Routing, network address translation, origin restrictions, and bypass testing must validate the flow for each application before it is represented as an operating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7100"/>
      </w:tblGrid>
      <w:tr>
        <w:tc>
          <w:tcPr>
            <w:tcW w:type="dxa" w:w="56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center"/>
            </w:pPr>
            <w:r>
              <w:rPr>
                <w:rFonts w:ascii="Arial" w:cs="Arial" w:eastAsia="Arial" w:hAnsi="Arial"/>
                <w:b/>
                <w:bCs/>
                <w:color w:val="FFFFFF"/>
                <w:sz w:val="18"/>
                <w:szCs w:val="18"/>
              </w:rPr>
              <w:t xml:space="preserve">1</w:t>
            </w:r>
          </w:p>
        </w:tc>
        <w:tc>
          <w:tcPr>
            <w:tcW w:type="dxa" w:w="17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Internet user</w:t>
            </w:r>
          </w:p>
        </w:tc>
        <w:tc>
          <w:tcPr>
            <w:tcW w:type="dxa" w:w="710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For an application configured to use this model, the public request begins outside the enterprise.</w:t>
            </w:r>
          </w:p>
        </w:tc>
      </w:tr>
      <w:tr>
        <w:tc>
          <w:tcPr>
            <w:tcW w:type="dxa" w:w="56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center"/>
            </w:pPr>
            <w:r>
              <w:rPr>
                <w:rFonts w:ascii="Arial" w:cs="Arial" w:eastAsia="Arial" w:hAnsi="Arial"/>
                <w:b/>
                <w:bCs/>
                <w:color w:val="FFFFFF"/>
                <w:sz w:val="18"/>
                <w:szCs w:val="18"/>
              </w:rPr>
              <w:t xml:space="preserve">2</w:t>
            </w:r>
          </w:p>
        </w:tc>
        <w:tc>
          <w:tcPr>
            <w:tcW w:type="dxa" w:w="17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Akamai CDN and WAF</w:t>
            </w:r>
          </w:p>
        </w:tc>
        <w:tc>
          <w:tcPr>
            <w:tcW w:type="dxa" w:w="710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Akamai is intended to service the public hostname, provide edge delivery, and evaluate the HTTP/S request using the assigned WAF policy. Deployment evidence must confirm that the hostname and origin path are configured as designed.</w:t>
            </w:r>
          </w:p>
        </w:tc>
      </w:tr>
      <w:tr>
        <w:tc>
          <w:tcPr>
            <w:tcW w:type="dxa" w:w="56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center"/>
            </w:pPr>
            <w:r>
              <w:rPr>
                <w:rFonts w:ascii="Arial" w:cs="Arial" w:eastAsia="Arial" w:hAnsi="Arial"/>
                <w:b/>
                <w:bCs/>
                <w:color w:val="FFFFFF"/>
                <w:sz w:val="18"/>
                <w:szCs w:val="18"/>
              </w:rPr>
              <w:t xml:space="preserve">3</w:t>
            </w:r>
          </w:p>
        </w:tc>
        <w:tc>
          <w:tcPr>
            <w:tcW w:type="dxa" w:w="17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DMZ firewall and load balancer</w:t>
            </w:r>
          </w:p>
        </w:tc>
        <w:tc>
          <w:tcPr>
            <w:tcW w:type="dxa" w:w="710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The firewall permits only the defined Akamai-to-origin service path. The load balancer directs the accepted request to the approved application service.</w:t>
            </w:r>
          </w:p>
        </w:tc>
      </w:tr>
      <w:tr>
        <w:tc>
          <w:tcPr>
            <w:tcW w:type="dxa" w:w="56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center"/>
            </w:pPr>
            <w:r>
              <w:rPr>
                <w:rFonts w:ascii="Arial" w:cs="Arial" w:eastAsia="Arial" w:hAnsi="Arial"/>
                <w:b/>
                <w:bCs/>
                <w:color w:val="FFFFFF"/>
                <w:sz w:val="18"/>
                <w:szCs w:val="18"/>
              </w:rPr>
              <w:t xml:space="preserve">4</w:t>
            </w:r>
          </w:p>
        </w:tc>
        <w:tc>
          <w:tcPr>
            <w:tcW w:type="dxa" w:w="17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Internal and PCI firewalls</w:t>
            </w:r>
          </w:p>
        </w:tc>
        <w:tc>
          <w:tcPr>
            <w:tcW w:type="dxa" w:w="710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Successive firewall boundaries allow only documented flows into the CDE. Within the CDE, the PCI firewall applies the location-specific segmentation model: application-tier separation at Windsor and Middletown, or payment-processing-to-application separation at Shea and Rhode Island.</w:t>
            </w:r>
          </w:p>
        </w:tc>
      </w:tr>
      <w:tr>
        <w:tc>
          <w:tcPr>
            <w:tcW w:type="dxa" w:w="56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center"/>
            </w:pPr>
            <w:r>
              <w:rPr>
                <w:rFonts w:ascii="Arial" w:cs="Arial" w:eastAsia="Arial" w:hAnsi="Arial"/>
                <w:b/>
                <w:bCs/>
                <w:color w:val="FFFFFF"/>
                <w:sz w:val="18"/>
                <w:szCs w:val="18"/>
              </w:rPr>
              <w:t xml:space="preserve">5</w:t>
            </w:r>
          </w:p>
        </w:tc>
        <w:tc>
          <w:tcPr>
            <w:tcW w:type="dxa" w:w="17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IDS/IPS inspection</w:t>
            </w:r>
          </w:p>
        </w:tc>
        <w:tc>
          <w:tcPr>
            <w:tcW w:type="dxa" w:w="710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Where an intrusion or threat-prevention policy is bound to the permitted flow, the traffic is inspected. The configured signature action determines whether the event is only detected and logged or is actively blocked.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6DC" w:sz="4"/>
              <w:left w:val="single" w:color="2F5D7C" w:sz="18"/>
              <w:bottom w:val="single" w:color="D2D6DC" w:sz="4"/>
              <w:right w:val="single" w:color="D2D6DC" w:sz="4"/>
            </w:tcBorders>
            <w:shd w:fill="FFF4D6" w:val="clear"/>
            <w:tcMar>
              <w:top w:type="dxa" w:w="140"/>
              <w:left w:type="dxa" w:w="180"/>
              <w:bottom w:type="dxa" w:w="140"/>
              <w:right w:type="dxa" w:w="180"/>
            </w:tcMar>
          </w:tcPr>
          <w:p>
            <w:pPr>
              <w:spacing w:after="0" w:line="280"/>
            </w:pPr>
            <w:r>
              <w:rPr>
                <w:rFonts w:ascii="Arial" w:cs="Arial" w:eastAsia="Arial" w:hAnsi="Arial"/>
                <w:b/>
                <w:bCs/>
                <w:color w:val="23364D"/>
                <w:sz w:val="19"/>
                <w:szCs w:val="19"/>
              </w:rPr>
              <w:t xml:space="preserve">Origin restriction: </w:t>
            </w:r>
            <w:r>
              <w:rPr>
                <w:rFonts w:ascii="Arial" w:cs="Arial" w:eastAsia="Arial" w:hAnsi="Arial"/>
                <w:color w:val="3F4650"/>
                <w:sz w:val="19"/>
                <w:szCs w:val="19"/>
              </w:rPr>
              <w:t xml:space="preserve">Firewall rules supporting public-facing applications should limit origin access to approved Akamai source ranges and the required destination services. The protected-hostname and origin inventory should be reconciled with firewall objects before this statement is used as an operating-effectiveness assertion.</w:t>
            </w:r>
          </w:p>
        </w:tc>
      </w:tr>
    </w:tbl>
    <w:p>
      <w:pPr>
        <w:pStyle w:val="Heading1"/>
        <w:keepNext/>
      </w:pPr>
      <w:r>
        <w:rPr>
          <w:rFonts w:ascii="Arial" w:cs="Arial" w:eastAsia="Arial" w:hAnsi="Arial"/>
          <w:b/>
          <w:bCs/>
          <w:color w:val="23364D"/>
        </w:rPr>
        <w:t xml:space="preserve">Firewall Operation</w:t>
      </w:r>
    </w:p>
    <w:p>
      <w:pPr>
        <w:pStyle w:val="Heading2"/>
        <w:keepNext/>
      </w:pPr>
      <w:r>
        <w:rPr>
          <w:rFonts w:ascii="Arial" w:cs="Arial" w:eastAsia="Arial" w:hAnsi="Arial"/>
          <w:b/>
          <w:bCs/>
          <w:color w:val="23364D"/>
        </w:rPr>
        <w:t xml:space="preserve">Admission control and segmentation</w:t>
      </w:r>
    </w:p>
    <w:p>
      <w:pPr>
        <w:spacing w:after="100" w:line="280"/>
      </w:pPr>
      <w:r>
        <w:rPr>
          <w:rFonts w:ascii="Arial" w:cs="Arial" w:eastAsia="Arial" w:hAnsi="Arial"/>
          <w:color w:val="3F4650"/>
          <w:sz w:val="20"/>
          <w:szCs w:val="20"/>
        </w:rPr>
        <w:t xml:space="preserve">The target firewall policy model is based on explicit business need. A permitted rule should identify the source, destination, application or service, direction, owner, and justification. The applicable ruleset should deny traffic that does not match approved access, and configuration plus test evidence should demonstrate that outcome.</w:t>
      </w:r>
    </w:p>
    <w:p>
      <w:pPr>
        <w:pStyle w:val="ListParagraph"/>
        <w:numPr>
          <w:ilvl w:val="0"/>
          <w:numId w:val="2"/>
        </w:numPr>
        <w:spacing w:after="60" w:line="270"/>
      </w:pPr>
      <w:r>
        <w:rPr>
          <w:rFonts w:ascii="Arial" w:cs="Arial" w:eastAsia="Arial" w:hAnsi="Arial"/>
          <w:color w:val="3F4650"/>
          <w:sz w:val="20"/>
          <w:szCs w:val="20"/>
        </w:rPr>
        <w:t xml:space="preserve">The DMZ firewall restricts traffic entering the enterprise origin path and limits access to the required DMZ service or load balancer.</w:t>
      </w:r>
    </w:p>
    <w:p>
      <w:pPr>
        <w:pStyle w:val="ListParagraph"/>
        <w:numPr>
          <w:ilvl w:val="0"/>
          <w:numId w:val="2"/>
        </w:numPr>
        <w:spacing w:after="60" w:line="270"/>
      </w:pPr>
      <w:r>
        <w:rPr>
          <w:rFonts w:ascii="Arial" w:cs="Arial" w:eastAsia="Arial" w:hAnsi="Arial"/>
          <w:color w:val="3F4650"/>
          <w:sz w:val="20"/>
          <w:szCs w:val="20"/>
        </w:rPr>
        <w:t xml:space="preserve">The internal firewall separates DMZ services from internal application networks and permits only the application flows needed to reach the PCI boundary.</w:t>
      </w:r>
    </w:p>
    <w:p>
      <w:pPr>
        <w:pStyle w:val="ListParagraph"/>
        <w:numPr>
          <w:ilvl w:val="0"/>
          <w:numId w:val="2"/>
        </w:numPr>
        <w:spacing w:after="60" w:line="270"/>
      </w:pPr>
      <w:r>
        <w:rPr>
          <w:rFonts w:ascii="Arial" w:cs="Arial" w:eastAsia="Arial" w:hAnsi="Arial"/>
          <w:color w:val="3F4650"/>
          <w:sz w:val="20"/>
          <w:szCs w:val="20"/>
        </w:rPr>
        <w:t xml:space="preserve">At Windsor and Middletown, the PCI firewall enforces approved transitions among application tiers, including web-facing, application-processing, and system-administration functions.</w:t>
      </w:r>
    </w:p>
    <w:p>
      <w:pPr>
        <w:pStyle w:val="ListParagraph"/>
        <w:numPr>
          <w:ilvl w:val="0"/>
          <w:numId w:val="2"/>
        </w:numPr>
        <w:spacing w:after="60" w:line="270"/>
      </w:pPr>
      <w:r>
        <w:rPr>
          <w:rFonts w:ascii="Arial" w:cs="Arial" w:eastAsia="Arial" w:hAnsi="Arial"/>
          <w:color w:val="3F4650"/>
          <w:sz w:val="20"/>
          <w:szCs w:val="20"/>
        </w:rPr>
        <w:t xml:space="preserve">At Shea and Rhode Island, the PCI firewall separates payment-processing systems from application systems; separate internal application-tier enforcement should not be attributed to that firewall without additional evidence.</w:t>
      </w:r>
    </w:p>
    <w:p>
      <w:pPr>
        <w:pStyle w:val="ListParagraph"/>
        <w:numPr>
          <w:ilvl w:val="0"/>
          <w:numId w:val="2"/>
        </w:numPr>
        <w:spacing w:after="60" w:line="270"/>
      </w:pPr>
      <w:r>
        <w:rPr>
          <w:rFonts w:ascii="Arial" w:cs="Arial" w:eastAsia="Arial" w:hAnsi="Arial"/>
          <w:color w:val="3F4650"/>
          <w:sz w:val="20"/>
          <w:szCs w:val="20"/>
        </w:rPr>
        <w:t xml:space="preserve">The PCI and internet egress firewalls restrict outbound traffic from PCI workloads to documented external destinations and required services.</w:t>
      </w:r>
    </w:p>
    <w:p>
      <w:pPr>
        <w:pStyle w:val="Heading2"/>
        <w:keepNext/>
      </w:pPr>
      <w:r>
        <w:rPr>
          <w:rFonts w:ascii="Arial" w:cs="Arial" w:eastAsia="Arial" w:hAnsi="Arial"/>
          <w:b/>
          <w:bCs/>
          <w:color w:val="23364D"/>
        </w:rPr>
        <w:t xml:space="preserve">Management and review</w:t>
      </w:r>
    </w:p>
    <w:p>
      <w:pPr>
        <w:spacing w:after="100" w:line="280"/>
      </w:pPr>
      <w:r>
        <w:rPr>
          <w:rFonts w:ascii="Arial" w:cs="Arial" w:eastAsia="Arial" w:hAnsi="Arial"/>
          <w:color w:val="3F4650"/>
          <w:sz w:val="20"/>
          <w:szCs w:val="20"/>
        </w:rPr>
        <w:t xml:space="preserve">Policies are administered through the applicable management plane, including Palo Alto Panorama, Cisco Firepower Management Center (FMC), or platform-specific management for legacy devices. Audit evidence should identify the logical control role, the physical or virtual device, the rule or access-control policy, and the management plane responsible for the configuration.</w:t>
      </w:r>
    </w:p>
    <w:p>
      <w:pPr>
        <w:pStyle w:val="ListParagraph"/>
        <w:numPr>
          <w:ilvl w:val="0"/>
          <w:numId w:val="2"/>
        </w:numPr>
        <w:spacing w:after="60" w:line="270"/>
      </w:pPr>
      <w:r>
        <w:rPr>
          <w:rFonts w:ascii="Arial" w:cs="Arial" w:eastAsia="Arial" w:hAnsi="Arial"/>
          <w:color w:val="3F4650"/>
          <w:sz w:val="20"/>
          <w:szCs w:val="20"/>
        </w:rPr>
        <w:t xml:space="preserve">Changes should follow the approved change-management process and retain implementation, testing, and approval evidence.</w:t>
      </w:r>
    </w:p>
    <w:p>
      <w:pPr>
        <w:pStyle w:val="ListParagraph"/>
        <w:numPr>
          <w:ilvl w:val="0"/>
          <w:numId w:val="2"/>
        </w:numPr>
        <w:spacing w:after="60" w:line="270"/>
      </w:pPr>
      <w:r>
        <w:rPr>
          <w:rFonts w:ascii="Arial" w:cs="Arial" w:eastAsia="Arial" w:hAnsi="Arial"/>
          <w:color w:val="3F4650"/>
          <w:sz w:val="20"/>
          <w:szCs w:val="20"/>
        </w:rPr>
        <w:t xml:space="preserve">Rules and objects should be periodically reviewed for continued business need, unused access, broad objects, expired exceptions, and alignment to current data flows.</w:t>
      </w:r>
    </w:p>
    <w:p>
      <w:pPr>
        <w:pStyle w:val="ListParagraph"/>
        <w:numPr>
          <w:ilvl w:val="0"/>
          <w:numId w:val="2"/>
        </w:numPr>
        <w:spacing w:after="60" w:line="270"/>
      </w:pPr>
      <w:r>
        <w:rPr>
          <w:rFonts w:ascii="Arial" w:cs="Arial" w:eastAsia="Arial" w:hAnsi="Arial"/>
          <w:color w:val="3F4650"/>
          <w:sz w:val="20"/>
          <w:szCs w:val="20"/>
        </w:rPr>
        <w:t xml:space="preserve">Site runbooks should map the logical roles in this assessment to local zones, interfaces, firewall pairs, and policy names.</w:t>
      </w:r>
    </w:p>
    <w:p>
      <w:pPr>
        <w:pStyle w:val="Heading1"/>
        <w:keepNext/>
      </w:pPr>
      <w:r>
        <w:rPr>
          <w:rFonts w:ascii="Arial" w:cs="Arial" w:eastAsia="Arial" w:hAnsi="Arial"/>
          <w:b/>
          <w:bCs/>
          <w:color w:val="23364D"/>
        </w:rPr>
        <w:t xml:space="preserve">IDS/IPS and IDP Operation</w:t>
      </w:r>
    </w:p>
    <w:p>
      <w:pPr>
        <w:spacing w:after="100" w:line="280"/>
      </w:pPr>
      <w:r>
        <w:rPr>
          <w:rFonts w:ascii="Arial" w:cs="Arial" w:eastAsia="Arial" w:hAnsi="Arial"/>
          <w:color w:val="3F4650"/>
          <w:sz w:val="20"/>
          <w:szCs w:val="20"/>
        </w:rPr>
        <w:t xml:space="preserve">This document uses IDS/IPS as the collective term for intrusion detection and prevention, sometimes described as IDP. On Palo Alto platforms, the function is delivered through threat-prevention profiles or profile groups bound to security rules. On Cisco FTD platforms, it is delivered through an Intrusion Policy bound to an Access Control Policy or rule.</w:t>
      </w:r>
    </w:p>
    <w:p>
      <w:pPr>
        <w:pStyle w:val="Heading2"/>
        <w:keepNext/>
      </w:pPr>
      <w:r>
        <w:rPr>
          <w:rFonts w:ascii="Arial" w:cs="Arial" w:eastAsia="Arial" w:hAnsi="Arial"/>
          <w:b/>
          <w:bCs/>
          <w:color w:val="23364D"/>
        </w:rPr>
        <w:t xml:space="preserve">Detection versus prevention</w:t>
      </w:r>
    </w:p>
    <w:p>
      <w:pPr>
        <w:pStyle w:val="ListParagraph"/>
        <w:numPr>
          <w:ilvl w:val="0"/>
          <w:numId w:val="2"/>
        </w:numPr>
        <w:spacing w:after="60" w:line="270"/>
      </w:pPr>
      <w:r>
        <w:rPr>
          <w:rFonts w:ascii="Arial" w:cs="Arial" w:eastAsia="Arial" w:hAnsi="Arial"/>
          <w:color w:val="3F4650"/>
          <w:sz w:val="20"/>
          <w:szCs w:val="20"/>
        </w:rPr>
        <w:t xml:space="preserve">Detection mode identifies matching activity and generates events or alerts, but it does not by itself stop the traffic.</w:t>
      </w:r>
    </w:p>
    <w:p>
      <w:pPr>
        <w:pStyle w:val="ListParagraph"/>
        <w:numPr>
          <w:ilvl w:val="0"/>
          <w:numId w:val="2"/>
        </w:numPr>
        <w:spacing w:after="60" w:line="270"/>
      </w:pPr>
      <w:r>
        <w:rPr>
          <w:rFonts w:ascii="Arial" w:cs="Arial" w:eastAsia="Arial" w:hAnsi="Arial"/>
          <w:color w:val="3F4650"/>
          <w:sz w:val="20"/>
          <w:szCs w:val="20"/>
        </w:rPr>
        <w:t xml:space="preserve">Prevention mode applies configured actions such as block, drop, or reset when traffic matches an enabled signature or protection rule.</w:t>
      </w:r>
    </w:p>
    <w:p>
      <w:pPr>
        <w:pStyle w:val="ListParagraph"/>
        <w:numPr>
          <w:ilvl w:val="0"/>
          <w:numId w:val="2"/>
        </w:numPr>
        <w:spacing w:after="60" w:line="270"/>
      </w:pPr>
      <w:r>
        <w:rPr>
          <w:rFonts w:ascii="Arial" w:cs="Arial" w:eastAsia="Arial" w:hAnsi="Arial"/>
          <w:color w:val="3F4650"/>
          <w:sz w:val="20"/>
          <w:szCs w:val="20"/>
        </w:rPr>
        <w:t xml:space="preserve">The policy name or the presence of an attached profile is not sufficient evidence of prevention. Auditors should verify the deployed mode and the action assigned to relevant severities and signatures.</w:t>
      </w:r>
    </w:p>
    <w:p>
      <w:pPr>
        <w:pStyle w:val="Heading2"/>
        <w:keepNext/>
      </w:pPr>
      <w:r>
        <w:rPr>
          <w:rFonts w:ascii="Arial" w:cs="Arial" w:eastAsia="Arial" w:hAnsi="Arial"/>
          <w:b/>
          <w:bCs/>
          <w:color w:val="23364D"/>
        </w:rPr>
        <w:t xml:space="preserve">Placement in the traffic path</w:t>
      </w:r>
    </w:p>
    <w:p>
      <w:pPr>
        <w:spacing w:after="100" w:line="280"/>
      </w:pPr>
      <w:r>
        <w:rPr>
          <w:rFonts w:ascii="Arial" w:cs="Arial" w:eastAsia="Arial" w:hAnsi="Arial"/>
          <w:color w:val="3F4650"/>
          <w:sz w:val="20"/>
          <w:szCs w:val="20"/>
        </w:rPr>
        <w:t xml:space="preserve">IDS/IPS is a last-line inspection control for traffic that a firewall has already admitted. It is important on internet egress paths and other approved channels where a compromised PCI workload could communicate with an otherwise legitimate destination. It may also provide visibility or prevention on internal or PCI-boundary rules, but inspection does not correct an overly broad firewall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6DC" w:sz="4"/>
              <w:left w:val="single" w:color="2F5D7C" w:sz="18"/>
              <w:bottom w:val="single" w:color="D2D6DC" w:sz="4"/>
              <w:right w:val="single" w:color="D2D6DC" w:sz="4"/>
            </w:tcBorders>
            <w:shd w:fill="FFF4D6" w:val="clear"/>
            <w:tcMar>
              <w:top w:type="dxa" w:w="140"/>
              <w:left w:type="dxa" w:w="180"/>
              <w:bottom w:type="dxa" w:w="140"/>
              <w:right w:type="dxa" w:w="180"/>
            </w:tcMar>
          </w:tcPr>
          <w:p>
            <w:pPr>
              <w:spacing w:after="0" w:line="280"/>
            </w:pPr>
            <w:r>
              <w:rPr>
                <w:rFonts w:ascii="Arial" w:cs="Arial" w:eastAsia="Arial" w:hAnsi="Arial"/>
                <w:b/>
                <w:bCs/>
                <w:color w:val="23364D"/>
                <w:sz w:val="19"/>
                <w:szCs w:val="19"/>
              </w:rPr>
              <w:t xml:space="preserve">Control-design decision required: </w:t>
            </w:r>
            <w:r>
              <w:rPr>
                <w:rFonts w:ascii="Arial" w:cs="Arial" w:eastAsia="Arial" w:hAnsi="Arial"/>
                <w:color w:val="3F4650"/>
                <w:sz w:val="19"/>
                <w:szCs w:val="19"/>
              </w:rPr>
              <w:t xml:space="preserve">The source documents are inconsistent about whether DMZ and PCI firewalls are admission-control boundaries only or are also required to provide blocking IDS/IPS. The control owner must designate the required blocking inspection point for ingress, inter-tier, egress, and third-party flows and apply that decision consistently in policy, testing, and audit evidence. This decision has been resolved for MWDC-013.1: the control as written requires monitoring, alerting to Splunk, and SOC review, not blocking. It remains open for controls and flows outside MWDC-013.1.</w:t>
            </w:r>
          </w:p>
        </w:tc>
      </w:tr>
    </w:tbl>
    <w:p>
      <w:pPr>
        <w:pStyle w:val="Heading2"/>
        <w:keepNext/>
      </w:pPr>
      <w:r>
        <w:rPr>
          <w:rFonts w:ascii="Arial" w:cs="Arial" w:eastAsia="Arial" w:hAnsi="Arial"/>
          <w:b/>
          <w:bCs/>
          <w:color w:val="23364D"/>
        </w:rPr>
        <w:t xml:space="preserve">Monitoring and response</w:t>
      </w:r>
    </w:p>
    <w:p>
      <w:pPr>
        <w:spacing w:after="100" w:line="280"/>
      </w:pPr>
      <w:r>
        <w:rPr>
          <w:rFonts w:ascii="Arial" w:cs="Arial" w:eastAsia="Arial" w:hAnsi="Arial"/>
          <w:color w:val="3F4650"/>
          <w:sz w:val="20"/>
          <w:szCs w:val="20"/>
        </w:rPr>
        <w:t xml:space="preserve">Threat and intrusion events should be sent to the designated monitoring process, correlated with firewall and Akamai WAF logs as appropriate, and handled under incident-response procedures. Tuning exceptions should document the reason, owner, scope, compensating monitoring, approval, and expiration date.</w:t>
      </w:r>
    </w:p>
    <w:p>
      <w:pPr>
        <w:pStyle w:val="Heading1"/>
        <w:keepNext/>
      </w:pPr>
      <w:r>
        <w:rPr>
          <w:rFonts w:ascii="Arial" w:cs="Arial" w:eastAsia="Arial" w:hAnsi="Arial"/>
          <w:b/>
          <w:bCs/>
          <w:color w:val="23364D"/>
        </w:rPr>
        <w:t xml:space="preserve">Akamai CDN and WAF Operation</w:t>
      </w:r>
    </w:p>
    <w:p>
      <w:pPr>
        <w:spacing w:after="100" w:line="280"/>
      </w:pPr>
      <w:r>
        <w:rPr>
          <w:rFonts w:ascii="Arial" w:cs="Arial" w:eastAsia="Arial" w:hAnsi="Arial"/>
          <w:color w:val="3F4650"/>
          <w:sz w:val="20"/>
          <w:szCs w:val="20"/>
        </w:rPr>
        <w:t xml:space="preserve">For public-facing applications assigned to this design, Akamai is intended to be the first security and delivery layer. Public requests should pass through Akamai before reaching the enterprise origin path. The CDN provides edge delivery for eligible content, and the WAF evaluates application-layer requests using the policy assigned to the protected hostname. Application routing and origin-access evidence must confirm this operation.</w:t>
      </w:r>
    </w:p>
    <w:p>
      <w:pPr>
        <w:pStyle w:val="ListParagraph"/>
        <w:numPr>
          <w:ilvl w:val="0"/>
          <w:numId w:val="2"/>
        </w:numPr>
        <w:spacing w:after="60" w:line="270"/>
      </w:pPr>
      <w:r>
        <w:rPr>
          <w:rFonts w:ascii="Arial" w:cs="Arial" w:eastAsia="Arial" w:hAnsi="Arial"/>
          <w:color w:val="3F4650"/>
          <w:sz w:val="20"/>
          <w:szCs w:val="20"/>
        </w:rPr>
        <w:t xml:space="preserve">The WAF is responsible for HTTP/S application-layer inspection and response at the edge.</w:t>
      </w:r>
    </w:p>
    <w:p>
      <w:pPr>
        <w:pStyle w:val="ListParagraph"/>
        <w:numPr>
          <w:ilvl w:val="0"/>
          <w:numId w:val="2"/>
        </w:numPr>
        <w:spacing w:after="60" w:line="270"/>
      </w:pPr>
      <w:r>
        <w:rPr>
          <w:rFonts w:ascii="Arial" w:cs="Arial" w:eastAsia="Arial" w:hAnsi="Arial"/>
          <w:color w:val="3F4650"/>
          <w:sz w:val="20"/>
          <w:szCs w:val="20"/>
        </w:rPr>
        <w:t xml:space="preserve">The WAF is not evidence that downstream network traffic is segmented or inspected by IDS/IPS.</w:t>
      </w:r>
    </w:p>
    <w:p>
      <w:pPr>
        <w:pStyle w:val="ListParagraph"/>
        <w:numPr>
          <w:ilvl w:val="0"/>
          <w:numId w:val="2"/>
        </w:numPr>
        <w:spacing w:after="60" w:line="270"/>
      </w:pPr>
      <w:r>
        <w:rPr>
          <w:rFonts w:ascii="Arial" w:cs="Arial" w:eastAsia="Arial" w:hAnsi="Arial"/>
          <w:color w:val="3F4650"/>
          <w:sz w:val="20"/>
          <w:szCs w:val="20"/>
        </w:rPr>
        <w:t xml:space="preserve">The enterprise firewall remains responsible for allowing only the approved Akamai-to-origin path and for blocking direct or unauthorized origin access.</w:t>
      </w:r>
    </w:p>
    <w:p>
      <w:pPr>
        <w:pStyle w:val="ListParagraph"/>
        <w:numPr>
          <w:ilvl w:val="0"/>
          <w:numId w:val="2"/>
        </w:numPr>
        <w:spacing w:after="60" w:line="270"/>
      </w:pPr>
      <w:r>
        <w:rPr>
          <w:rFonts w:ascii="Arial" w:cs="Arial" w:eastAsia="Arial" w:hAnsi="Arial"/>
          <w:color w:val="3F4650"/>
          <w:sz w:val="20"/>
          <w:szCs w:val="20"/>
        </w:rPr>
        <w:t xml:space="preserve">The application owner, Akamai control owner, and network security owner should maintain a common inventory of protected hostnames, origin targets, approved services, and logging destinations.</w:t>
      </w:r>
    </w:p>
    <w:p>
      <w:pPr>
        <w:pStyle w:val="Heading2"/>
        <w:keepNext/>
      </w:pPr>
      <w:r>
        <w:rPr>
          <w:rFonts w:ascii="Arial" w:cs="Arial" w:eastAsia="Arial" w:hAnsi="Arial"/>
          <w:b/>
          <w:bCs/>
          <w:color w:val="23364D"/>
        </w:rPr>
        <w:t xml:space="preserve">Evidence expected for Akamai</w:t>
      </w:r>
    </w:p>
    <w:p>
      <w:pPr>
        <w:pStyle w:val="ListParagraph"/>
        <w:numPr>
          <w:ilvl w:val="0"/>
          <w:numId w:val="2"/>
        </w:numPr>
        <w:spacing w:after="60" w:line="270"/>
      </w:pPr>
      <w:r>
        <w:rPr>
          <w:rFonts w:ascii="Arial" w:cs="Arial" w:eastAsia="Arial" w:hAnsi="Arial"/>
          <w:color w:val="3F4650"/>
          <w:sz w:val="20"/>
          <w:szCs w:val="20"/>
        </w:rPr>
        <w:t xml:space="preserve">Protected public hostname and application inventory.</w:t>
      </w:r>
    </w:p>
    <w:p>
      <w:pPr>
        <w:pStyle w:val="ListParagraph"/>
        <w:numPr>
          <w:ilvl w:val="0"/>
          <w:numId w:val="2"/>
        </w:numPr>
        <w:spacing w:after="60" w:line="270"/>
      </w:pPr>
      <w:r>
        <w:rPr>
          <w:rFonts w:ascii="Arial" w:cs="Arial" w:eastAsia="Arial" w:hAnsi="Arial"/>
          <w:color w:val="3F4650"/>
          <w:sz w:val="20"/>
          <w:szCs w:val="20"/>
        </w:rPr>
        <w:t xml:space="preserve">Assigned CDN and WAF configuration or policy identifier, including enforcement status.</w:t>
      </w:r>
    </w:p>
    <w:p>
      <w:pPr>
        <w:pStyle w:val="ListParagraph"/>
        <w:numPr>
          <w:ilvl w:val="0"/>
          <w:numId w:val="2"/>
        </w:numPr>
        <w:spacing w:after="60" w:line="270"/>
      </w:pPr>
      <w:r>
        <w:rPr>
          <w:rFonts w:ascii="Arial" w:cs="Arial" w:eastAsia="Arial" w:hAnsi="Arial"/>
          <w:color w:val="3F4650"/>
          <w:sz w:val="20"/>
          <w:szCs w:val="20"/>
        </w:rPr>
        <w:t xml:space="preserve">Origin definition and evidence that the intended traffic path uses Akamai.</w:t>
      </w:r>
    </w:p>
    <w:p>
      <w:pPr>
        <w:pStyle w:val="ListParagraph"/>
        <w:numPr>
          <w:ilvl w:val="0"/>
          <w:numId w:val="2"/>
        </w:numPr>
        <w:spacing w:after="60" w:line="270"/>
      </w:pPr>
      <w:r>
        <w:rPr>
          <w:rFonts w:ascii="Arial" w:cs="Arial" w:eastAsia="Arial" w:hAnsi="Arial"/>
          <w:color w:val="3F4650"/>
          <w:sz w:val="20"/>
          <w:szCs w:val="20"/>
        </w:rPr>
        <w:t xml:space="preserve">WAF event records, alert handling, policy-change records, and periodic review evidence.</w:t>
      </w:r>
    </w:p>
    <w:p>
      <w:pPr>
        <w:pStyle w:val="ListParagraph"/>
        <w:numPr>
          <w:ilvl w:val="0"/>
          <w:numId w:val="2"/>
        </w:numPr>
        <w:spacing w:after="60" w:line="270"/>
      </w:pPr>
      <w:r>
        <w:rPr>
          <w:rFonts w:ascii="Arial" w:cs="Arial" w:eastAsia="Arial" w:hAnsi="Arial"/>
          <w:color w:val="3F4650"/>
          <w:sz w:val="20"/>
          <w:szCs w:val="20"/>
        </w:rPr>
        <w:t xml:space="preserve">Firewall objects and rules that support the approved Akamai-to-origin path.</w:t>
      </w:r>
    </w:p>
    <w:p>
      <w:pPr>
        <w:pStyle w:val="Heading1"/>
        <w:keepNext/>
      </w:pPr>
      <w:r>
        <w:rPr>
          <w:rFonts w:ascii="Arial" w:cs="Arial" w:eastAsia="Arial" w:hAnsi="Arial"/>
          <w:b/>
          <w:bCs/>
          <w:color w:val="23364D"/>
        </w:rPr>
        <w:t xml:space="preserve">Outbound PCI Traffic</w:t>
      </w:r>
    </w:p>
    <w:p>
      <w:pPr>
        <w:spacing w:after="100" w:line="280"/>
      </w:pPr>
      <w:r>
        <w:rPr>
          <w:rFonts w:ascii="Arial" w:cs="Arial" w:eastAsia="Arial" w:hAnsi="Arial"/>
          <w:color w:val="3F4650"/>
          <w:sz w:val="20"/>
          <w:szCs w:val="20"/>
        </w:rPr>
        <w:t xml:space="preserve">PCI workloads that require internet access should use explicit, destination-specific rules at both the PCI firewall and the internet egress firewall. General internet access or broad "any" objects do not demonstrate that outbound CDE traffic is limited to documented business need.</w:t>
      </w:r>
    </w:p>
    <w:p>
      <w:pPr>
        <w:spacing w:after="100" w:line="280"/>
      </w:pPr>
      <w:r>
        <w:rPr>
          <w:rFonts w:ascii="Arial" w:cs="Arial" w:eastAsia="Arial" w:hAnsi="Arial"/>
          <w:color w:val="3F4650"/>
          <w:sz w:val="20"/>
          <w:szCs w:val="20"/>
        </w:rPr>
        <w:t xml:space="preserve">Enforcement control in place for PCI-application-to-payment-provider egress traffic: Web Proxy and Egress NGFW with Threat Inspection Policies.</w:t>
      </w:r>
    </w:p>
    <w:p>
      <w:pPr>
        <w:pStyle w:val="ListParagraph"/>
        <w:numPr>
          <w:ilvl w:val="0"/>
          <w:numId w:val="2"/>
        </w:numPr>
        <w:spacing w:after="60" w:line="270"/>
      </w:pPr>
      <w:r>
        <w:rPr>
          <w:rFonts w:ascii="Arial" w:cs="Arial" w:eastAsia="Arial" w:hAnsi="Arial"/>
          <w:color w:val="3F4650"/>
          <w:sz w:val="20"/>
          <w:szCs w:val="20"/>
        </w:rPr>
        <w:t xml:space="preserve">The approved source workload and external destination are defined in policy.</w:t>
      </w:r>
    </w:p>
    <w:p>
      <w:pPr>
        <w:pStyle w:val="ListParagraph"/>
        <w:numPr>
          <w:ilvl w:val="0"/>
          <w:numId w:val="2"/>
        </w:numPr>
        <w:spacing w:after="60" w:line="270"/>
      </w:pPr>
      <w:r>
        <w:rPr>
          <w:rFonts w:ascii="Arial" w:cs="Arial" w:eastAsia="Arial" w:hAnsi="Arial"/>
          <w:color w:val="3F4650"/>
          <w:sz w:val="20"/>
          <w:szCs w:val="20"/>
        </w:rPr>
        <w:t xml:space="preserve">Only the required ports, protocols, and applications are permitted.</w:t>
      </w:r>
    </w:p>
    <w:p>
      <w:pPr>
        <w:pStyle w:val="ListParagraph"/>
        <w:numPr>
          <w:ilvl w:val="0"/>
          <w:numId w:val="2"/>
        </w:numPr>
        <w:spacing w:after="60" w:line="270"/>
      </w:pPr>
      <w:r>
        <w:rPr>
          <w:rFonts w:ascii="Arial" w:cs="Arial" w:eastAsia="Arial" w:hAnsi="Arial"/>
          <w:color w:val="3F4650"/>
          <w:sz w:val="20"/>
          <w:szCs w:val="20"/>
        </w:rPr>
        <w:t xml:space="preserve">DNS access is restricted to approved resolvers and is reviewed as a potential bypass channel.</w:t>
      </w:r>
    </w:p>
    <w:p>
      <w:pPr>
        <w:pStyle w:val="ListParagraph"/>
        <w:numPr>
          <w:ilvl w:val="0"/>
          <w:numId w:val="2"/>
        </w:numPr>
        <w:spacing w:after="60" w:line="270"/>
      </w:pPr>
      <w:r>
        <w:rPr>
          <w:rFonts w:ascii="Arial" w:cs="Arial" w:eastAsia="Arial" w:hAnsi="Arial"/>
          <w:color w:val="3F4650"/>
          <w:sz w:val="20"/>
          <w:szCs w:val="20"/>
        </w:rPr>
        <w:t xml:space="preserve">The IDS/IPS or threat-prevention policy on the permitted egress channel is evaluated for enforcement, not merely attachment.</w:t>
      </w:r>
    </w:p>
    <w:p>
      <w:pPr>
        <w:pStyle w:val="ListParagraph"/>
        <w:numPr>
          <w:ilvl w:val="0"/>
          <w:numId w:val="2"/>
        </w:numPr>
        <w:spacing w:after="60" w:line="270"/>
      </w:pPr>
      <w:r>
        <w:rPr>
          <w:rFonts w:ascii="Arial" w:cs="Arial" w:eastAsia="Arial" w:hAnsi="Arial"/>
          <w:color w:val="3F4650"/>
          <w:sz w:val="20"/>
          <w:szCs w:val="20"/>
        </w:rPr>
        <w:t xml:space="preserve">Any TLS-decryption decision is documented and accounts for whether cardholder data could be exposed at the decryption point.</w:t>
      </w:r>
    </w:p>
    <w:p>
      <w:pPr>
        <w:pStyle w:val="Heading1"/>
        <w:keepNext/>
      </w:pPr>
      <w:r>
        <w:rPr>
          <w:rFonts w:ascii="Arial" w:cs="Arial" w:eastAsia="Arial" w:hAnsi="Arial"/>
          <w:b/>
          <w:bCs/>
          <w:color w:val="23364D"/>
        </w:rPr>
        <w:t xml:space="preserve">Known Current-State Qualifications</w:t>
      </w:r>
    </w:p>
    <w:p>
      <w:pPr>
        <w:spacing w:after="100" w:line="280"/>
      </w:pPr>
      <w:r>
        <w:rPr>
          <w:rFonts w:ascii="Arial" w:cs="Arial" w:eastAsia="Arial" w:hAnsi="Arial"/>
          <w:color w:val="3F4650"/>
          <w:sz w:val="20"/>
          <w:szCs w:val="20"/>
        </w:rPr>
        <w:t xml:space="preserve">The source assessments identify conditions that prevent a blanket assertion that every PCI path currently operates at the target state. These items should be tracked through remediation, risk acceptance, or additional validation and should be presented candidly during audit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left"/>
            </w:pPr>
            <w:r>
              <w:rPr>
                <w:rFonts w:ascii="Arial" w:cs="Arial" w:eastAsia="Arial" w:hAnsi="Arial"/>
                <w:b/>
                <w:bCs/>
                <w:color w:val="FFFFFF"/>
                <w:sz w:val="18"/>
                <w:szCs w:val="18"/>
              </w:rPr>
              <w:t xml:space="preserve">Qualification</w:t>
            </w:r>
          </w:p>
        </w:tc>
        <w:tc>
          <w:tcPr>
            <w:tcW w:type="dxa" w:w="606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left"/>
            </w:pPr>
            <w:r>
              <w:rPr>
                <w:rFonts w:ascii="Arial" w:cs="Arial" w:eastAsia="Arial" w:hAnsi="Arial"/>
                <w:b/>
                <w:bCs/>
                <w:color w:val="FFFFFF"/>
                <w:sz w:val="18"/>
                <w:szCs w:val="18"/>
              </w:rPr>
              <w:t xml:space="preserve">Audit implication and required follow-up</w:t>
            </w:r>
          </w:p>
        </w:tc>
      </w:tr>
      <w:tr>
        <w:tc>
          <w:tcPr>
            <w:tcW w:type="dxa" w:w="3300"/>
            <w:tcBorders>
              <w:top w:val="single" w:color="D2D6DC" w:sz="4"/>
              <w:left w:val="single" w:color="D2D6DC" w:sz="4"/>
              <w:bottom w:val="single" w:color="D2D6DC" w:sz="4"/>
              <w:right w:val="single" w:color="D2D6DC" w:sz="4"/>
            </w:tcBorders>
            <w:shd w:fill="FFF4D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The source documents conflict on the required IDS/IPS role at DMZ and PCI firewalls.</w:t>
            </w:r>
          </w:p>
        </w:tc>
        <w:tc>
          <w:tcPr>
            <w:tcW w:type="dxa" w:w="60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Do not classify detection-only or absent inspection as a control failure until the approved control design identifies the required blocking inspection point for each flow. Document and apply that decision consistently. UPDATE (September 2026): For MWDC-013.1 specifically, the control language has been confirmed to require monitoring, Splunk alerting, and SOC review only -- blocking is not a stated requirement of this control. Aetna PCI IDS/IPS at Windsor and Middletown has been implemented and tuned to close this finding; the remaining step is transitioning monitoring to the SOC. This resolution applies to MWDC-013.1 as written and should not be generalized to other controls or sites without separate confirmation.</w:t>
            </w:r>
          </w:p>
        </w:tc>
      </w:tr>
      <w:tr>
        <w:tc>
          <w:tcPr>
            <w:tcW w:type="dxa" w:w="3300"/>
            <w:tcBorders>
              <w:top w:val="single" w:color="D2D6DC" w:sz="4"/>
              <w:left w:val="single" w:color="D2D6DC" w:sz="4"/>
              <w:bottom w:val="single" w:color="D2D6DC" w:sz="4"/>
              <w:right w:val="single" w:color="D2D6DC" w:sz="4"/>
            </w:tcBorders>
            <w:shd w:fill="FFF4D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Some PCI-adjacent intrusion policies are configured for detection or alerting rather than blocking.</w:t>
            </w:r>
          </w:p>
        </w:tc>
        <w:tc>
          <w:tcPr>
            <w:tcW w:type="dxa" w:w="60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Do not describe these flows as prevented by IPS. Provide detection evidence and either a documented tuning exception with an end date or a remediation plan to move required protections to enforcement.</w:t>
            </w:r>
          </w:p>
        </w:tc>
      </w:tr>
      <w:tr>
        <w:tc>
          <w:tcPr>
            <w:tcW w:type="dxa" w:w="3300"/>
            <w:tcBorders>
              <w:top w:val="single" w:color="D2D6DC" w:sz="4"/>
              <w:left w:val="single" w:color="D2D6DC" w:sz="4"/>
              <w:bottom w:val="single" w:color="D2D6DC" w:sz="4"/>
              <w:right w:val="single" w:color="D2D6DC" w:sz="4"/>
            </w:tcBorders>
            <w:shd w:fill="FFF4D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Some access-control policies have no intrusion policy attached.</w:t>
            </w:r>
          </w:p>
        </w:tc>
        <w:tc>
          <w:tcPr>
            <w:tcW w:type="dxa" w:w="60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Describe the firewall admission-control function accurately, but do not claim IDS/IPS coverage for those flows. Validate scope and attach inspection where required by the approved control design.</w:t>
            </w:r>
          </w:p>
        </w:tc>
      </w:tr>
      <w:tr>
        <w:tc>
          <w:tcPr>
            <w:tcW w:type="dxa" w:w="3300"/>
            <w:tcBorders>
              <w:top w:val="single" w:color="D2D6DC" w:sz="4"/>
              <w:left w:val="single" w:color="D2D6DC" w:sz="4"/>
              <w:bottom w:val="single" w:color="D2D6DC" w:sz="4"/>
              <w:right w:val="single" w:color="D2D6DC" w:sz="4"/>
            </w:tcBorders>
            <w:shd w:fill="FFF4D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The earlier assessment's broad or “any”-object conclusion is not demonstrated by the attached rule exports.</w:t>
            </w:r>
          </w:p>
        </w:tc>
        <w:tc>
          <w:tcPr>
            <w:tcW w:type="dxa" w:w="60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Enabled Retail rules contain source and destination network values. Expand referenced object groups and evaluate every match condition before classifying a rule as broad, least-privileged, or equivalent to permit-any.</w:t>
            </w:r>
          </w:p>
        </w:tc>
      </w:tr>
      <w:tr>
        <w:tc>
          <w:tcPr>
            <w:tcW w:type="dxa" w:w="3300"/>
            <w:tcBorders>
              <w:top w:val="single" w:color="D2D6DC" w:sz="4"/>
              <w:left w:val="single" w:color="D2D6DC" w:sz="4"/>
              <w:bottom w:val="single" w:color="D2D6DC" w:sz="4"/>
              <w:right w:val="single" w:color="D2D6DC" w:sz="4"/>
            </w:tcBorders>
            <w:shd w:fill="FFF4D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The PCI firewall protects different logical boundaries by location, and detailed interface mappings still require evidence.</w:t>
            </w:r>
          </w:p>
        </w:tc>
        <w:tc>
          <w:tcPr>
            <w:tcW w:type="dxa" w:w="60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Use site-specific zone and interface exports to prove the actual boundary. Windsor and Middletown should be tested for application-tier segmentation; Shea and Rhode Island should be tested for payment-processing-to-application segmentation.</w:t>
            </w:r>
          </w:p>
        </w:tc>
      </w:tr>
      <w:tr>
        <w:tc>
          <w:tcPr>
            <w:tcW w:type="dxa" w:w="3300"/>
            <w:tcBorders>
              <w:top w:val="single" w:color="D2D6DC" w:sz="4"/>
              <w:left w:val="single" w:color="D2D6DC" w:sz="4"/>
              <w:bottom w:val="single" w:color="D2D6DC" w:sz="4"/>
              <w:right w:val="single" w:color="D2D6DC" w:sz="4"/>
            </w:tcBorders>
            <w:shd w:fill="FFF4D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Selected local third-party connections and legacy records require explicit disposition.</w:t>
            </w:r>
          </w:p>
        </w:tc>
        <w:tc>
          <w:tcPr>
            <w:tcW w:type="dxa" w:w="60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Provide approval or exception evidence, confirm ownership and policy scope, and remove or reconcile stale device and policy records.</w:t>
            </w:r>
          </w:p>
        </w:tc>
      </w:tr>
      <w:tr>
        <w:tc>
          <w:tcPr>
            <w:tcW w:type="dxa" w:w="3300"/>
            <w:tcBorders>
              <w:top w:val="single" w:color="D2D6DC" w:sz="4"/>
              <w:left w:val="single" w:color="D2D6DC" w:sz="4"/>
              <w:bottom w:val="single" w:color="D2D6DC" w:sz="4"/>
              <w:right w:val="single" w:color="D2D6DC" w:sz="4"/>
            </w:tcBorders>
            <w:shd w:fill="FFF4D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DNS egress control and TLS-decryption scope are not fully confirmed.</w:t>
            </w:r>
          </w:p>
        </w:tc>
        <w:tc>
          <w:tcPr>
            <w:tcW w:type="dxa" w:w="60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Complete the design decision, scope analysis, and implementation validation before representing these controls as consistently deployed across the estate.</w:t>
            </w:r>
          </w:p>
        </w:tc>
      </w:tr>
      <w:tr>
        <w:tc>
          <w:tcPr>
            <w:tcW w:type="dxa" w:w="3300"/>
            <w:tcBorders>
              <w:top w:val="single" w:color="D2D6DC" w:sz="4"/>
              <w:left w:val="single" w:color="D2D6DC" w:sz="4"/>
              <w:bottom w:val="single" w:color="D2D6DC" w:sz="4"/>
              <w:right w:val="single" w:color="D2D6DC" w:sz="4"/>
            </w:tcBorders>
            <w:shd w:fill="FFF4D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The source documents describe evidence expectations but do not contain a complete operating-evidence package.</w:t>
            </w:r>
          </w:p>
        </w:tc>
        <w:tc>
          <w:tcPr>
            <w:tcW w:type="dxa" w:w="60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Provide current diagrams, representative rule and route extracts, positive and negative tests, logging and retention evidence, alert investigations, recertifications, change approvals, and exception approvals for the audit period.</w:t>
            </w:r>
          </w:p>
        </w:tc>
      </w:tr>
      <w:tr>
        <w:tc>
          <w:tcPr>
            <w:tcW w:type="dxa" w:w="3300"/>
            <w:tcBorders>
              <w:top w:val="single" w:color="D2D6DC" w:sz="4"/>
              <w:left w:val="single" w:color="D2D6DC" w:sz="4"/>
              <w:bottom w:val="single" w:color="D2D6DC" w:sz="4"/>
              <w:right w:val="single" w:color="D2D6DC" w:sz="4"/>
            </w:tcBorders>
            <w:shd w:fill="FFF4D6"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Enabled FASTPATH prefilter rules are present in selected exports.</w:t>
            </w:r>
          </w:p>
        </w:tc>
        <w:tc>
          <w:tcPr>
            <w:tcW w:type="dxa" w:w="60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Confirm the approved purpose, scope, logging, and inspection treatment for each FASTPATH entry and show that it cannot create an unintended bypass of required PCI controls.</w:t>
            </w:r>
          </w:p>
        </w:tc>
      </w:tr>
    </w:tbl>
    <w:p>
      <w:pPr>
        <w:pStyle w:val="Heading1"/>
        <w:keepNext/>
      </w:pPr>
      <w:r>
        <w:rPr>
          <w:rFonts w:ascii="Arial" w:cs="Arial" w:eastAsia="Arial" w:hAnsi="Arial"/>
          <w:b/>
          <w:bCs/>
          <w:color w:val="23364D"/>
        </w:rPr>
        <w:t xml:space="preserve">Audit Evidence and Validation Requirements</w:t>
      </w:r>
    </w:p>
    <w:p>
      <w:pPr>
        <w:spacing w:after="100" w:line="280"/>
      </w:pPr>
      <w:r>
        <w:rPr>
          <w:rFonts w:ascii="Arial" w:cs="Arial" w:eastAsia="Arial" w:hAnsi="Arial"/>
          <w:color w:val="3F4650"/>
          <w:sz w:val="20"/>
          <w:szCs w:val="20"/>
        </w:rPr>
        <w:t xml:space="preserve">The following evidence set allows an auditor to test control design and operation without relying on product names or policy labels alone.</w:t>
      </w:r>
    </w:p>
    <w:p>
      <w:pPr>
        <w:pStyle w:val="ListParagraph"/>
        <w:numPr>
          <w:ilvl w:val="0"/>
          <w:numId w:val="2"/>
        </w:numPr>
        <w:spacing w:after="60" w:line="270"/>
      </w:pPr>
      <w:r>
        <w:rPr>
          <w:rFonts w:ascii="Arial" w:cs="Arial" w:eastAsia="Arial" w:hAnsi="Arial"/>
          <w:color w:val="3F4650"/>
          <w:sz w:val="20"/>
          <w:szCs w:val="20"/>
        </w:rPr>
        <w:t xml:space="preserve">Current network and data-flow diagram showing Akamai, DMZ, load-balancing, internal, PCI segmentation, and egress enforcement points.</w:t>
      </w:r>
    </w:p>
    <w:p>
      <w:pPr>
        <w:pStyle w:val="ListParagraph"/>
        <w:numPr>
          <w:ilvl w:val="0"/>
          <w:numId w:val="2"/>
        </w:numPr>
        <w:spacing w:after="60" w:line="270"/>
      </w:pPr>
      <w:r>
        <w:rPr>
          <w:rFonts w:ascii="Arial" w:cs="Arial" w:eastAsia="Arial" w:hAnsi="Arial"/>
          <w:color w:val="3F4650"/>
          <w:sz w:val="20"/>
          <w:szCs w:val="20"/>
        </w:rPr>
        <w:t xml:space="preserve">Inventory mapping protected public hostnames to Akamai policies, origin targets, firewall rules, and application owners.</w:t>
      </w:r>
    </w:p>
    <w:p>
      <w:pPr>
        <w:pStyle w:val="ListParagraph"/>
        <w:numPr>
          <w:ilvl w:val="0"/>
          <w:numId w:val="2"/>
        </w:numPr>
        <w:spacing w:after="60" w:line="270"/>
      </w:pPr>
      <w:r>
        <w:rPr>
          <w:rFonts w:ascii="Arial" w:cs="Arial" w:eastAsia="Arial" w:hAnsi="Arial"/>
          <w:color w:val="3F4650"/>
          <w:sz w:val="20"/>
          <w:szCs w:val="20"/>
        </w:rPr>
        <w:t xml:space="preserve">Firewall rule and object exports for representative inbound, outbound, and location-specific segmentation flows.</w:t>
      </w:r>
    </w:p>
    <w:p>
      <w:pPr>
        <w:pStyle w:val="ListParagraph"/>
        <w:numPr>
          <w:ilvl w:val="0"/>
          <w:numId w:val="2"/>
        </w:numPr>
        <w:spacing w:after="60" w:line="270"/>
      </w:pPr>
      <w:r>
        <w:rPr>
          <w:rFonts w:ascii="Arial" w:cs="Arial" w:eastAsia="Arial" w:hAnsi="Arial"/>
          <w:color w:val="3F4650"/>
          <w:sz w:val="20"/>
          <w:szCs w:val="20"/>
        </w:rPr>
        <w:t xml:space="preserve">IDS/IPS configuration showing the policy binding, deployed mode, signature actions, and any approved tuning exceptions.</w:t>
      </w:r>
    </w:p>
    <w:p>
      <w:pPr>
        <w:pStyle w:val="ListParagraph"/>
        <w:numPr>
          <w:ilvl w:val="0"/>
          <w:numId w:val="2"/>
        </w:numPr>
        <w:spacing w:after="60" w:line="270"/>
      </w:pPr>
      <w:r>
        <w:rPr>
          <w:rFonts w:ascii="Arial" w:cs="Arial" w:eastAsia="Arial" w:hAnsi="Arial"/>
          <w:color w:val="3F4650"/>
          <w:sz w:val="20"/>
          <w:szCs w:val="20"/>
        </w:rPr>
        <w:t xml:space="preserve">Representative WAF, firewall traffic, firewall threat, and intrusion events for the audit period.</w:t>
      </w:r>
    </w:p>
    <w:p>
      <w:pPr>
        <w:pStyle w:val="ListParagraph"/>
        <w:numPr>
          <w:ilvl w:val="0"/>
          <w:numId w:val="2"/>
        </w:numPr>
        <w:spacing w:after="60" w:line="270"/>
      </w:pPr>
      <w:r>
        <w:rPr>
          <w:rFonts w:ascii="Arial" w:cs="Arial" w:eastAsia="Arial" w:hAnsi="Arial"/>
          <w:color w:val="3F4650"/>
          <w:sz w:val="20"/>
          <w:szCs w:val="20"/>
        </w:rPr>
        <w:t xml:space="preserve">Change approvals, periodic rule reviews, exception approvals, remediation records, and evidence of alert investigation.</w:t>
      </w:r>
    </w:p>
    <w:p>
      <w:pPr>
        <w:pStyle w:val="ListParagraph"/>
        <w:numPr>
          <w:ilvl w:val="0"/>
          <w:numId w:val="2"/>
        </w:numPr>
        <w:spacing w:after="60" w:line="270"/>
      </w:pPr>
      <w:r>
        <w:rPr>
          <w:rFonts w:ascii="Arial" w:cs="Arial" w:eastAsia="Arial" w:hAnsi="Arial"/>
          <w:color w:val="3F4650"/>
          <w:sz w:val="20"/>
          <w:szCs w:val="20"/>
        </w:rPr>
        <w:t xml:space="preserve">Site-specific zone or interface mapping that proves the applicable application-tier or payment-processing boundary.</w:t>
      </w:r>
    </w:p>
    <w:p>
      <w:pPr>
        <w:pStyle w:val="Heading1"/>
        <w:keepNext/>
      </w:pPr>
      <w:r>
        <w:rPr>
          <w:rFonts w:ascii="Arial" w:cs="Arial" w:eastAsia="Arial" w:hAnsi="Arial"/>
          <w:b/>
          <w:bCs/>
          <w:color w:val="23364D"/>
        </w:rPr>
        <w:t xml:space="preserve">Control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left"/>
            </w:pPr>
            <w:r>
              <w:rPr>
                <w:rFonts w:ascii="Arial" w:cs="Arial" w:eastAsia="Arial" w:hAnsi="Arial"/>
                <w:b/>
                <w:bCs/>
                <w:color w:val="FFFFFF"/>
                <w:sz w:val="18"/>
                <w:szCs w:val="18"/>
              </w:rPr>
              <w:t xml:space="preserve">Control area</w:t>
            </w:r>
          </w:p>
        </w:tc>
        <w:tc>
          <w:tcPr>
            <w:tcW w:type="dxa" w:w="6760"/>
            <w:tcBorders>
              <w:top w:val="single" w:color="D2D6DC" w:sz="4"/>
              <w:left w:val="single" w:color="D2D6DC" w:sz="4"/>
              <w:bottom w:val="single" w:color="D2D6DC" w:sz="4"/>
              <w:right w:val="single" w:color="D2D6DC" w:sz="4"/>
            </w:tcBorders>
            <w:shd w:fill="23364D" w:val="clear"/>
            <w:tcMar>
              <w:top w:type="dxa" w:w="100"/>
              <w:left w:type="dxa" w:w="120"/>
              <w:bottom w:type="dxa" w:w="100"/>
              <w:right w:type="dxa" w:w="120"/>
            </w:tcMar>
          </w:tcPr>
          <w:p>
            <w:pPr>
              <w:spacing w:after="0" w:line="260"/>
              <w:jc w:val="left"/>
            </w:pPr>
            <w:r>
              <w:rPr>
                <w:rFonts w:ascii="Arial" w:cs="Arial" w:eastAsia="Arial" w:hAnsi="Arial"/>
                <w:b/>
                <w:bCs/>
                <w:color w:val="FFFFFF"/>
                <w:sz w:val="18"/>
                <w:szCs w:val="18"/>
              </w:rPr>
              <w:t xml:space="preserve">Primary responsibility</w:t>
            </w:r>
          </w:p>
        </w:tc>
      </w:tr>
      <w:tr>
        <w:tc>
          <w:tcPr>
            <w:tcW w:type="dxa" w:w="26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Akamai CDN and WAF</w:t>
            </w:r>
          </w:p>
        </w:tc>
        <w:tc>
          <w:tcPr>
            <w:tcW w:type="dxa" w:w="67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Maintain protected-hostname coverage, WAF policy, origin configuration, event monitoring, tuning, and evidence in coordination with application owners.</w:t>
            </w:r>
          </w:p>
        </w:tc>
      </w:tr>
      <w:tr>
        <w:tc>
          <w:tcPr>
            <w:tcW w:type="dxa" w:w="26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Network Security Engineering</w:t>
            </w:r>
          </w:p>
        </w:tc>
        <w:tc>
          <w:tcPr>
            <w:tcW w:type="dxa" w:w="67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Maintain firewall and IDS/IPS policy, CDE segmentation, approved flows, monitoring integration, rule review, and configuration evidence.</w:t>
            </w:r>
          </w:p>
        </w:tc>
      </w:tr>
      <w:tr>
        <w:tc>
          <w:tcPr>
            <w:tcW w:type="dxa" w:w="26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Application and business owners</w:t>
            </w:r>
          </w:p>
        </w:tc>
        <w:tc>
          <w:tcPr>
            <w:tcW w:type="dxa" w:w="67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Document required data flows, external dependencies, protected hostnames, transaction patterns, and continued business justification.</w:t>
            </w:r>
          </w:p>
        </w:tc>
      </w:tr>
      <w:tr>
        <w:tc>
          <w:tcPr>
            <w:tcW w:type="dxa" w:w="26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Security Operations</w:t>
            </w:r>
          </w:p>
        </w:tc>
        <w:tc>
          <w:tcPr>
            <w:tcW w:type="dxa" w:w="67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Monitor and investigate WAF, firewall, threat-prevention, and intrusion events and retain incident or case evidence.</w:t>
            </w:r>
          </w:p>
        </w:tc>
      </w:tr>
      <w:tr>
        <w:tc>
          <w:tcPr>
            <w:tcW w:type="dxa" w:w="2600"/>
            <w:tcBorders>
              <w:top w:val="single" w:color="D2D6DC" w:sz="4"/>
              <w:left w:val="single" w:color="D2D6DC" w:sz="4"/>
              <w:bottom w:val="single" w:color="D2D6DC" w:sz="4"/>
              <w:right w:val="single" w:color="D2D6DC" w:sz="4"/>
            </w:tcBorders>
            <w:shd w:fill="EAF1F5" w:val="clear"/>
            <w:tcMar>
              <w:top w:type="dxa" w:w="100"/>
              <w:left w:type="dxa" w:w="120"/>
              <w:bottom w:type="dxa" w:w="100"/>
              <w:right w:type="dxa" w:w="120"/>
            </w:tcMar>
          </w:tcPr>
          <w:p>
            <w:pPr>
              <w:spacing w:after="0" w:line="260"/>
              <w:jc w:val="left"/>
            </w:pPr>
            <w:r>
              <w:rPr>
                <w:rFonts w:ascii="Arial" w:cs="Arial" w:eastAsia="Arial" w:hAnsi="Arial"/>
                <w:b/>
                <w:bCs/>
                <w:color w:val="3F4650"/>
                <w:sz w:val="18"/>
                <w:szCs w:val="18"/>
              </w:rPr>
              <w:t xml:space="preserve">PCI Governance / Compliance</w:t>
            </w:r>
          </w:p>
        </w:tc>
        <w:tc>
          <w:tcPr>
            <w:tcW w:type="dxa" w:w="6760"/>
            <w:tcBorders>
              <w:top w:val="single" w:color="D2D6DC" w:sz="4"/>
              <w:left w:val="single" w:color="D2D6DC" w:sz="4"/>
              <w:bottom w:val="single" w:color="D2D6DC" w:sz="4"/>
              <w:right w:val="single" w:color="D2D6DC" w:sz="4"/>
            </w:tcBorders>
            <w:shd w:fill="FFFFFF" w:val="clear"/>
            <w:tcMar>
              <w:top w:type="dxa" w:w="100"/>
              <w:left w:type="dxa" w:w="120"/>
              <w:bottom w:type="dxa" w:w="100"/>
              <w:right w:type="dxa" w:w="120"/>
            </w:tcMar>
          </w:tcPr>
          <w:p>
            <w:pPr>
              <w:spacing w:after="0" w:line="260"/>
              <w:jc w:val="left"/>
            </w:pPr>
            <w:r>
              <w:rPr>
                <w:rFonts w:ascii="Arial" w:cs="Arial" w:eastAsia="Arial" w:hAnsi="Arial"/>
                <w:b w:val="false"/>
                <w:bCs w:val="false"/>
                <w:color w:val="3F4650"/>
                <w:sz w:val="18"/>
                <w:szCs w:val="18"/>
              </w:rPr>
              <w:t xml:space="preserve">Confirm audit scope, approve or track exceptions, validate evidence completeness, and monitor remediation commitments.</w:t>
            </w:r>
          </w:p>
        </w:tc>
      </w:tr>
    </w:tbl>
    <w:p>
      <w:pPr>
        <w:pStyle w:val="Heading1"/>
        <w:keepNext/>
      </w:pPr>
      <w:r>
        <w:rPr>
          <w:rFonts w:ascii="Arial" w:cs="Arial" w:eastAsia="Arial" w:hAnsi="Arial"/>
          <w:b/>
          <w:bCs/>
          <w:color w:val="23364D"/>
        </w:rPr>
        <w:t xml:space="preserve">Source Basis and Use</w:t>
      </w:r>
    </w:p>
    <w:p>
      <w:pPr>
        <w:spacing w:after="100" w:line="280"/>
      </w:pPr>
      <w:r>
        <w:rPr>
          <w:rFonts w:ascii="Arial" w:cs="Arial" w:eastAsia="Arial" w:hAnsi="Arial"/>
          <w:color w:val="3F4650"/>
          <w:sz w:val="20"/>
          <w:szCs w:val="20"/>
        </w:rPr>
        <w:t xml:space="preserve">This replacement assessment was developed from the prior September 2026 PCI traffic current-state assessment, the September 2026 PCI CDE operational security model, and the attached FMC access-control and prefilter CSV exports. Network Security Engineering clarified that the PCI firewall segments application tiers at Windsor and Middletown, while it separates payment processing from application systems at Shea and Rhode Island. The policy archive supports a varied, policy-specific boundary model but does not contain Windsor/Middletown policy exports or a definitive deployment-to-site mapping. Akamai’s use as the CDN and WAF for public-facing applications was supplied as an architectural requirement for this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6DC" w:sz="4"/>
              <w:left w:val="single" w:color="2F5D7C" w:sz="18"/>
              <w:bottom w:val="single" w:color="D2D6DC" w:sz="4"/>
              <w:right w:val="single" w:color="D2D6DC" w:sz="4"/>
            </w:tcBorders>
            <w:shd w:fill="EAF1F5" w:val="clear"/>
            <w:tcMar>
              <w:top w:type="dxa" w:w="140"/>
              <w:left w:type="dxa" w:w="180"/>
              <w:bottom w:type="dxa" w:w="140"/>
              <w:right w:type="dxa" w:w="180"/>
            </w:tcMar>
          </w:tcPr>
          <w:p>
            <w:pPr>
              <w:spacing w:after="0" w:line="280"/>
            </w:pPr>
            <w:r>
              <w:rPr>
                <w:rFonts w:ascii="Arial" w:cs="Arial" w:eastAsia="Arial" w:hAnsi="Arial"/>
                <w:b/>
                <w:bCs/>
                <w:color w:val="23364D"/>
                <w:sz w:val="19"/>
                <w:szCs w:val="19"/>
              </w:rPr>
              <w:t xml:space="preserve">Use limitation: </w:t>
            </w:r>
            <w:r>
              <w:rPr>
                <w:rFonts w:ascii="Arial" w:cs="Arial" w:eastAsia="Arial" w:hAnsi="Arial"/>
                <w:color w:val="3F4650"/>
                <w:sz w:val="19"/>
                <w:szCs w:val="19"/>
              </w:rPr>
              <w:t xml:space="preserve">This document records the current state based on the evidence available for review. It does not, by itself, prove operating effectiveness and must be supported by site-specific diagrams, current configuration exports, change records, traffic tests, log samples, and formal exception documentation.</w:t>
            </w:r>
          </w:p>
        </w:tc>
      </w:tr>
    </w:tbl>
    <w:sectPr>
      <w:headerReference w:type="default" r:id="rId7"/>
      <w:footerReference w:type="default" r:id="rId8"/>
      <w:pgSz w:w="12240" w:h="15840" w:orient="portrait"/>
      <w:pgMar w:top="900" w:right="1440" w:bottom="900" w:left="144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6B7280"/>
        <w:sz w:val="16"/>
        <w:szCs w:val="16"/>
      </w:rPr>
      <w:t xml:space="preserve">PCI Network Security Current State Assessment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bCs/>
        <w:color w:val="2F5D7C"/>
        <w:sz w:val="15"/>
        <w:szCs w:val="15"/>
      </w:rPr>
      <w:t xml:space="preserve">PCI CURRENT STATE ASSESSMENT | NETWORK SECURITY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46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40" w:before="0"/>
      <w:outlineLvl w:val="0"/>
    </w:pPr>
    <w:rPr>
      <w:rFonts w:ascii="Arial" w:cs="Arial" w:eastAsia="Arial" w:hAnsi="Arial"/>
      <w:b/>
      <w:bCs/>
      <w:color w:val="23364D"/>
      <w:sz w:val="38"/>
      <w:szCs w:val="38"/>
    </w:rPr>
  </w:style>
  <w:style w:type="paragraph" w:styleId="Subtitle">
    <w:name w:val="Subtitle"/>
    <w:basedOn w:val="Normal"/>
    <w:next w:val="Normal"/>
    <w:qFormat/>
    <w:pPr>
      <w:spacing w:after="240"/>
    </w:pPr>
    <w:rPr>
      <w:rFonts w:ascii="Arial" w:cs="Arial" w:eastAsia="Arial" w:hAnsi="Arial"/>
      <w:color w:val="2F5D7C"/>
      <w:sz w:val="22"/>
      <w:szCs w:val="22"/>
    </w:rPr>
  </w:style>
  <w:style w:type="paragraph" w:styleId="Heading1">
    <w:name w:val="Heading 1"/>
    <w:basedOn w:val="Normal"/>
    <w:next w:val="Normal"/>
    <w:qFormat/>
    <w:pPr>
      <w:spacing w:after="100" w:before="240"/>
      <w:outlineLvl w:val="0"/>
    </w:pPr>
    <w:rPr>
      <w:rFonts w:ascii="Arial" w:cs="Arial" w:eastAsia="Arial" w:hAnsi="Arial"/>
      <w:b/>
      <w:bCs/>
      <w:color w:val="23364D"/>
      <w:sz w:val="28"/>
      <w:szCs w:val="28"/>
    </w:rPr>
  </w:style>
  <w:style w:type="paragraph" w:styleId="Heading2">
    <w:name w:val="Heading 2"/>
    <w:basedOn w:val="Normal"/>
    <w:next w:val="Normal"/>
    <w:qFormat/>
    <w:pPr>
      <w:spacing w:after="70" w:before="180"/>
      <w:outlineLvl w:val="1"/>
    </w:pPr>
    <w:rPr>
      <w:rFonts w:ascii="Arial" w:cs="Arial" w:eastAsia="Arial" w:hAnsi="Arial"/>
      <w:b/>
      <w:bCs/>
      <w:color w:val="2F5D7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PCI Network Security Current State Assessment</dc:title>
  <dc:subject>Current-state assessment of firewall, IDS/IPS, Akamai CDN, and WAF controls</dc:subject>
  <dc:creator>Network Security Engineering</dc:creator>
  <dc:description>A concise, auditor-facing assessment of the current PCI network security implementation and its evidence limitations.</dc:description>
  <cp:lastModifiedBy>Un-named</cp:lastModifiedBy>
  <cp:revision>1</cp:revision>
  <dcterms:created xsi:type="dcterms:W3CDTF">2026-09-09T19:19:04.347Z</dcterms:created>
  <dcterms:modified xsi:type="dcterms:W3CDTF">2026-09-09T19:19:04.348Z</dcterms:modified>
</cp:coreProperties>
</file>

<file path=docProps/custom.xml><?xml version="1.0" encoding="utf-8"?>
<Properties xmlns="http://schemas.openxmlformats.org/officeDocument/2006/custom-properties" xmlns:vt="http://schemas.openxmlformats.org/officeDocument/2006/docPropsVTypes"/>
</file>