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23364D"/>
        </w:rPr>
        <w:t xml:space="preserve">PCI Network Security — Audit Evidence Collection Plan</w:t>
      </w:r>
    </w:p>
    <w:p>
      <w:pPr>
        <w:spacing w:after="100" w:line="280"/>
      </w:pPr>
      <w:r>
        <w:rPr>
          <w:rFonts w:ascii="Arial" w:cs="Arial" w:eastAsia="Arial" w:hAnsi="Arial"/>
          <w:b w:val="false"/>
          <w:bCs w:val="false"/>
          <w:i/>
          <w:iCs/>
          <w:color w:val="3F4650"/>
          <w:sz w:val="20"/>
          <w:szCs w:val="20"/>
        </w:rPr>
        <w:t xml:space="preserve">Companion to the PCI Network Security Current State Assessment  |  Network Security Engineering  |  September 2026</w:t>
      </w:r>
    </w:p>
    <w:p>
      <w:pPr>
        <w:pStyle w:val="Heading1"/>
        <w:spacing w:after="100" w:before="240"/>
      </w:pPr>
      <w:r>
        <w:rPr>
          <w:rFonts w:ascii="Arial" w:cs="Arial" w:eastAsia="Arial" w:hAnsi="Arial"/>
          <w:b/>
          <w:bCs/>
          <w:color w:val="23364D"/>
        </w:rPr>
        <w:t xml:space="preserve">Purpose</w:t>
      </w:r>
    </w:p>
    <w:p>
      <w:pPr>
        <w:spacing w:after="100" w:line="280"/>
      </w:pPr>
      <w:r>
        <w:rPr>
          <w:rFonts w:ascii="Arial" w:cs="Arial" w:eastAsia="Arial" w:hAnsi="Arial"/>
          <w:b w:val="false"/>
          <w:bCs w:val="false"/>
          <w:i w:val="false"/>
          <w:iCs w:val="false"/>
          <w:color w:val="3F4650"/>
          <w:sz w:val="20"/>
          <w:szCs w:val="20"/>
        </w:rPr>
        <w:t xml:space="preserve">This plan translates the controls described in the PCI Network Security Current State Assessment into a specific evidence set an auditor can test against. Controls are organized around three traffic relationships for PCI-scoped applications, per the governing conceptual frame confirmed by Network Security Engineering: (1) user to PCI front-end application, (2) PCI application to PCI payment processing, and (3) PCI application to off-site payment provider.</w:t>
      </w:r>
    </w:p>
    <w:p>
      <w:pPr>
        <w:pStyle w:val="Heading1"/>
        <w:spacing w:after="100" w:before="240"/>
      </w:pPr>
      <w:r>
        <w:rPr>
          <w:rFonts w:ascii="Arial" w:cs="Arial" w:eastAsia="Arial" w:hAnsi="Arial"/>
          <w:b/>
          <w:bCs/>
          <w:color w:val="23364D"/>
        </w:rPr>
        <w:t xml:space="preserve">Flow 1: User → PCI Front-End Application</w:t>
      </w:r>
    </w:p>
    <w:p>
      <w:pPr>
        <w:spacing w:after="100" w:line="280"/>
      </w:pPr>
      <w:r>
        <w:rPr>
          <w:rFonts w:ascii="Arial" w:cs="Arial" w:eastAsia="Arial" w:hAnsi="Arial"/>
          <w:b w:val="false"/>
          <w:bCs w:val="false"/>
          <w:i w:val="false"/>
          <w:iCs w:val="false"/>
          <w:color w:val="3F4650"/>
          <w:sz w:val="20"/>
          <w:szCs w:val="20"/>
        </w:rPr>
        <w:t xml:space="preserve">Control in place: Akamai CDN and WAF at the edge, with the enterprise firewall restricting the approved Akamai-to-origin path; Internet-to-DMZ IDS/IPS inspection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shd w:fill="23364D" w:val="clear"/>
            <w:vAlign w:val="center"/>
          </w:tcPr>
          <w:p>
            <w:r>
              <w:rPr>
                <w:rFonts w:ascii="Arial" w:cs="Arial" w:eastAsia="Arial" w:hAnsi="Arial"/>
                <w:b/>
                <w:bCs/>
                <w:color w:val="FFFFFF"/>
                <w:sz w:val="18"/>
                <w:szCs w:val="18"/>
              </w:rPr>
              <w:t xml:space="preserve">Evidence item</w:t>
            </w:r>
          </w:p>
        </w:tc>
        <w:tc>
          <w:tcPr>
            <w:tcW w:type="dxa" w:w="3400"/>
            <w:shd w:fill="23364D" w:val="clear"/>
            <w:vAlign w:val="center"/>
          </w:tcPr>
          <w:p>
            <w:r>
              <w:rPr>
                <w:rFonts w:ascii="Arial" w:cs="Arial" w:eastAsia="Arial" w:hAnsi="Arial"/>
                <w:b/>
                <w:bCs/>
                <w:color w:val="FFFFFF"/>
                <w:sz w:val="18"/>
                <w:szCs w:val="18"/>
              </w:rPr>
              <w:t xml:space="preserve">Source / format</w:t>
            </w:r>
          </w:p>
        </w:tc>
        <w:tc>
          <w:tcPr>
            <w:tcW w:type="dxa" w:w="2560"/>
            <w:shd w:fill="23364D" w:val="clear"/>
            <w:vAlign w:val="center"/>
          </w:tcPr>
          <w:p>
            <w:r>
              <w:rPr>
                <w:rFonts w:ascii="Arial" w:cs="Arial" w:eastAsia="Arial" w:hAnsi="Arial"/>
                <w:b/>
                <w:bCs/>
                <w:color w:val="FFFFFF"/>
                <w:sz w:val="18"/>
                <w:szCs w:val="18"/>
              </w:rPr>
              <w:t xml:space="preserve">Collection status</w:t>
            </w:r>
          </w:p>
        </w:tc>
      </w:tr>
      <w:tr>
        <w:tc>
          <w:tcPr>
            <w:tcW w:type="dxa" w:w="3400"/>
          </w:tcPr>
          <w:p>
            <w:r>
              <w:rPr>
                <w:rFonts w:ascii="Arial" w:cs="Arial" w:eastAsia="Arial" w:hAnsi="Arial"/>
                <w:b w:val="false"/>
                <w:bCs w:val="false"/>
                <w:color w:val="3F4650"/>
                <w:sz w:val="18"/>
                <w:szCs w:val="18"/>
              </w:rPr>
              <w:t xml:space="preserve">Protected public hostname and application inventory</w:t>
            </w:r>
          </w:p>
        </w:tc>
        <w:tc>
          <w:tcPr>
            <w:tcW w:type="dxa" w:w="3400"/>
          </w:tcPr>
          <w:p>
            <w:r>
              <w:rPr>
                <w:rFonts w:ascii="Arial" w:cs="Arial" w:eastAsia="Arial" w:hAnsi="Arial"/>
                <w:b w:val="false"/>
                <w:bCs w:val="false"/>
                <w:color w:val="3F4650"/>
                <w:sz w:val="18"/>
                <w:szCs w:val="18"/>
              </w:rPr>
              <w:t xml:space="preserve">Akamai control owner / application owner</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Assigned CDN and WAF configuration/policy identifier, including enforcement status</w:t>
            </w:r>
          </w:p>
        </w:tc>
        <w:tc>
          <w:tcPr>
            <w:tcW w:type="dxa" w:w="3400"/>
          </w:tcPr>
          <w:p>
            <w:r>
              <w:rPr>
                <w:rFonts w:ascii="Arial" w:cs="Arial" w:eastAsia="Arial" w:hAnsi="Arial"/>
                <w:b w:val="false"/>
                <w:bCs w:val="false"/>
                <w:color w:val="3F4650"/>
                <w:sz w:val="18"/>
                <w:szCs w:val="18"/>
              </w:rPr>
              <w:t xml:space="preserve">Akamai policy export</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Origin definition and evidence that traffic path uses Akamai</w:t>
            </w:r>
          </w:p>
        </w:tc>
        <w:tc>
          <w:tcPr>
            <w:tcW w:type="dxa" w:w="3400"/>
          </w:tcPr>
          <w:p>
            <w:r>
              <w:rPr>
                <w:rFonts w:ascii="Arial" w:cs="Arial" w:eastAsia="Arial" w:hAnsi="Arial"/>
                <w:b w:val="false"/>
                <w:bCs w:val="false"/>
                <w:color w:val="3F4650"/>
                <w:sz w:val="18"/>
                <w:szCs w:val="18"/>
              </w:rPr>
              <w:t xml:space="preserve">Akamai + firewall config</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WAF event records, alert handling, policy-change records, periodic review evidence</w:t>
            </w:r>
          </w:p>
        </w:tc>
        <w:tc>
          <w:tcPr>
            <w:tcW w:type="dxa" w:w="3400"/>
          </w:tcPr>
          <w:p>
            <w:r>
              <w:rPr>
                <w:rFonts w:ascii="Arial" w:cs="Arial" w:eastAsia="Arial" w:hAnsi="Arial"/>
                <w:b w:val="false"/>
                <w:bCs w:val="false"/>
                <w:color w:val="3F4650"/>
                <w:sz w:val="18"/>
                <w:szCs w:val="18"/>
              </w:rPr>
              <w:t xml:space="preserve">Akamai WAF logs / case records</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Firewall objects/rules supporting the approved Akamai-to-origin path</w:t>
            </w:r>
          </w:p>
        </w:tc>
        <w:tc>
          <w:tcPr>
            <w:tcW w:type="dxa" w:w="3400"/>
          </w:tcPr>
          <w:p>
            <w:r>
              <w:rPr>
                <w:rFonts w:ascii="Arial" w:cs="Arial" w:eastAsia="Arial" w:hAnsi="Arial"/>
                <w:b w:val="false"/>
                <w:bCs w:val="false"/>
                <w:color w:val="3F4650"/>
                <w:sz w:val="18"/>
                <w:szCs w:val="18"/>
              </w:rPr>
              <w:t xml:space="preserve">FMC / Panorama export</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IDS/IPS policy binding, deployed mode, and signature actions for Internet-to-DMZ traffic</w:t>
            </w:r>
          </w:p>
        </w:tc>
        <w:tc>
          <w:tcPr>
            <w:tcW w:type="dxa" w:w="3400"/>
          </w:tcPr>
          <w:p>
            <w:r>
              <w:rPr>
                <w:rFonts w:ascii="Arial" w:cs="Arial" w:eastAsia="Arial" w:hAnsi="Arial"/>
                <w:b w:val="false"/>
                <w:bCs w:val="false"/>
                <w:color w:val="3F4650"/>
                <w:sz w:val="18"/>
                <w:szCs w:val="18"/>
              </w:rPr>
              <w:t xml:space="preserve">FMC access-control export</w:t>
            </w:r>
          </w:p>
        </w:tc>
        <w:tc>
          <w:tcPr>
            <w:tcW w:type="dxa" w:w="2560"/>
            <w:shd w:fill="FFF4D6" w:val="clear"/>
          </w:tcPr>
          <w:p>
            <w:r>
              <w:rPr>
                <w:rFonts w:ascii="Arial" w:cs="Arial" w:eastAsia="Arial" w:hAnsi="Arial"/>
                <w:b w:val="false"/>
                <w:bCs w:val="false"/>
                <w:color w:val="3F4650"/>
                <w:sz w:val="18"/>
                <w:szCs w:val="18"/>
              </w:rPr>
              <w:t xml:space="preserve">Partial — Shea only</w:t>
            </w:r>
          </w:p>
        </w:tc>
      </w:tr>
    </w:tbl>
    <w:p>
      <w:pPr>
        <w:spacing w:after="200"/>
      </w:pPr>
    </w:p>
    <w:p>
      <w:pPr>
        <w:pStyle w:val="Heading1"/>
        <w:spacing w:after="100" w:before="240"/>
      </w:pPr>
      <w:r>
        <w:rPr>
          <w:rFonts w:ascii="Arial" w:cs="Arial" w:eastAsia="Arial" w:hAnsi="Arial"/>
          <w:b/>
          <w:bCs/>
          <w:color w:val="23364D"/>
        </w:rPr>
        <w:t xml:space="preserve">Flow 2: PCI Application → PCI Payment Processing (internal)</w:t>
      </w:r>
    </w:p>
    <w:p>
      <w:pPr>
        <w:spacing w:after="100" w:line="280"/>
      </w:pPr>
      <w:r>
        <w:rPr>
          <w:rFonts w:ascii="Arial" w:cs="Arial" w:eastAsia="Arial" w:hAnsi="Arial"/>
          <w:b w:val="false"/>
          <w:bCs w:val="false"/>
          <w:i w:val="false"/>
          <w:iCs w:val="false"/>
          <w:color w:val="3F4650"/>
          <w:sz w:val="20"/>
          <w:szCs w:val="20"/>
        </w:rPr>
        <w:t xml:space="preserve">Control in place: Firewall segmentation between application and payment-processing systems. Model varies by heritage: Windsor/Middletown segment by application tier (3 independent FTD HA pairs each); Shea/Cumberland/Woonsocket separate payment-processing from application systems as a single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shd w:fill="23364D" w:val="clear"/>
            <w:vAlign w:val="center"/>
          </w:tcPr>
          <w:p>
            <w:r>
              <w:rPr>
                <w:rFonts w:ascii="Arial" w:cs="Arial" w:eastAsia="Arial" w:hAnsi="Arial"/>
                <w:b/>
                <w:bCs/>
                <w:color w:val="FFFFFF"/>
                <w:sz w:val="18"/>
                <w:szCs w:val="18"/>
              </w:rPr>
              <w:t xml:space="preserve">Evidence item</w:t>
            </w:r>
          </w:p>
        </w:tc>
        <w:tc>
          <w:tcPr>
            <w:tcW w:type="dxa" w:w="3400"/>
            <w:shd w:fill="23364D" w:val="clear"/>
            <w:vAlign w:val="center"/>
          </w:tcPr>
          <w:p>
            <w:r>
              <w:rPr>
                <w:rFonts w:ascii="Arial" w:cs="Arial" w:eastAsia="Arial" w:hAnsi="Arial"/>
                <w:b/>
                <w:bCs/>
                <w:color w:val="FFFFFF"/>
                <w:sz w:val="18"/>
                <w:szCs w:val="18"/>
              </w:rPr>
              <w:t xml:space="preserve">Source / format</w:t>
            </w:r>
          </w:p>
        </w:tc>
        <w:tc>
          <w:tcPr>
            <w:tcW w:type="dxa" w:w="2560"/>
            <w:shd w:fill="23364D" w:val="clear"/>
            <w:vAlign w:val="center"/>
          </w:tcPr>
          <w:p>
            <w:r>
              <w:rPr>
                <w:rFonts w:ascii="Arial" w:cs="Arial" w:eastAsia="Arial" w:hAnsi="Arial"/>
                <w:b/>
                <w:bCs/>
                <w:color w:val="FFFFFF"/>
                <w:sz w:val="18"/>
                <w:szCs w:val="18"/>
              </w:rPr>
              <w:t xml:space="preserve">Collection status</w:t>
            </w:r>
          </w:p>
        </w:tc>
      </w:tr>
      <w:tr>
        <w:tc>
          <w:tcPr>
            <w:tcW w:type="dxa" w:w="3400"/>
          </w:tcPr>
          <w:p>
            <w:r>
              <w:rPr>
                <w:rFonts w:ascii="Arial" w:cs="Arial" w:eastAsia="Arial" w:hAnsi="Arial"/>
                <w:b w:val="false"/>
                <w:bCs w:val="false"/>
                <w:color w:val="3F4650"/>
                <w:sz w:val="18"/>
                <w:szCs w:val="18"/>
              </w:rPr>
              <w:t xml:space="preserve">Site-specific zone/interface mapping proving the actual segmentation boundary</w:t>
            </w:r>
          </w:p>
        </w:tc>
        <w:tc>
          <w:tcPr>
            <w:tcW w:type="dxa" w:w="3400"/>
          </w:tcPr>
          <w:p>
            <w:r>
              <w:rPr>
                <w:rFonts w:ascii="Arial" w:cs="Arial" w:eastAsia="Arial" w:hAnsi="Arial"/>
                <w:b w:val="false"/>
                <w:bCs w:val="false"/>
                <w:color w:val="3F4650"/>
                <w:sz w:val="18"/>
                <w:szCs w:val="18"/>
              </w:rPr>
              <w:t xml:space="preserve">FMC / Panorama config export</w:t>
            </w:r>
          </w:p>
        </w:tc>
        <w:tc>
          <w:tcPr>
            <w:tcW w:type="dxa" w:w="2560"/>
            <w:shd w:fill="FFF4D6" w:val="clear"/>
          </w:tcPr>
          <w:p>
            <w:r>
              <w:rPr>
                <w:rFonts w:ascii="Arial" w:cs="Arial" w:eastAsia="Arial" w:hAnsi="Arial"/>
                <w:b w:val="false"/>
                <w:bCs w:val="false"/>
                <w:color w:val="3F4650"/>
                <w:sz w:val="18"/>
                <w:szCs w:val="18"/>
              </w:rPr>
              <w:t xml:space="preserve">Partial — Shea, Cumberland only</w:t>
            </w:r>
          </w:p>
        </w:tc>
      </w:tr>
      <w:tr>
        <w:tc>
          <w:tcPr>
            <w:tcW w:type="dxa" w:w="3400"/>
          </w:tcPr>
          <w:p>
            <w:r>
              <w:rPr>
                <w:rFonts w:ascii="Arial" w:cs="Arial" w:eastAsia="Arial" w:hAnsi="Arial"/>
                <w:b w:val="false"/>
                <w:bCs w:val="false"/>
                <w:color w:val="3F4650"/>
                <w:sz w:val="18"/>
                <w:szCs w:val="18"/>
              </w:rPr>
              <w:t xml:space="preserve">FMC access-control and prefilter rule exports, PCI-scoped policies</w:t>
            </w:r>
          </w:p>
        </w:tc>
        <w:tc>
          <w:tcPr>
            <w:tcW w:type="dxa" w:w="3400"/>
          </w:tcPr>
          <w:p>
            <w:r>
              <w:rPr>
                <w:rFonts w:ascii="Arial" w:cs="Arial" w:eastAsia="Arial" w:hAnsi="Arial"/>
                <w:b w:val="false"/>
                <w:bCs w:val="false"/>
                <w:color w:val="3F4650"/>
                <w:sz w:val="18"/>
                <w:szCs w:val="18"/>
              </w:rPr>
              <w:t xml:space="preserve">FMC CSV export</w:t>
            </w:r>
          </w:p>
        </w:tc>
        <w:tc>
          <w:tcPr>
            <w:tcW w:type="dxa" w:w="2560"/>
            <w:shd w:fill="E2EFDA" w:val="clear"/>
          </w:tcPr>
          <w:p>
            <w:r>
              <w:rPr>
                <w:rFonts w:ascii="Arial" w:cs="Arial" w:eastAsia="Arial" w:hAnsi="Arial"/>
                <w:b w:val="false"/>
                <w:bCs w:val="false"/>
                <w:color w:val="3F4650"/>
                <w:sz w:val="18"/>
                <w:szCs w:val="18"/>
              </w:rPr>
              <w:t xml:space="preserve">Available — Shea (2,086 rules), Cumberland (212 enabled)</w:t>
            </w:r>
          </w:p>
        </w:tc>
      </w:tr>
      <w:tr>
        <w:tc>
          <w:tcPr>
            <w:tcW w:type="dxa" w:w="3400"/>
          </w:tcPr>
          <w:p>
            <w:r>
              <w:rPr>
                <w:rFonts w:ascii="Arial" w:cs="Arial" w:eastAsia="Arial" w:hAnsi="Arial"/>
                <w:b w:val="false"/>
                <w:bCs w:val="false"/>
                <w:color w:val="3F4650"/>
                <w:sz w:val="18"/>
                <w:szCs w:val="18"/>
              </w:rPr>
              <w:t xml:space="preserve">Rule-level evidence for Windsor, Middletown, Woonsocket</w:t>
            </w:r>
          </w:p>
        </w:tc>
        <w:tc>
          <w:tcPr>
            <w:tcW w:type="dxa" w:w="3400"/>
          </w:tcPr>
          <w:p>
            <w:r>
              <w:rPr>
                <w:rFonts w:ascii="Arial" w:cs="Arial" w:eastAsia="Arial" w:hAnsi="Arial"/>
                <w:b w:val="false"/>
                <w:bCs w:val="false"/>
                <w:color w:val="3F4650"/>
                <w:sz w:val="18"/>
                <w:szCs w:val="18"/>
              </w:rPr>
              <w:t xml:space="preserve">FMC CSV export</w:t>
            </w:r>
          </w:p>
        </w:tc>
        <w:tc>
          <w:tcPr>
            <w:tcW w:type="dxa" w:w="2560"/>
            <w:shd w:fill="FCE4D6" w:val="clear"/>
          </w:tcPr>
          <w:p>
            <w:r>
              <w:rPr>
                <w:rFonts w:ascii="Arial" w:cs="Arial" w:eastAsia="Arial" w:hAnsi="Arial"/>
                <w:b w:val="false"/>
                <w:bCs w:val="false"/>
                <w:color w:val="3F4650"/>
                <w:sz w:val="18"/>
                <w:szCs w:val="18"/>
              </w:rPr>
              <w:t xml:space="preserve">Not available in current archive</w:t>
            </w:r>
          </w:p>
        </w:tc>
      </w:tr>
      <w:tr>
        <w:tc>
          <w:tcPr>
            <w:tcW w:type="dxa" w:w="3400"/>
          </w:tcPr>
          <w:p>
            <w:r>
              <w:rPr>
                <w:rFonts w:ascii="Arial" w:cs="Arial" w:eastAsia="Arial" w:hAnsi="Arial"/>
                <w:b w:val="false"/>
                <w:bCs w:val="false"/>
                <w:color w:val="3F4650"/>
                <w:sz w:val="18"/>
                <w:szCs w:val="18"/>
              </w:rPr>
              <w:t xml:space="preserve">IDS/IPS policy binding and deployed mode (Detection vs. Prevention) per rule</w:t>
            </w:r>
          </w:p>
        </w:tc>
        <w:tc>
          <w:tcPr>
            <w:tcW w:type="dxa" w:w="3400"/>
          </w:tcPr>
          <w:p>
            <w:r>
              <w:rPr>
                <w:rFonts w:ascii="Arial" w:cs="Arial" w:eastAsia="Arial" w:hAnsi="Arial"/>
                <w:b w:val="false"/>
                <w:bCs w:val="false"/>
                <w:color w:val="3F4650"/>
                <w:sz w:val="18"/>
                <w:szCs w:val="18"/>
              </w:rPr>
              <w:t xml:space="preserve">FMC export / Intrusion Policy config</w:t>
            </w:r>
          </w:p>
        </w:tc>
        <w:tc>
          <w:tcPr>
            <w:tcW w:type="dxa" w:w="2560"/>
            <w:shd w:fill="E2EFDA" w:val="clear"/>
          </w:tcPr>
          <w:p>
            <w:r>
              <w:rPr>
                <w:rFonts w:ascii="Arial" w:cs="Arial" w:eastAsia="Arial" w:hAnsi="Arial"/>
                <w:b w:val="false"/>
                <w:bCs w:val="false"/>
                <w:color w:val="3F4650"/>
                <w:sz w:val="18"/>
                <w:szCs w:val="18"/>
              </w:rPr>
              <w:t xml:space="preserve">Available — shows Detection-mode only, no Prevention values</w:t>
            </w:r>
          </w:p>
        </w:tc>
      </w:tr>
      <w:tr>
        <w:tc>
          <w:tcPr>
            <w:tcW w:type="dxa" w:w="3400"/>
          </w:tcPr>
          <w:p>
            <w:r>
              <w:rPr>
                <w:rFonts w:ascii="Arial" w:cs="Arial" w:eastAsia="Arial" w:hAnsi="Arial"/>
                <w:b w:val="false"/>
                <w:bCs w:val="false"/>
                <w:color w:val="3F4650"/>
                <w:sz w:val="18"/>
                <w:szCs w:val="18"/>
              </w:rPr>
              <w:t xml:space="preserve">Confirmation of PSS Nexus policy site assignment (candidate Shea policy, unconfirmed)</w:t>
            </w:r>
          </w:p>
        </w:tc>
        <w:tc>
          <w:tcPr>
            <w:tcW w:type="dxa" w:w="3400"/>
          </w:tcPr>
          <w:p>
            <w:r>
              <w:rPr>
                <w:rFonts w:ascii="Arial" w:cs="Arial" w:eastAsia="Arial" w:hAnsi="Arial"/>
                <w:b w:val="false"/>
                <w:bCs w:val="false"/>
                <w:color w:val="3F4650"/>
                <w:sz w:val="18"/>
                <w:szCs w:val="18"/>
              </w:rPr>
              <w:t xml:space="preserve">CMDB / device-to-policy mapping</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Evidence that Aetna PCI IDS/IPS (Windsor/Middletown) is implemented and tuned; SOC monitoring transition status</w:t>
            </w:r>
          </w:p>
        </w:tc>
        <w:tc>
          <w:tcPr>
            <w:tcW w:type="dxa" w:w="3400"/>
          </w:tcPr>
          <w:p>
            <w:r>
              <w:rPr>
                <w:rFonts w:ascii="Arial" w:cs="Arial" w:eastAsia="Arial" w:hAnsi="Arial"/>
                <w:b w:val="false"/>
                <w:bCs w:val="false"/>
                <w:color w:val="3F4650"/>
                <w:sz w:val="18"/>
                <w:szCs w:val="18"/>
              </w:rPr>
              <w:t xml:space="preserve">Implementation record / SOC handoff documentation</w:t>
            </w:r>
          </w:p>
        </w:tc>
        <w:tc>
          <w:tcPr>
            <w:tcW w:type="dxa" w:w="2560"/>
            <w:shd w:fill="FCE4D6" w:val="clear"/>
          </w:tcPr>
          <w:p>
            <w:r>
              <w:rPr>
                <w:rFonts w:ascii="Arial" w:cs="Arial" w:eastAsia="Arial" w:hAnsi="Arial"/>
                <w:b w:val="false"/>
                <w:bCs w:val="false"/>
                <w:color w:val="3F4650"/>
                <w:sz w:val="18"/>
                <w:szCs w:val="18"/>
              </w:rPr>
              <w:t xml:space="preserve">Implementation complete — SOC transition in progress</w:t>
            </w:r>
          </w:p>
        </w:tc>
      </w:tr>
      <w:tr>
        <w:tc>
          <w:tcPr>
            <w:tcW w:type="dxa" w:w="3400"/>
          </w:tcPr>
          <w:p>
            <w:r>
              <w:rPr>
                <w:rFonts w:ascii="Arial" w:cs="Arial" w:eastAsia="Arial" w:hAnsi="Arial"/>
                <w:b w:val="false"/>
                <w:bCs w:val="false"/>
                <w:color w:val="3F4650"/>
                <w:sz w:val="18"/>
                <w:szCs w:val="18"/>
              </w:rPr>
              <w:t xml:space="preserve">Approved flow matrix / denied-path testing for application-tier boundaries</w:t>
            </w:r>
          </w:p>
        </w:tc>
        <w:tc>
          <w:tcPr>
            <w:tcW w:type="dxa" w:w="3400"/>
          </w:tcPr>
          <w:p>
            <w:r>
              <w:rPr>
                <w:rFonts w:ascii="Arial" w:cs="Arial" w:eastAsia="Arial" w:hAnsi="Arial"/>
                <w:b w:val="false"/>
                <w:bCs w:val="false"/>
                <w:color w:val="3F4650"/>
                <w:sz w:val="18"/>
                <w:szCs w:val="18"/>
              </w:rPr>
              <w:t xml:space="preserve">Network Security Engineering test records</w:t>
            </w:r>
          </w:p>
        </w:tc>
        <w:tc>
          <w:tcPr>
            <w:tcW w:type="dxa" w:w="2560"/>
            <w:shd w:fill="FCE4D6" w:val="clear"/>
          </w:tcPr>
          <w:p>
            <w:r>
              <w:rPr>
                <w:rFonts w:ascii="Arial" w:cs="Arial" w:eastAsia="Arial" w:hAnsi="Arial"/>
                <w:b w:val="false"/>
                <w:bCs w:val="false"/>
                <w:color w:val="3F4650"/>
                <w:sz w:val="18"/>
                <w:szCs w:val="18"/>
              </w:rPr>
              <w:t xml:space="preserve">Not yet confirmed</w:t>
            </w:r>
          </w:p>
        </w:tc>
      </w:tr>
    </w:tbl>
    <w:p>
      <w:pPr>
        <w:spacing w:after="200"/>
      </w:pPr>
    </w:p>
    <w:p>
      <w:pPr>
        <w:pStyle w:val="Heading1"/>
        <w:spacing w:after="100" w:before="240"/>
      </w:pPr>
      <w:r>
        <w:rPr>
          <w:rFonts w:ascii="Arial" w:cs="Arial" w:eastAsia="Arial" w:hAnsi="Arial"/>
          <w:b/>
          <w:bCs/>
          <w:color w:val="23364D"/>
        </w:rPr>
        <w:t xml:space="preserve">Flow 3: PCI Application → Off-Site Payment Provider (external egress)</w:t>
      </w:r>
    </w:p>
    <w:p>
      <w:pPr>
        <w:spacing w:after="100" w:line="280"/>
      </w:pPr>
      <w:r>
        <w:rPr>
          <w:rFonts w:ascii="Arial" w:cs="Arial" w:eastAsia="Arial" w:hAnsi="Arial"/>
          <w:b w:val="false"/>
          <w:bCs w:val="false"/>
          <w:i w:val="false"/>
          <w:iCs w:val="false"/>
          <w:color w:val="3F4650"/>
          <w:sz w:val="20"/>
          <w:szCs w:val="20"/>
        </w:rPr>
        <w:t xml:space="preserve">Control in place: Web Proxy and Egress NGFW with Threat Inspection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shd w:fill="23364D" w:val="clear"/>
            <w:vAlign w:val="center"/>
          </w:tcPr>
          <w:p>
            <w:r>
              <w:rPr>
                <w:rFonts w:ascii="Arial" w:cs="Arial" w:eastAsia="Arial" w:hAnsi="Arial"/>
                <w:b/>
                <w:bCs/>
                <w:color w:val="FFFFFF"/>
                <w:sz w:val="18"/>
                <w:szCs w:val="18"/>
              </w:rPr>
              <w:t xml:space="preserve">Evidence item</w:t>
            </w:r>
          </w:p>
        </w:tc>
        <w:tc>
          <w:tcPr>
            <w:tcW w:type="dxa" w:w="3400"/>
            <w:shd w:fill="23364D" w:val="clear"/>
            <w:vAlign w:val="center"/>
          </w:tcPr>
          <w:p>
            <w:r>
              <w:rPr>
                <w:rFonts w:ascii="Arial" w:cs="Arial" w:eastAsia="Arial" w:hAnsi="Arial"/>
                <w:b/>
                <w:bCs/>
                <w:color w:val="FFFFFF"/>
                <w:sz w:val="18"/>
                <w:szCs w:val="18"/>
              </w:rPr>
              <w:t xml:space="preserve">Source / format</w:t>
            </w:r>
          </w:p>
        </w:tc>
        <w:tc>
          <w:tcPr>
            <w:tcW w:type="dxa" w:w="2560"/>
            <w:shd w:fill="23364D" w:val="clear"/>
            <w:vAlign w:val="center"/>
          </w:tcPr>
          <w:p>
            <w:r>
              <w:rPr>
                <w:rFonts w:ascii="Arial" w:cs="Arial" w:eastAsia="Arial" w:hAnsi="Arial"/>
                <w:b/>
                <w:bCs/>
                <w:color w:val="FFFFFF"/>
                <w:sz w:val="18"/>
                <w:szCs w:val="18"/>
              </w:rPr>
              <w:t xml:space="preserve">Collection status</w:t>
            </w:r>
          </w:p>
        </w:tc>
      </w:tr>
      <w:tr>
        <w:tc>
          <w:tcPr>
            <w:tcW w:type="dxa" w:w="3400"/>
          </w:tcPr>
          <w:p>
            <w:r>
              <w:rPr>
                <w:rFonts w:ascii="Arial" w:cs="Arial" w:eastAsia="Arial" w:hAnsi="Arial"/>
                <w:b w:val="false"/>
                <w:bCs w:val="false"/>
                <w:color w:val="3F4650"/>
                <w:sz w:val="18"/>
                <w:szCs w:val="18"/>
              </w:rPr>
              <w:t xml:space="preserve">Egress NGFW rule set for payment-provider destinations — explicit, destination-specific rules</w:t>
            </w:r>
          </w:p>
        </w:tc>
        <w:tc>
          <w:tcPr>
            <w:tcW w:type="dxa" w:w="3400"/>
          </w:tcPr>
          <w:p>
            <w:r>
              <w:rPr>
                <w:rFonts w:ascii="Arial" w:cs="Arial" w:eastAsia="Arial" w:hAnsi="Arial"/>
                <w:b w:val="false"/>
                <w:bCs w:val="false"/>
                <w:color w:val="3F4650"/>
                <w:sz w:val="18"/>
                <w:szCs w:val="18"/>
              </w:rPr>
              <w:t xml:space="preserve">Panorama / NGFW export</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Threat Inspection Policy binding and deployed mode on the egress channel</w:t>
            </w:r>
          </w:p>
        </w:tc>
        <w:tc>
          <w:tcPr>
            <w:tcW w:type="dxa" w:w="3400"/>
          </w:tcPr>
          <w:p>
            <w:r>
              <w:rPr>
                <w:rFonts w:ascii="Arial" w:cs="Arial" w:eastAsia="Arial" w:hAnsi="Arial"/>
                <w:b w:val="false"/>
                <w:bCs w:val="false"/>
                <w:color w:val="3F4650"/>
                <w:sz w:val="18"/>
                <w:szCs w:val="18"/>
              </w:rPr>
              <w:t xml:space="preserve">NGFW config export</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DNS egress restriction to approved resolvers for this traffic</w:t>
            </w:r>
          </w:p>
        </w:tc>
        <w:tc>
          <w:tcPr>
            <w:tcW w:type="dxa" w:w="3400"/>
          </w:tcPr>
          <w:p>
            <w:r>
              <w:rPr>
                <w:rFonts w:ascii="Arial" w:cs="Arial" w:eastAsia="Arial" w:hAnsi="Arial"/>
                <w:b w:val="false"/>
                <w:bCs w:val="false"/>
                <w:color w:val="3F4650"/>
                <w:sz w:val="18"/>
                <w:szCs w:val="18"/>
              </w:rPr>
              <w:t xml:space="preserve">DNS policy config</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TLS-decryption scope and documentation of cardholder-data exposure consideration at the decryption point</w:t>
            </w:r>
          </w:p>
        </w:tc>
        <w:tc>
          <w:tcPr>
            <w:tcW w:type="dxa" w:w="3400"/>
          </w:tcPr>
          <w:p>
            <w:r>
              <w:rPr>
                <w:rFonts w:ascii="Arial" w:cs="Arial" w:eastAsia="Arial" w:hAnsi="Arial"/>
                <w:b w:val="false"/>
                <w:bCs w:val="false"/>
                <w:color w:val="3F4650"/>
                <w:sz w:val="18"/>
                <w:szCs w:val="18"/>
              </w:rPr>
              <w:t xml:space="preserve">Decryption policy documentation</w:t>
            </w:r>
          </w:p>
        </w:tc>
        <w:tc>
          <w:tcPr>
            <w:tcW w:type="dxa" w:w="2560"/>
            <w:shd w:fill="FCE4D6" w:val="clear"/>
          </w:tcPr>
          <w:p>
            <w:r>
              <w:rPr>
                <w:rFonts w:ascii="Arial" w:cs="Arial" w:eastAsia="Arial" w:hAnsi="Arial"/>
                <w:b w:val="false"/>
                <w:bCs w:val="false"/>
                <w:color w:val="3F4650"/>
                <w:sz w:val="18"/>
                <w:szCs w:val="18"/>
              </w:rPr>
              <w:t xml:space="preserve">Not yet confirmed</w:t>
            </w:r>
          </w:p>
        </w:tc>
      </w:tr>
      <w:tr>
        <w:tc>
          <w:tcPr>
            <w:tcW w:type="dxa" w:w="3400"/>
          </w:tcPr>
          <w:p>
            <w:r>
              <w:rPr>
                <w:rFonts w:ascii="Arial" w:cs="Arial" w:eastAsia="Arial" w:hAnsi="Arial"/>
                <w:b w:val="false"/>
                <w:bCs w:val="false"/>
                <w:color w:val="3F4650"/>
                <w:sz w:val="18"/>
                <w:szCs w:val="18"/>
              </w:rPr>
              <w:t xml:space="preserve">Web Proxy platform identification (Aetna Skyhigh, CVS Skyhigh, or Zscaler) carrying this traffic</w:t>
            </w:r>
          </w:p>
        </w:tc>
        <w:tc>
          <w:tcPr>
            <w:tcW w:type="dxa" w:w="3400"/>
          </w:tcPr>
          <w:p>
            <w:r>
              <w:rPr>
                <w:rFonts w:ascii="Arial" w:cs="Arial" w:eastAsia="Arial" w:hAnsi="Arial"/>
                <w:b w:val="false"/>
                <w:bCs w:val="false"/>
                <w:color w:val="3F4650"/>
                <w:sz w:val="18"/>
                <w:szCs w:val="18"/>
              </w:rPr>
              <w:t xml:space="preserve">Proxy routing / policy config</w:t>
            </w:r>
          </w:p>
        </w:tc>
        <w:tc>
          <w:tcPr>
            <w:tcW w:type="dxa" w:w="2560"/>
            <w:shd w:fill="FCE4D6" w:val="clear"/>
          </w:tcPr>
          <w:p>
            <w:r>
              <w:rPr>
                <w:rFonts w:ascii="Arial" w:cs="Arial" w:eastAsia="Arial" w:hAnsi="Arial"/>
                <w:b w:val="false"/>
                <w:bCs w:val="false"/>
                <w:color w:val="3F4650"/>
                <w:sz w:val="18"/>
                <w:szCs w:val="18"/>
              </w:rPr>
              <w:t xml:space="preserve">Not yet confirmed</w:t>
            </w:r>
          </w:p>
        </w:tc>
      </w:tr>
    </w:tbl>
    <w:p>
      <w:pPr>
        <w:spacing w:after="200"/>
      </w:pPr>
    </w:p>
    <w:p>
      <w:pPr>
        <w:pStyle w:val="Heading1"/>
        <w:spacing w:after="100" w:before="240"/>
      </w:pPr>
      <w:r>
        <w:rPr>
          <w:rFonts w:ascii="Arial" w:cs="Arial" w:eastAsia="Arial" w:hAnsi="Arial"/>
          <w:b/>
          <w:bCs/>
          <w:color w:val="23364D"/>
        </w:rPr>
        <w:t xml:space="preserve">MWDC-013.1 — Specific Control Mapping</w:t>
      </w:r>
    </w:p>
    <w:p>
      <w:pPr>
        <w:spacing w:after="100" w:line="280"/>
      </w:pPr>
      <w:r>
        <w:rPr>
          <w:rFonts w:ascii="Arial" w:cs="Arial" w:eastAsia="Arial" w:hAnsi="Arial"/>
          <w:b w:val="false"/>
          <w:bCs w:val="false"/>
          <w:i w:val="false"/>
          <w:iCs w:val="false"/>
          <w:color w:val="3F4650"/>
          <w:sz w:val="20"/>
          <w:szCs w:val="20"/>
        </w:rPr>
        <w:t xml:space="preserve">Control language: "IDS devices are in place to monitor network traffic from the internet into the DMZ, Business to Business partner networks, and Payment Card Industry (PCI). Alerts are sent to Splunk and reviewed by the Security Operations Center (SOC)." This control requires monitoring, Splunk alerting, and SOC review — not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shd w:fill="23364D" w:val="clear"/>
            <w:vAlign w:val="center"/>
          </w:tcPr>
          <w:p>
            <w:r>
              <w:rPr>
                <w:rFonts w:ascii="Arial" w:cs="Arial" w:eastAsia="Arial" w:hAnsi="Arial"/>
                <w:b/>
                <w:bCs/>
                <w:color w:val="FFFFFF"/>
                <w:sz w:val="18"/>
                <w:szCs w:val="18"/>
              </w:rPr>
              <w:t xml:space="preserve">Evidence item</w:t>
            </w:r>
          </w:p>
        </w:tc>
        <w:tc>
          <w:tcPr>
            <w:tcW w:type="dxa" w:w="3400"/>
            <w:shd w:fill="23364D" w:val="clear"/>
            <w:vAlign w:val="center"/>
          </w:tcPr>
          <w:p>
            <w:r>
              <w:rPr>
                <w:rFonts w:ascii="Arial" w:cs="Arial" w:eastAsia="Arial" w:hAnsi="Arial"/>
                <w:b/>
                <w:bCs/>
                <w:color w:val="FFFFFF"/>
                <w:sz w:val="18"/>
                <w:szCs w:val="18"/>
              </w:rPr>
              <w:t xml:space="preserve">Source / identifier</w:t>
            </w:r>
          </w:p>
        </w:tc>
        <w:tc>
          <w:tcPr>
            <w:tcW w:type="dxa" w:w="2560"/>
            <w:shd w:fill="23364D" w:val="clear"/>
            <w:vAlign w:val="center"/>
          </w:tcPr>
          <w:p>
            <w:r>
              <w:rPr>
                <w:rFonts w:ascii="Arial" w:cs="Arial" w:eastAsia="Arial" w:hAnsi="Arial"/>
                <w:b/>
                <w:bCs/>
                <w:color w:val="FFFFFF"/>
                <w:sz w:val="18"/>
                <w:szCs w:val="18"/>
              </w:rPr>
              <w:t xml:space="preserve">Collection status</w:t>
            </w:r>
          </w:p>
        </w:tc>
      </w:tr>
      <w:tr>
        <w:tc>
          <w:tcPr>
            <w:tcW w:type="dxa" w:w="3400"/>
          </w:tcPr>
          <w:p>
            <w:r>
              <w:rPr>
                <w:rFonts w:ascii="Arial" w:cs="Arial" w:eastAsia="Arial" w:hAnsi="Arial"/>
                <w:b w:val="false"/>
                <w:bCs w:val="false"/>
                <w:color w:val="3F4650"/>
                <w:sz w:val="18"/>
                <w:szCs w:val="18"/>
              </w:rPr>
              <w:t xml:space="preserve">SNORT / eStreamer intrusion detection configuration</w:t>
            </w:r>
          </w:p>
        </w:tc>
        <w:tc>
          <w:tcPr>
            <w:tcW w:type="dxa" w:w="3400"/>
          </w:tcPr>
          <w:p>
            <w:r>
              <w:rPr>
                <w:rFonts w:ascii="Arial" w:cs="Arial" w:eastAsia="Arial" w:hAnsi="Arial"/>
                <w:b w:val="false"/>
                <w:bCs w:val="false"/>
                <w:color w:val="3F4650"/>
                <w:sz w:val="18"/>
                <w:szCs w:val="18"/>
              </w:rPr>
              <w:t xml:space="preserve">Cisco FMC — device ID C9BBCA6762BD483D</w:t>
            </w:r>
          </w:p>
        </w:tc>
        <w:tc>
          <w:tcPr>
            <w:tcW w:type="dxa" w:w="2560"/>
            <w:shd w:fill="E2EFDA" w:val="clear"/>
          </w:tcPr>
          <w:p>
            <w:r>
              <w:rPr>
                <w:rFonts w:ascii="Arial" w:cs="Arial" w:eastAsia="Arial" w:hAnsi="Arial"/>
                <w:b w:val="false"/>
                <w:bCs w:val="false"/>
                <w:color w:val="3F4650"/>
                <w:sz w:val="18"/>
                <w:szCs w:val="18"/>
              </w:rPr>
              <w:t xml:space="preserve">Available</w:t>
            </w:r>
          </w:p>
        </w:tc>
      </w:tr>
      <w:tr>
        <w:tc>
          <w:tcPr>
            <w:tcW w:type="dxa" w:w="3400"/>
          </w:tcPr>
          <w:p>
            <w:r>
              <w:rPr>
                <w:rFonts w:ascii="Arial" w:cs="Arial" w:eastAsia="Arial" w:hAnsi="Arial"/>
                <w:b w:val="false"/>
                <w:bCs w:val="false"/>
                <w:color w:val="3F4650"/>
                <w:sz w:val="18"/>
                <w:szCs w:val="18"/>
              </w:rPr>
              <w:t xml:space="preserve">Alert routing and SOC review evidence</w:t>
            </w:r>
          </w:p>
        </w:tc>
        <w:tc>
          <w:tcPr>
            <w:tcW w:type="dxa" w:w="3400"/>
          </w:tcPr>
          <w:p>
            <w:r>
              <w:rPr>
                <w:rFonts w:ascii="Arial" w:cs="Arial" w:eastAsia="Arial" w:hAnsi="Arial"/>
                <w:b w:val="false"/>
                <w:bCs w:val="false"/>
                <w:color w:val="3F4650"/>
                <w:sz w:val="18"/>
                <w:szCs w:val="18"/>
              </w:rPr>
              <w:t xml:space="preserve">Splunk Cloud Enterprise — device ID BA1BD2645E3B45AE</w:t>
            </w:r>
          </w:p>
        </w:tc>
        <w:tc>
          <w:tcPr>
            <w:tcW w:type="dxa" w:w="2560"/>
            <w:shd w:fill="FFF4D6" w:val="clear"/>
          </w:tcPr>
          <w:p>
            <w:r>
              <w:rPr>
                <w:rFonts w:ascii="Arial" w:cs="Arial" w:eastAsia="Arial" w:hAnsi="Arial"/>
                <w:b w:val="false"/>
                <w:bCs w:val="false"/>
                <w:color w:val="3F4650"/>
                <w:sz w:val="18"/>
                <w:szCs w:val="18"/>
              </w:rPr>
              <w:t xml:space="preserve">Partial — SOC transition in progress (Windsor/Middletown)</w:t>
            </w:r>
          </w:p>
        </w:tc>
      </w:tr>
      <w:tr>
        <w:tc>
          <w:tcPr>
            <w:tcW w:type="dxa" w:w="3400"/>
          </w:tcPr>
          <w:p>
            <w:r>
              <w:rPr>
                <w:rFonts w:ascii="Arial" w:cs="Arial" w:eastAsia="Arial" w:hAnsi="Arial"/>
                <w:b w:val="false"/>
                <w:bCs w:val="false"/>
                <w:color w:val="3F4650"/>
                <w:sz w:val="18"/>
                <w:szCs w:val="18"/>
              </w:rPr>
              <w:t xml:space="preserve">Cisco FMC device classification under Network Devices inventory</w:t>
            </w:r>
          </w:p>
        </w:tc>
        <w:tc>
          <w:tcPr>
            <w:tcW w:type="dxa" w:w="3400"/>
          </w:tcPr>
          <w:p>
            <w:r>
              <w:rPr>
                <w:rFonts w:ascii="Arial" w:cs="Arial" w:eastAsia="Arial" w:hAnsi="Arial"/>
                <w:b w:val="false"/>
                <w:bCs w:val="false"/>
                <w:color w:val="3F4650"/>
                <w:sz w:val="18"/>
                <w:szCs w:val="18"/>
              </w:rPr>
              <w:t xml:space="preserve">CMDB / asset inventory (ties to OBS #127, DRL #7)</w:t>
            </w:r>
          </w:p>
        </w:tc>
        <w:tc>
          <w:tcPr>
            <w:tcW w:type="dxa" w:w="2560"/>
            <w:shd w:fill="FCE4D6" w:val="clear"/>
          </w:tcPr>
          <w:p>
            <w:r>
              <w:rPr>
                <w:rFonts w:ascii="Arial" w:cs="Arial" w:eastAsia="Arial" w:hAnsi="Arial"/>
                <w:b w:val="false"/>
                <w:bCs w:val="false"/>
                <w:color w:val="3F4650"/>
                <w:sz w:val="18"/>
                <w:szCs w:val="18"/>
              </w:rPr>
              <w:t xml:space="preserve">Not yet confirmed</w:t>
            </w:r>
          </w:p>
        </w:tc>
      </w:tr>
    </w:tbl>
    <w:p>
      <w:pPr>
        <w:spacing w:after="100" w:before="150"/>
      </w:pPr>
      <w:r>
        <w:rPr>
          <w:rFonts w:ascii="Arial" w:cs="Arial" w:eastAsia="Arial" w:hAnsi="Arial"/>
          <w:color w:val="3F4650"/>
          <w:sz w:val="20"/>
          <w:szCs w:val="20"/>
        </w:rPr>
        <w:t xml:space="preserve">SOC2 Points of Focus this control maps to: CC6.6.04 (Implements Boundary Protection Systems), CC6.8.05 (Scans Information Assets From Outside the Entity for Malware), CC7.2.02 (Designs Detection Measures).</w:t>
      </w:r>
    </w:p>
    <w:p>
      <w:pPr>
        <w:pStyle w:val="Heading1"/>
        <w:spacing w:after="100" w:before="240"/>
      </w:pPr>
      <w:r>
        <w:rPr>
          <w:rFonts w:ascii="Arial" w:cs="Arial" w:eastAsia="Arial" w:hAnsi="Arial"/>
          <w:b/>
          <w:bCs/>
          <w:color w:val="23364D"/>
        </w:rPr>
        <w:t xml:space="preserve">Notes</w:t>
      </w:r>
    </w:p>
    <w:p>
      <w:pPr>
        <w:pStyle w:val="ListParagraph"/>
        <w:numPr>
          <w:ilvl w:val="0"/>
          <w:numId w:val="1"/>
        </w:numPr>
        <w:spacing w:after="60" w:line="270"/>
      </w:pPr>
      <w:r>
        <w:rPr>
          <w:rFonts w:ascii="Arial" w:cs="Arial" w:eastAsia="Arial" w:hAnsi="Arial"/>
          <w:color w:val="3F4650"/>
          <w:sz w:val="20"/>
          <w:szCs w:val="20"/>
        </w:rPr>
        <w:t xml:space="preserve">Collection status reflects what has been gathered as of September 2026, not a judgment on control adequacy — items marked "Not yet confirmed" are collection gaps, not findings of failure.</w:t>
      </w:r>
    </w:p>
    <w:p>
      <w:pPr>
        <w:pStyle w:val="ListParagraph"/>
        <w:numPr>
          <w:ilvl w:val="0"/>
          <w:numId w:val="1"/>
        </w:numPr>
        <w:spacing w:after="60" w:line="270"/>
      </w:pPr>
      <w:r>
        <w:rPr>
          <w:rFonts w:ascii="Arial" w:cs="Arial" w:eastAsia="Arial" w:hAnsi="Arial"/>
          <w:color w:val="3F4650"/>
          <w:sz w:val="20"/>
          <w:szCs w:val="20"/>
        </w:rPr>
        <w:t xml:space="preserve">Flow 3's Threat Inspection control is a distinct enforcement point from Flow 2's FMC/Snort IDS stack — evidence should not be cross-attributed between the two.</w:t>
      </w:r>
    </w:p>
    <w:p>
      <w:pPr>
        <w:pStyle w:val="ListParagraph"/>
        <w:numPr>
          <w:ilvl w:val="0"/>
          <w:numId w:val="1"/>
        </w:numPr>
        <w:spacing w:after="60" w:line="270"/>
      </w:pPr>
      <w:r>
        <w:rPr>
          <w:rFonts w:ascii="Arial" w:cs="Arial" w:eastAsia="Arial" w:hAnsi="Arial"/>
          <w:color w:val="3F4650"/>
          <w:sz w:val="20"/>
          <w:szCs w:val="20"/>
        </w:rPr>
        <w:t xml:space="preserve">This plan should be updated as evidence is collected; move items from “Not yet confirmed” to “Available” as artifacts are gathered, rather than treating this as a static one-time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2026-09-14T15:52:18.354Z</dcterms:created>
  <dcterms:modified xsi:type="dcterms:W3CDTF">2026-09-14T15:52:18.377Z</dcterms:modified>
</cp:coreProperties>
</file>

<file path=docProps/custom.xml><?xml version="1.0" encoding="utf-8"?>
<Properties xmlns="http://schemas.openxmlformats.org/officeDocument/2006/custom-properties" xmlns:vt="http://schemas.openxmlformats.org/officeDocument/2006/docPropsVTypes"/>
</file>