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Target Policy &amp; Enforcement Model</w:t>
      </w:r>
    </w:p>
    <w:p>
      <w:pPr>
        <w:pBdr>
          <w:bottom w:val="single" w:color="8C1D18" w:sz="12" w:space="8"/>
        </w:pBdr>
        <w:spacing w:after="400"/>
      </w:pPr>
      <w:r>
        <w:rPr>
          <w:i/>
          <w:iCs/>
          <w:color w:val="5B6169"/>
          <w:sz w:val="19"/>
          <w:szCs w:val="19"/>
        </w:rPr>
        <w:t xml:space="preserve">This document states the target design directly, as policy — not as a list of findings. Current-state gaps are measured against this model, not the reverse.</w:t>
      </w:r>
    </w:p>
    <w:p>
      <w:pPr>
        <w:pStyle w:val="Heading1"/>
        <w:spacing w:after="160" w:before="360"/>
      </w:pPr>
      <w:r>
        <w:t xml:space="preserve">0. Why This Migration Is Harder Than a Platform Swap</w:t>
      </w:r>
    </w:p>
    <w:p>
      <w:pPr>
        <w:spacing w:after="120"/>
      </w:pPr>
      <w:r>
        <w:rPr>
          <w:b/>
          <w:bCs/>
        </w:rPr>
        <w:t xml:space="preserve">The business currently operates a proxy-centralized, implicit-permit model. A proxy, by sitting inline as a mandatory choke point, gets IDS/IPS, content inspection, decrypt, and DLP as properties of being the proxy — routing traffic through it bundles all four together automatically. Palo Alto has no equivalent bundling. Each function is an independently configured object that must be deliberately built, wired, and scoped on its own — nothing is inherited from merely being in the traffic path.</w:t>
      </w:r>
    </w:p>
    <w:p>
      <w:pPr>
        <w:spacing w:after="120"/>
      </w:pPr>
      <w:r>
        <w:t xml:space="preserve">This is the mechanical reason this migration is harder than a lift-and-shift: the proxy did four jobs by being one thing in the wire. Palo Alto has to be told to do four separate jobs, correctly, four separate times — this is why Sections 2 through 4 of this document exist as separate policies rather than one combined migration checklist.</w:t>
      </w:r>
    </w:p>
    <w:p>
      <w:pPr>
        <w:spacing w:after="120"/>
      </w:pPr>
      <w:r>
        <w:t xml:space="preserve">Mail is out of scope for Palo Alto by design, not by gap. Mail requires transactional, server-level processing (queue/deliver/quarantine/retry) that a wire-speed inline device isn't built for. WildFire's real mechanism — pull a file from a stream if identifiable, submit for sandbox verdict, act on result — is remediation tooling bolted onto content inspection, not a document-management system. Do not scope mail-based file egress into any policy in this document.</w:t>
      </w:r>
    </w:p>
    <w:p>
      <w:pPr>
        <w:spacing w:after="120"/>
      </w:pPr>
      <w:r>
        <w:t xml:space="preserve">No conceptual distinction currently exists between server, application, and user traffic — confirmed at the config level: server-internet-access today is a set of individually-named point rules (Citrix, SAP, Akamai, etc.) sitting in the same rulebase as ordinary user workstation traffic, with no distinct zone or default posture reflecting that a server has no legitimate reason to browse the general internet the way a person does. Section 5 exists specifically to correct this.</w:t>
      </w:r>
    </w:p>
    <w:p>
      <w:pPr>
        <w:spacing w:after="120"/>
      </w:pPr>
      <w:r>
        <w:rPr>
          <w:b/>
          <w:bCs/>
        </w:rPr>
        <w:t xml:space="preserve">Both current architectures are implicit-trust by construction, just shaped differently: Aetna's is a set of concentric rings (edmz wrapping dmz wrapping clouddmz/qadmz) — trust granted by which ring you're inside. CVS's is a moat (control concentrated at a small number of edge stacks, comparatively undifferentiated behind it) — trust granted by having crossed the boundary. Neither grants trust by verified identity or verified transaction. Reproducing either shape on Palo Alto hardware completes a platform swap without moving the business toward the zero-trust model it has stated as the goal — every policy in this document is written to avoid that outcome, not just to replicate current behavior on new hardware.</w:t>
      </w:r>
    </w:p>
    <w:p>
      <w:pPr>
        <w:spacing w:after="120"/>
      </w:pPr>
      <w:r>
        <w:t xml:space="preserve">Transparent vs. explicit proxy is a real, protocol-level migration-cost difference between the two estates, not a preference. CVS's proxy is reached via transparent interception (WCCP) — clients believe they're talking directly to the destination, so Palo Alto can become the new transparent intercept point with no client-side change. Aetna's proxy is reached via explicit configuration (a PAC file, client sends CONNECT to a named proxy host) — migrating requires retiring that PAC file or managing two client-visible proxy states during transition. Plan Aetna's migration timeline accordingly; it is not the same lift as CVS's.</w:t>
      </w:r>
    </w:p>
    <w:p>
      <w:pPr>
        <w:pStyle w:val="Heading1"/>
        <w:spacing w:after="160" w:before="360"/>
      </w:pPr>
      <w:r>
        <w:t xml:space="preserve">1. The Enforcement Model — Three Layers, Always</w:t>
      </w:r>
    </w:p>
    <w:p>
      <w:pPr>
        <w:spacing w:after="120"/>
      </w:pPr>
      <w:r>
        <w:t xml:space="preserve">Every control in this estate — file inspection, content filtering, tenant restriction, threat prevention — is built from the same three layers, in the same order, every time. This is not optional structure; it is how the platform works, and every policy below is defined in these terms.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00"/>
      </w:tblGrid>
      <w:tr>
        <w:trPr>
          <w:tblHeader/>
        </w:trPr>
        <w:tc>
          <w:tcPr>
            <w:tcW w:type="dxa" w:w="2200"/>
            <w:shd w:fill="8C1D18" w:val="clear"/>
            <w:tcMar>
              <w:top w:type="dxa" w:w="100"/>
              <w:left w:type="dxa" w:w="120"/>
              <w:bottom w:type="dxa" w:w="100"/>
              <w:right w:type="dxa" w:w="120"/>
            </w:tcMar>
          </w:tcPr>
          <w:p>
            <w:r>
              <w:rPr>
                <w:b/>
                <w:bCs/>
                <w:color w:val="FFFFFF"/>
                <w:sz w:val="19"/>
                <w:szCs w:val="19"/>
              </w:rPr>
              <w:t xml:space="preserve">Layer</w:t>
            </w:r>
          </w:p>
        </w:tc>
        <w:tc>
          <w:tcPr>
            <w:tcW w:type="dxa" w:w="4200"/>
            <w:shd w:fill="8C1D18" w:val="clear"/>
            <w:tcMar>
              <w:top w:type="dxa" w:w="100"/>
              <w:left w:type="dxa" w:w="120"/>
              <w:bottom w:type="dxa" w:w="100"/>
              <w:right w:type="dxa" w:w="120"/>
            </w:tcMar>
          </w:tcPr>
          <w:p>
            <w:r>
              <w:rPr>
                <w:b/>
                <w:bCs/>
                <w:color w:val="FFFFFF"/>
                <w:sz w:val="19"/>
                <w:szCs w:val="19"/>
              </w:rPr>
              <w:t xml:space="preserve">Question It Answers</w:t>
            </w:r>
          </w:p>
        </w:tc>
        <w:tc>
          <w:tcPr>
            <w:tcW w:type="dxa" w:w="3800"/>
            <w:shd w:fill="8C1D18" w:val="clear"/>
            <w:tcMar>
              <w:top w:type="dxa" w:w="100"/>
              <w:left w:type="dxa" w:w="120"/>
              <w:bottom w:type="dxa" w:w="100"/>
              <w:right w:type="dxa" w:w="120"/>
            </w:tcMar>
          </w:tcPr>
          <w:p>
            <w:r>
              <w:rPr>
                <w:b/>
                <w:bCs/>
                <w:color w:val="FFFFFF"/>
                <w:sz w:val="19"/>
                <w:szCs w:val="19"/>
              </w:rPr>
              <w:t xml:space="preserve">Where It Lives</w:t>
            </w:r>
          </w:p>
        </w:tc>
      </w:tr>
      <w:tr>
        <w:tc>
          <w:tcPr>
            <w:tcW w:type="dxa" w:w="2200"/>
            <w:tcMar>
              <w:top w:type="dxa" w:w="100"/>
              <w:left w:type="dxa" w:w="120"/>
              <w:bottom w:type="dxa" w:w="100"/>
              <w:right w:type="dxa" w:w="120"/>
            </w:tcMar>
          </w:tcPr>
          <w:p>
            <w:r>
              <w:rPr>
                <w:b w:val="false"/>
                <w:bCs w:val="false"/>
                <w:sz w:val="19"/>
                <w:szCs w:val="19"/>
              </w:rPr>
              <w:t xml:space="preserve">1. Traffic</w:t>
            </w:r>
          </w:p>
        </w:tc>
        <w:tc>
          <w:tcPr>
            <w:tcW w:type="dxa" w:w="4200"/>
            <w:tcMar>
              <w:top w:type="dxa" w:w="100"/>
              <w:left w:type="dxa" w:w="120"/>
              <w:bottom w:type="dxa" w:w="100"/>
              <w:right w:type="dxa" w:w="120"/>
            </w:tcMar>
          </w:tcPr>
          <w:p>
            <w:r>
              <w:rPr>
                <w:b w:val="false"/>
                <w:bCs w:val="false"/>
                <w:sz w:val="19"/>
                <w:szCs w:val="19"/>
              </w:rPr>
              <w:t xml:space="preserve">Is this session permitted to exist?</w:t>
            </w:r>
          </w:p>
        </w:tc>
        <w:tc>
          <w:tcPr>
            <w:tcW w:type="dxa" w:w="3800"/>
            <w:tcMar>
              <w:top w:type="dxa" w:w="100"/>
              <w:left w:type="dxa" w:w="120"/>
              <w:bottom w:type="dxa" w:w="100"/>
              <w:right w:type="dxa" w:w="120"/>
            </w:tcMar>
          </w:tcPr>
          <w:p>
            <w:r>
              <w:rPr>
                <w:b w:val="false"/>
                <w:bCs w:val="false"/>
                <w:sz w:val="19"/>
                <w:szCs w:val="19"/>
              </w:rPr>
              <w:t xml:space="preserve">Security Policy — action allow/deny</w:t>
            </w:r>
          </w:p>
        </w:tc>
      </w:tr>
      <w:tr>
        <w:tc>
          <w:tcPr>
            <w:tcW w:type="dxa" w:w="2200"/>
            <w:tcMar>
              <w:top w:type="dxa" w:w="100"/>
              <w:left w:type="dxa" w:w="120"/>
              <w:bottom w:type="dxa" w:w="100"/>
              <w:right w:type="dxa" w:w="120"/>
            </w:tcMar>
          </w:tcPr>
          <w:p>
            <w:r>
              <w:rPr>
                <w:b w:val="false"/>
                <w:bCs w:val="false"/>
                <w:sz w:val="19"/>
                <w:szCs w:val="19"/>
              </w:rPr>
              <w:t xml:space="preserve">2. Decrypt</w:t>
            </w:r>
          </w:p>
        </w:tc>
        <w:tc>
          <w:tcPr>
            <w:tcW w:type="dxa" w:w="4200"/>
            <w:tcMar>
              <w:top w:type="dxa" w:w="100"/>
              <w:left w:type="dxa" w:w="120"/>
              <w:bottom w:type="dxa" w:w="100"/>
              <w:right w:type="dxa" w:w="120"/>
            </w:tcMar>
          </w:tcPr>
          <w:p>
            <w:r>
              <w:rPr>
                <w:b w:val="false"/>
                <w:bCs w:val="false"/>
                <w:sz w:val="19"/>
                <w:szCs w:val="19"/>
              </w:rPr>
              <w:t xml:space="preserve">Can inspection see inside this session?</w:t>
            </w:r>
          </w:p>
        </w:tc>
        <w:tc>
          <w:tcPr>
            <w:tcW w:type="dxa" w:w="3800"/>
            <w:tcMar>
              <w:top w:type="dxa" w:w="100"/>
              <w:left w:type="dxa" w:w="120"/>
              <w:bottom w:type="dxa" w:w="100"/>
              <w:right w:type="dxa" w:w="120"/>
            </w:tcMar>
          </w:tcPr>
          <w:p>
            <w:r>
              <w:rPr>
                <w:b w:val="false"/>
                <w:bCs w:val="false"/>
                <w:sz w:val="19"/>
                <w:szCs w:val="19"/>
              </w:rPr>
              <w:t xml:space="preserve">Decryption Policy — action decrypt/no-decrypt</w:t>
            </w:r>
          </w:p>
        </w:tc>
      </w:tr>
      <w:tr>
        <w:tc>
          <w:tcPr>
            <w:tcW w:type="dxa" w:w="2200"/>
            <w:tcMar>
              <w:top w:type="dxa" w:w="100"/>
              <w:left w:type="dxa" w:w="120"/>
              <w:bottom w:type="dxa" w:w="100"/>
              <w:right w:type="dxa" w:w="120"/>
            </w:tcMar>
          </w:tcPr>
          <w:p>
            <w:r>
              <w:rPr>
                <w:b w:val="false"/>
                <w:bCs w:val="false"/>
                <w:sz w:val="19"/>
                <w:szCs w:val="19"/>
              </w:rPr>
              <w:t xml:space="preserve">3. Content</w:t>
            </w:r>
          </w:p>
        </w:tc>
        <w:tc>
          <w:tcPr>
            <w:tcW w:type="dxa" w:w="4200"/>
            <w:tcMar>
              <w:top w:type="dxa" w:w="100"/>
              <w:left w:type="dxa" w:w="120"/>
              <w:bottom w:type="dxa" w:w="100"/>
              <w:right w:type="dxa" w:w="120"/>
            </w:tcMar>
          </w:tcPr>
          <w:p>
            <w:r>
              <w:rPr>
                <w:b w:val="false"/>
                <w:bCs w:val="false"/>
                <w:sz w:val="19"/>
                <w:szCs w:val="19"/>
              </w:rPr>
              <w:t xml:space="preserve">Given visibility, what happens to this content?</w:t>
            </w:r>
          </w:p>
        </w:tc>
        <w:tc>
          <w:tcPr>
            <w:tcW w:type="dxa" w:w="3800"/>
            <w:tcMar>
              <w:top w:type="dxa" w:w="100"/>
              <w:left w:type="dxa" w:w="120"/>
              <w:bottom w:type="dxa" w:w="100"/>
              <w:right w:type="dxa" w:w="120"/>
            </w:tcMar>
          </w:tcPr>
          <w:p>
            <w:r>
              <w:rPr>
                <w:b w:val="false"/>
                <w:bCs w:val="false"/>
                <w:sz w:val="19"/>
                <w:szCs w:val="19"/>
              </w:rPr>
              <w:t xml:space="preserve">Profiles attached to the Security rule — DLP, File Blocking, URL Filtering, AV</w:t>
            </w:r>
          </w:p>
        </w:tc>
      </w:tr>
    </w:tbl>
    <w:p>
      <w:pPr>
        <w:spacing w:after="120"/>
      </w:pPr>
      <w:r>
        <w:rPr>
          <w:b/>
          <w:bCs/>
        </w:rPr>
        <w:t xml:space="preserve">A policy is not complete until all three layers are defined for it, together, as one unit. A content-filtering rule with no matching decrypt rule is not a partial policy — it is not a policy at all; it does nothing. This is the single largest failure mode found in the current estate and the reason nothing below is described as "done" until all three layers are confirmed.</w:t>
      </w:r>
    </w:p>
    <w:p>
      <w:pPr>
        <w:spacing w:after="120"/>
      </w:pPr>
      <w:r>
        <w:rPr>
          <w:b/>
          <w:bCs/>
        </w:rPr>
        <w:t xml:space="preserve">A complete policy requires two rules per function, minimum — not one. This is a property of the enforcement model itself, not an optional refinement covered later.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800"/>
      </w:tblGrid>
      <w:tr>
        <w:trPr>
          <w:tblHeader/>
        </w:trPr>
        <w:tc>
          <w:tcPr>
            <w:tcW w:type="dxa" w:w="2200"/>
            <w:shd w:fill="8C1D18" w:val="clear"/>
            <w:tcMar>
              <w:top w:type="dxa" w:w="100"/>
              <w:left w:type="dxa" w:w="120"/>
              <w:bottom w:type="dxa" w:w="100"/>
              <w:right w:type="dxa" w:w="120"/>
            </w:tcMar>
          </w:tcPr>
          <w:p>
            <w:r>
              <w:rPr>
                <w:b/>
                <w:bCs/>
                <w:color w:val="FFFFFF"/>
                <w:sz w:val="19"/>
                <w:szCs w:val="19"/>
              </w:rPr>
              <w:t xml:space="preserve">Rule</w:t>
            </w:r>
          </w:p>
        </w:tc>
        <w:tc>
          <w:tcPr>
            <w:tcW w:type="dxa" w:w="2200"/>
            <w:shd w:fill="8C1D18" w:val="clear"/>
            <w:tcMar>
              <w:top w:type="dxa" w:w="100"/>
              <w:left w:type="dxa" w:w="120"/>
              <w:bottom w:type="dxa" w:w="100"/>
              <w:right w:type="dxa" w:w="120"/>
            </w:tcMar>
          </w:tcPr>
          <w:p>
            <w:r>
              <w:rPr>
                <w:b/>
                <w:bCs/>
                <w:color w:val="FFFFFF"/>
                <w:sz w:val="19"/>
                <w:szCs w:val="19"/>
              </w:rPr>
              <w:t xml:space="preserve">Order</w:t>
            </w:r>
          </w:p>
        </w:tc>
        <w:tc>
          <w:tcPr>
            <w:tcW w:type="dxa" w:w="5800"/>
            <w:shd w:fill="8C1D18" w:val="clear"/>
            <w:tcMar>
              <w:top w:type="dxa" w:w="100"/>
              <w:left w:type="dxa" w:w="120"/>
              <w:bottom w:type="dxa" w:w="100"/>
              <w:right w:type="dxa" w:w="120"/>
            </w:tcMar>
          </w:tcPr>
          <w:p>
            <w:r>
              <w:rPr>
                <w:b/>
                <w:bCs/>
                <w:color w:val="FFFFFF"/>
                <w:sz w:val="19"/>
                <w:szCs w:val="19"/>
              </w:rPr>
              <w:t xml:space="preserve">Function</w:t>
            </w:r>
          </w:p>
        </w:tc>
      </w:tr>
      <w:tr>
        <w:tc>
          <w:tcPr>
            <w:tcW w:type="dxa" w:w="2200"/>
            <w:tcMar>
              <w:top w:type="dxa" w:w="100"/>
              <w:left w:type="dxa" w:w="120"/>
              <w:bottom w:type="dxa" w:w="100"/>
              <w:right w:type="dxa" w:w="120"/>
            </w:tcMar>
          </w:tcPr>
          <w:p>
            <w:r>
              <w:rPr>
                <w:b w:val="false"/>
                <w:bCs w:val="false"/>
                <w:sz w:val="19"/>
                <w:szCs w:val="19"/>
              </w:rPr>
              <w:t xml:space="preserve">Exception rule</w:t>
            </w:r>
          </w:p>
        </w:tc>
        <w:tc>
          <w:tcPr>
            <w:tcW w:type="dxa" w:w="2200"/>
            <w:tcMar>
              <w:top w:type="dxa" w:w="100"/>
              <w:left w:type="dxa" w:w="120"/>
              <w:bottom w:type="dxa" w:w="100"/>
              <w:right w:type="dxa" w:w="120"/>
            </w:tcMar>
          </w:tcPr>
          <w:p>
            <w:r>
              <w:rPr>
                <w:b w:val="false"/>
                <w:bCs w:val="false"/>
                <w:sz w:val="19"/>
                <w:szCs w:val="19"/>
              </w:rPr>
              <w:t xml:space="preserve">Evaluated first</w:t>
            </w:r>
          </w:p>
        </w:tc>
        <w:tc>
          <w:tcPr>
            <w:tcW w:type="dxa" w:w="5800"/>
            <w:tcMar>
              <w:top w:type="dxa" w:w="100"/>
              <w:left w:type="dxa" w:w="120"/>
              <w:bottom w:type="dxa" w:w="100"/>
              <w:right w:type="dxa" w:w="120"/>
            </w:tcMar>
          </w:tcPr>
          <w:p>
            <w:r>
              <w:rPr>
                <w:b w:val="false"/>
                <w:bCs w:val="false"/>
                <w:sz w:val="19"/>
                <w:szCs w:val="19"/>
              </w:rPr>
              <w:t xml:space="preserve">Scoped narrower than the enforcement rule below it. Same zone/destination/application, restricted source. Carries no profile, or a deliberately lighter one. Documented reason required.</w:t>
            </w:r>
          </w:p>
        </w:tc>
      </w:tr>
      <w:tr>
        <w:tc>
          <w:tcPr>
            <w:tcW w:type="dxa" w:w="2200"/>
            <w:tcMar>
              <w:top w:type="dxa" w:w="100"/>
              <w:left w:type="dxa" w:w="120"/>
              <w:bottom w:type="dxa" w:w="100"/>
              <w:right w:type="dxa" w:w="120"/>
            </w:tcMar>
          </w:tcPr>
          <w:p>
            <w:r>
              <w:rPr>
                <w:b w:val="false"/>
                <w:bCs w:val="false"/>
                <w:sz w:val="19"/>
                <w:szCs w:val="19"/>
              </w:rPr>
              <w:t xml:space="preserve">Enforcement rule</w:t>
            </w:r>
          </w:p>
        </w:tc>
        <w:tc>
          <w:tcPr>
            <w:tcW w:type="dxa" w:w="2200"/>
            <w:tcMar>
              <w:top w:type="dxa" w:w="100"/>
              <w:left w:type="dxa" w:w="120"/>
              <w:bottom w:type="dxa" w:w="100"/>
              <w:right w:type="dxa" w:w="120"/>
            </w:tcMar>
          </w:tcPr>
          <w:p>
            <w:r>
              <w:rPr>
                <w:b w:val="false"/>
                <w:bCs w:val="false"/>
                <w:sz w:val="19"/>
                <w:szCs w:val="19"/>
              </w:rPr>
              <w:t xml:space="preserve">Evaluated second</w:t>
            </w:r>
          </w:p>
        </w:tc>
        <w:tc>
          <w:tcPr>
            <w:tcW w:type="dxa" w:w="5800"/>
            <w:tcMar>
              <w:top w:type="dxa" w:w="100"/>
              <w:left w:type="dxa" w:w="120"/>
              <w:bottom w:type="dxa" w:w="100"/>
              <w:right w:type="dxa" w:w="120"/>
            </w:tcMar>
          </w:tcPr>
          <w:p>
            <w:r>
              <w:rPr>
                <w:b w:val="false"/>
                <w:bCs w:val="false"/>
                <w:sz w:val="19"/>
                <w:szCs w:val="19"/>
              </w:rPr>
              <w:t xml:space="preserve">The general-population rule for this function, carrying the full profile-group.</w:t>
            </w:r>
          </w:p>
        </w:tc>
      </w:tr>
    </w:tbl>
    <w:p>
      <w:pPr>
        <w:spacing w:after="120"/>
      </w:pPr>
      <w:r>
        <w:rPr>
          <w:b/>
          <w:bCs/>
        </w:rPr>
        <w:t xml:space="preserve">On a single-pass, first-match-wins platform, there is no such thing as an exception field inside one rule — an exemption is a separate rule, physically ordered above the rule it exempts from. This is why every policy in this document (Sections 3, 4, 5, 6, 7) is a two-rule minimum, not a single rule with conditions attached, and why rule counts and review time for any new policy should be budgeted on this basis from the start. Section 9 details this pattern further for cases needing more than one exception.</w:t>
      </w:r>
    </w:p>
    <w:p>
      <w:pPr>
        <w:pStyle w:val="Heading1"/>
        <w:spacing w:after="160" w:before="360"/>
      </w:pPr>
      <w:r>
        <w:t xml:space="preserve">2. Capabilities and Functions Required — Master List</w:t>
      </w:r>
    </w:p>
    <w:p>
      <w:pPr>
        <w:spacing w:after="120"/>
      </w:pPr>
      <w:r>
        <w:t xml:space="preserve">Every distinct capability this estate needs, in one place. Each maps to a detailed policy section later in this document and, where applicable, a specific compliance driver.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400"/>
      </w:tblGrid>
      <w:tr>
        <w:trPr>
          <w:tblHeader/>
        </w:trPr>
        <w:tc>
          <w:tcPr>
            <w:tcW w:type="dxa" w:w="3600"/>
            <w:shd w:fill="8C1D18" w:val="clear"/>
            <w:tcMar>
              <w:top w:type="dxa" w:w="100"/>
              <w:left w:type="dxa" w:w="120"/>
              <w:bottom w:type="dxa" w:w="100"/>
              <w:right w:type="dxa" w:w="120"/>
            </w:tcMar>
          </w:tcPr>
          <w:p>
            <w:r>
              <w:rPr>
                <w:b/>
                <w:bCs/>
                <w:color w:val="FFFFFF"/>
                <w:sz w:val="19"/>
                <w:szCs w:val="19"/>
              </w:rPr>
              <w:t xml:space="preserve">Capability / Function</w:t>
            </w:r>
          </w:p>
        </w:tc>
        <w:tc>
          <w:tcPr>
            <w:tcW w:type="dxa" w:w="3200"/>
            <w:shd w:fill="8C1D18" w:val="clear"/>
            <w:tcMar>
              <w:top w:type="dxa" w:w="100"/>
              <w:left w:type="dxa" w:w="120"/>
              <w:bottom w:type="dxa" w:w="100"/>
              <w:right w:type="dxa" w:w="120"/>
            </w:tcMar>
          </w:tcPr>
          <w:p>
            <w:r>
              <w:rPr>
                <w:b/>
                <w:bCs/>
                <w:color w:val="FFFFFF"/>
                <w:sz w:val="19"/>
                <w:szCs w:val="19"/>
              </w:rPr>
              <w:t xml:space="preserve">Defined In</w:t>
            </w:r>
          </w:p>
        </w:tc>
        <w:tc>
          <w:tcPr>
            <w:tcW w:type="dxa" w:w="3400"/>
            <w:shd w:fill="8C1D18" w:val="clear"/>
            <w:tcMar>
              <w:top w:type="dxa" w:w="100"/>
              <w:left w:type="dxa" w:w="120"/>
              <w:bottom w:type="dxa" w:w="100"/>
              <w:right w:type="dxa" w:w="120"/>
            </w:tcMar>
          </w:tcPr>
          <w:p>
            <w:r>
              <w:rPr>
                <w:b/>
                <w:bCs/>
                <w:color w:val="FFFFFF"/>
                <w:sz w:val="19"/>
                <w:szCs w:val="19"/>
              </w:rPr>
              <w:t xml:space="preserve">Compliance Driver</w:t>
            </w:r>
          </w:p>
        </w:tc>
      </w:tr>
      <w:tr>
        <w:tc>
          <w:tcPr>
            <w:tcW w:type="dxa" w:w="3600"/>
            <w:tcMar>
              <w:top w:type="dxa" w:w="100"/>
              <w:left w:type="dxa" w:w="120"/>
              <w:bottom w:type="dxa" w:w="100"/>
              <w:right w:type="dxa" w:w="120"/>
            </w:tcMar>
          </w:tcPr>
          <w:p>
            <w:r>
              <w:rPr>
                <w:b w:val="false"/>
                <w:bCs w:val="false"/>
                <w:sz w:val="19"/>
                <w:szCs w:val="19"/>
              </w:rPr>
              <w:t xml:space="preserve">File type blocking (executables, encrypted archives/documents)</w:t>
            </w:r>
          </w:p>
        </w:tc>
        <w:tc>
          <w:tcPr>
            <w:tcW w:type="dxa" w:w="3200"/>
            <w:tcMar>
              <w:top w:type="dxa" w:w="100"/>
              <w:left w:type="dxa" w:w="120"/>
              <w:bottom w:type="dxa" w:w="100"/>
              <w:right w:type="dxa" w:w="120"/>
            </w:tcMar>
          </w:tcPr>
          <w:p>
            <w:r>
              <w:rPr>
                <w:b w:val="false"/>
                <w:bCs w:val="false"/>
                <w:sz w:val="19"/>
                <w:szCs w:val="19"/>
              </w:rPr>
              <w:t xml:space="preserve">Section 3 — Unified File Policy</w:t>
            </w:r>
          </w:p>
        </w:tc>
        <w:tc>
          <w:tcPr>
            <w:tcW w:type="dxa" w:w="3400"/>
            <w:tcMar>
              <w:top w:type="dxa" w:w="100"/>
              <w:left w:type="dxa" w:w="120"/>
              <w:bottom w:type="dxa" w:w="100"/>
              <w:right w:type="dxa" w:w="120"/>
            </w:tcMar>
          </w:tcPr>
          <w:p>
            <w:r>
              <w:rPr>
                <w:b w:val="false"/>
                <w:bCs w:val="false"/>
                <w:sz w:val="19"/>
                <w:szCs w:val="19"/>
              </w:rPr>
              <w:t xml:space="preserve">PCI DSS Req. 5/11; HIPAA Security Rule technical safeguards</w:t>
            </w:r>
          </w:p>
        </w:tc>
      </w:tr>
      <w:tr>
        <w:tc>
          <w:tcPr>
            <w:tcW w:type="dxa" w:w="3600"/>
            <w:tcMar>
              <w:top w:type="dxa" w:w="100"/>
              <w:left w:type="dxa" w:w="120"/>
              <w:bottom w:type="dxa" w:w="100"/>
              <w:right w:type="dxa" w:w="120"/>
            </w:tcMar>
          </w:tcPr>
          <w:p>
            <w:r>
              <w:rPr>
                <w:b w:val="false"/>
                <w:bCs w:val="false"/>
                <w:sz w:val="19"/>
                <w:szCs w:val="19"/>
              </w:rPr>
              <w:t xml:space="preserve">Content-pattern DLP — 7 approved patterns (SSN, PCI, Driver's License, Member ID, MBI, SSN-Masked, HICN)</w:t>
            </w:r>
          </w:p>
        </w:tc>
        <w:tc>
          <w:tcPr>
            <w:tcW w:type="dxa" w:w="3200"/>
            <w:tcMar>
              <w:top w:type="dxa" w:w="100"/>
              <w:left w:type="dxa" w:w="120"/>
              <w:bottom w:type="dxa" w:w="100"/>
              <w:right w:type="dxa" w:w="120"/>
            </w:tcMar>
          </w:tcPr>
          <w:p>
            <w:r>
              <w:rPr>
                <w:b w:val="false"/>
                <w:bCs w:val="false"/>
                <w:sz w:val="19"/>
                <w:szCs w:val="19"/>
              </w:rPr>
              <w:t xml:space="preserve">Section 3 — Unified File Policy</w:t>
            </w:r>
          </w:p>
        </w:tc>
        <w:tc>
          <w:tcPr>
            <w:tcW w:type="dxa" w:w="3400"/>
            <w:tcMar>
              <w:top w:type="dxa" w:w="100"/>
              <w:left w:type="dxa" w:w="120"/>
              <w:bottom w:type="dxa" w:w="100"/>
              <w:right w:type="dxa" w:w="120"/>
            </w:tcMar>
          </w:tcPr>
          <w:p>
            <w:r>
              <w:rPr>
                <w:b w:val="false"/>
                <w:bCs w:val="false"/>
                <w:sz w:val="19"/>
                <w:szCs w:val="19"/>
              </w:rPr>
              <w:t xml:space="preserve">HIPAA (MBI/HICN = PHI); PCI DSS Req. 3/4 (cardholder data); state data-protection statutes (SSN)</w:t>
            </w:r>
          </w:p>
        </w:tc>
      </w:tr>
      <w:tr>
        <w:tc>
          <w:tcPr>
            <w:tcW w:type="dxa" w:w="3600"/>
            <w:tcMar>
              <w:top w:type="dxa" w:w="100"/>
              <w:left w:type="dxa" w:w="120"/>
              <w:bottom w:type="dxa" w:w="100"/>
              <w:right w:type="dxa" w:w="120"/>
            </w:tcMar>
          </w:tcPr>
          <w:p>
            <w:r>
              <w:rPr>
                <w:b w:val="false"/>
                <w:bCs w:val="false"/>
                <w:sz w:val="19"/>
                <w:szCs w:val="19"/>
              </w:rPr>
              <w:t xml:space="preserve">Native-category content/domain classification as default mechanism</w:t>
            </w:r>
          </w:p>
        </w:tc>
        <w:tc>
          <w:tcPr>
            <w:tcW w:type="dxa" w:w="3200"/>
            <w:tcMar>
              <w:top w:type="dxa" w:w="100"/>
              <w:left w:type="dxa" w:w="120"/>
              <w:bottom w:type="dxa" w:w="100"/>
              <w:right w:type="dxa" w:w="120"/>
            </w:tcMar>
          </w:tcPr>
          <w:p>
            <w:r>
              <w:rPr>
                <w:b w:val="false"/>
                <w:bCs w:val="false"/>
                <w:sz w:val="19"/>
                <w:szCs w:val="19"/>
              </w:rPr>
              <w:t xml:space="preserve">Section 4 — Content &amp; Domain-Filtering Policy</w:t>
            </w:r>
          </w:p>
        </w:tc>
        <w:tc>
          <w:tcPr>
            <w:tcW w:type="dxa" w:w="3400"/>
            <w:tcMar>
              <w:top w:type="dxa" w:w="100"/>
              <w:left w:type="dxa" w:w="120"/>
              <w:bottom w:type="dxa" w:w="100"/>
              <w:right w:type="dxa" w:w="120"/>
            </w:tcMar>
          </w:tcPr>
          <w:p>
            <w:r>
              <w:rPr>
                <w:b w:val="false"/>
                <w:bCs w:val="false"/>
                <w:sz w:val="19"/>
                <w:szCs w:val="19"/>
              </w:rPr>
              <w:t xml:space="preserve">SOC 2 (control must operate as designed, not rely on ungoverned custom lists)</w:t>
            </w:r>
          </w:p>
        </w:tc>
      </w:tr>
      <w:tr>
        <w:tc>
          <w:tcPr>
            <w:tcW w:type="dxa" w:w="3600"/>
            <w:tcMar>
              <w:top w:type="dxa" w:w="100"/>
              <w:left w:type="dxa" w:w="120"/>
              <w:bottom w:type="dxa" w:w="100"/>
              <w:right w:type="dxa" w:w="120"/>
            </w:tcMar>
          </w:tcPr>
          <w:p>
            <w:r>
              <w:rPr>
                <w:b w:val="false"/>
                <w:bCs w:val="false"/>
                <w:sz w:val="19"/>
                <w:szCs w:val="19"/>
              </w:rPr>
              <w:t xml:space="preserve">Governed exception-list mechanism (named owner, review cadence) for custom domains/categories</w:t>
            </w:r>
          </w:p>
        </w:tc>
        <w:tc>
          <w:tcPr>
            <w:tcW w:type="dxa" w:w="3200"/>
            <w:tcMar>
              <w:top w:type="dxa" w:w="100"/>
              <w:left w:type="dxa" w:w="120"/>
              <w:bottom w:type="dxa" w:w="100"/>
              <w:right w:type="dxa" w:w="120"/>
            </w:tcMar>
          </w:tcPr>
          <w:p>
            <w:r>
              <w:rPr>
                <w:b w:val="false"/>
                <w:bCs w:val="false"/>
                <w:sz w:val="19"/>
                <w:szCs w:val="19"/>
              </w:rPr>
              <w:t xml:space="preserve">Section 4 — Content &amp; Domain-Filtering Policy</w:t>
            </w:r>
          </w:p>
        </w:tc>
        <w:tc>
          <w:tcPr>
            <w:tcW w:type="dxa" w:w="3400"/>
            <w:tcMar>
              <w:top w:type="dxa" w:w="100"/>
              <w:left w:type="dxa" w:w="120"/>
              <w:bottom w:type="dxa" w:w="100"/>
              <w:right w:type="dxa" w:w="120"/>
            </w:tcMar>
          </w:tcPr>
          <w:p>
            <w:r>
              <w:rPr>
                <w:b w:val="false"/>
                <w:bCs w:val="false"/>
                <w:sz w:val="19"/>
                <w:szCs w:val="19"/>
              </w:rPr>
              <w:t xml:space="preserve">SOC 2 (design + operating effectiveness)</w:t>
            </w:r>
          </w:p>
        </w:tc>
      </w:tr>
      <w:tr>
        <w:tc>
          <w:tcPr>
            <w:tcW w:type="dxa" w:w="3600"/>
            <w:tcMar>
              <w:top w:type="dxa" w:w="100"/>
              <w:left w:type="dxa" w:w="120"/>
              <w:bottom w:type="dxa" w:w="100"/>
              <w:right w:type="dxa" w:w="120"/>
            </w:tcMar>
          </w:tcPr>
          <w:p>
            <w:r>
              <w:rPr>
                <w:b w:val="false"/>
                <w:bCs w:val="false"/>
                <w:sz w:val="19"/>
                <w:szCs w:val="19"/>
              </w:rPr>
              <w:t xml:space="preserve">Tenant Restriction — Microsoft authentication domain decrypt + header enforcement</w:t>
            </w:r>
          </w:p>
        </w:tc>
        <w:tc>
          <w:tcPr>
            <w:tcW w:type="dxa" w:w="3200"/>
            <w:tcMar>
              <w:top w:type="dxa" w:w="100"/>
              <w:left w:type="dxa" w:w="120"/>
              <w:bottom w:type="dxa" w:w="100"/>
              <w:right w:type="dxa" w:w="120"/>
            </w:tcMar>
          </w:tcPr>
          <w:p>
            <w:r>
              <w:rPr>
                <w:b w:val="false"/>
                <w:bCs w:val="false"/>
                <w:sz w:val="19"/>
                <w:szCs w:val="19"/>
              </w:rPr>
              <w:t xml:space="preserve">Section 5 — Tenant Restriction Policy</w:t>
            </w:r>
          </w:p>
        </w:tc>
        <w:tc>
          <w:tcPr>
            <w:tcW w:type="dxa" w:w="3400"/>
            <w:tcMar>
              <w:top w:type="dxa" w:w="100"/>
              <w:left w:type="dxa" w:w="120"/>
              <w:bottom w:type="dxa" w:w="100"/>
              <w:right w:type="dxa" w:w="120"/>
            </w:tcMar>
          </w:tcPr>
          <w:p>
            <w:r>
              <w:rPr>
                <w:b w:val="false"/>
                <w:bCs w:val="false"/>
                <w:sz w:val="19"/>
                <w:szCs w:val="19"/>
              </w:rPr>
              <w:t xml:space="preserve">SOC 2 (access control); internal identity governance</w:t>
            </w:r>
          </w:p>
        </w:tc>
      </w:tr>
      <w:tr>
        <w:tc>
          <w:tcPr>
            <w:tcW w:type="dxa" w:w="3600"/>
            <w:tcMar>
              <w:top w:type="dxa" w:w="100"/>
              <w:left w:type="dxa" w:w="120"/>
              <w:bottom w:type="dxa" w:w="100"/>
              <w:right w:type="dxa" w:w="120"/>
            </w:tcMar>
          </w:tcPr>
          <w:p>
            <w:r>
              <w:rPr>
                <w:b w:val="false"/>
                <w:bCs w:val="false"/>
                <w:sz w:val="19"/>
                <w:szCs w:val="19"/>
              </w:rPr>
              <w:t xml:space="preserve">Payment processor traffic — explicit-permit, explicit no-decrypt</w:t>
            </w:r>
          </w:p>
        </w:tc>
        <w:tc>
          <w:tcPr>
            <w:tcW w:type="dxa" w:w="3200"/>
            <w:tcMar>
              <w:top w:type="dxa" w:w="100"/>
              <w:left w:type="dxa" w:w="120"/>
              <w:bottom w:type="dxa" w:w="100"/>
              <w:right w:type="dxa" w:w="120"/>
            </w:tcMar>
          </w:tcPr>
          <w:p>
            <w:r>
              <w:rPr>
                <w:b w:val="false"/>
                <w:bCs w:val="false"/>
                <w:sz w:val="19"/>
                <w:szCs w:val="19"/>
              </w:rPr>
              <w:t xml:space="preserve">Section 6 — Payment Processor Traffic Policy</w:t>
            </w:r>
          </w:p>
        </w:tc>
        <w:tc>
          <w:tcPr>
            <w:tcW w:type="dxa" w:w="3400"/>
            <w:tcMar>
              <w:top w:type="dxa" w:w="100"/>
              <w:left w:type="dxa" w:w="120"/>
              <w:bottom w:type="dxa" w:w="100"/>
              <w:right w:type="dxa" w:w="120"/>
            </w:tcMar>
          </w:tcPr>
          <w:p>
            <w:r>
              <w:rPr>
                <w:b w:val="false"/>
                <w:bCs w:val="false"/>
                <w:sz w:val="19"/>
                <w:szCs w:val="19"/>
              </w:rPr>
              <w:t xml:space="preserve">PCI DSS Req. 1 (CDE scope minimization), Req. 4 (transmission encryption integrity)</w:t>
            </w:r>
          </w:p>
        </w:tc>
      </w:tr>
      <w:tr>
        <w:tc>
          <w:tcPr>
            <w:tcW w:type="dxa" w:w="3600"/>
            <w:tcMar>
              <w:top w:type="dxa" w:w="100"/>
              <w:left w:type="dxa" w:w="120"/>
              <w:bottom w:type="dxa" w:w="100"/>
              <w:right w:type="dxa" w:w="120"/>
            </w:tcMar>
          </w:tcPr>
          <w:p>
            <w:r>
              <w:rPr>
                <w:b w:val="false"/>
                <w:bCs w:val="false"/>
                <w:sz w:val="19"/>
                <w:szCs w:val="19"/>
              </w:rPr>
              <w:t xml:space="preserve">No-auth exemption governance for server/API traffic — named, scoped, documented</w:t>
            </w:r>
          </w:p>
        </w:tc>
        <w:tc>
          <w:tcPr>
            <w:tcW w:type="dxa" w:w="3200"/>
            <w:tcMar>
              <w:top w:type="dxa" w:w="100"/>
              <w:left w:type="dxa" w:w="120"/>
              <w:bottom w:type="dxa" w:w="100"/>
              <w:right w:type="dxa" w:w="120"/>
            </w:tcMar>
          </w:tcPr>
          <w:p>
            <w:r>
              <w:rPr>
                <w:b w:val="false"/>
                <w:bCs w:val="false"/>
                <w:sz w:val="19"/>
                <w:szCs w:val="19"/>
              </w:rPr>
              <w:t xml:space="preserve">Section 7 — Authentication &amp; No-Auth Exemption Policy</w:t>
            </w:r>
          </w:p>
        </w:tc>
        <w:tc>
          <w:tcPr>
            <w:tcW w:type="dxa" w:w="3400"/>
            <w:tcMar>
              <w:top w:type="dxa" w:w="100"/>
              <w:left w:type="dxa" w:w="120"/>
              <w:bottom w:type="dxa" w:w="100"/>
              <w:right w:type="dxa" w:w="120"/>
            </w:tcMar>
          </w:tcPr>
          <w:p>
            <w:r>
              <w:rPr>
                <w:b w:val="false"/>
                <w:bCs w:val="false"/>
                <w:sz w:val="19"/>
                <w:szCs w:val="19"/>
              </w:rPr>
              <w:t xml:space="preserve">PCI DSS Req. 1 (CDE scope); HIPAA (unscoped access to healthcare-integrated systems, e.g. Epic)</w:t>
            </w:r>
          </w:p>
        </w:tc>
      </w:tr>
      <w:tr>
        <w:tc>
          <w:tcPr>
            <w:tcW w:type="dxa" w:w="3600"/>
            <w:tcMar>
              <w:top w:type="dxa" w:w="100"/>
              <w:left w:type="dxa" w:w="120"/>
              <w:bottom w:type="dxa" w:w="100"/>
              <w:right w:type="dxa" w:w="120"/>
            </w:tcMar>
          </w:tcPr>
          <w:p>
            <w:r>
              <w:rPr>
                <w:b w:val="false"/>
                <w:bCs w:val="false"/>
                <w:sz w:val="19"/>
                <w:szCs w:val="19"/>
              </w:rPr>
              <w:t xml:space="preserve">Threat/vulnerability prevention — verified real blocking action, not assumed from profile name</w:t>
            </w:r>
          </w:p>
        </w:tc>
        <w:tc>
          <w:tcPr>
            <w:tcW w:type="dxa" w:w="3200"/>
            <w:tcMar>
              <w:top w:type="dxa" w:w="100"/>
              <w:left w:type="dxa" w:w="120"/>
              <w:bottom w:type="dxa" w:w="100"/>
              <w:right w:type="dxa" w:w="120"/>
            </w:tcMar>
          </w:tcPr>
          <w:p>
            <w:r>
              <w:rPr>
                <w:b w:val="false"/>
                <w:bCs w:val="false"/>
                <w:sz w:val="19"/>
                <w:szCs w:val="19"/>
              </w:rPr>
              <w:t xml:space="preserve">Section 1 — Enforcement Model</w:t>
            </w:r>
          </w:p>
        </w:tc>
        <w:tc>
          <w:tcPr>
            <w:tcW w:type="dxa" w:w="3400"/>
            <w:tcMar>
              <w:top w:type="dxa" w:w="100"/>
              <w:left w:type="dxa" w:w="120"/>
              <w:bottom w:type="dxa" w:w="100"/>
              <w:right w:type="dxa" w:w="120"/>
            </w:tcMar>
          </w:tcPr>
          <w:p>
            <w:r>
              <w:rPr>
                <w:b w:val="false"/>
                <w:bCs w:val="false"/>
                <w:sz w:val="19"/>
                <w:szCs w:val="19"/>
              </w:rPr>
              <w:t xml:space="preserve">PCI DSS Req. 11.4 (IDS/IPS)</w:t>
            </w:r>
          </w:p>
        </w:tc>
      </w:tr>
      <w:tr>
        <w:tc>
          <w:tcPr>
            <w:tcW w:type="dxa" w:w="3600"/>
            <w:tcMar>
              <w:top w:type="dxa" w:w="100"/>
              <w:left w:type="dxa" w:w="120"/>
              <w:bottom w:type="dxa" w:w="100"/>
              <w:right w:type="dxa" w:w="120"/>
            </w:tcMar>
          </w:tcPr>
          <w:p>
            <w:r>
              <w:rPr>
                <w:b w:val="false"/>
                <w:bCs w:val="false"/>
                <w:sz w:val="19"/>
                <w:szCs w:val="19"/>
              </w:rPr>
              <w:t xml:space="preserve">Server-class segmentation, distinct default posture from user traffic</w:t>
            </w:r>
          </w:p>
        </w:tc>
        <w:tc>
          <w:tcPr>
            <w:tcW w:type="dxa" w:w="3200"/>
            <w:tcMar>
              <w:top w:type="dxa" w:w="100"/>
              <w:left w:type="dxa" w:w="120"/>
              <w:bottom w:type="dxa" w:w="100"/>
              <w:right w:type="dxa" w:w="120"/>
            </w:tcMar>
          </w:tcPr>
          <w:p>
            <w:r>
              <w:rPr>
                <w:b w:val="false"/>
                <w:bCs w:val="false"/>
                <w:sz w:val="19"/>
                <w:szCs w:val="19"/>
              </w:rPr>
              <w:t xml:space="preserve">Section 7 — Segmentation Model</w:t>
            </w:r>
          </w:p>
        </w:tc>
        <w:tc>
          <w:tcPr>
            <w:tcW w:type="dxa" w:w="3400"/>
            <w:tcMar>
              <w:top w:type="dxa" w:w="100"/>
              <w:left w:type="dxa" w:w="120"/>
              <w:bottom w:type="dxa" w:w="100"/>
              <w:right w:type="dxa" w:w="120"/>
            </w:tcMar>
          </w:tcPr>
          <w:p>
            <w:r>
              <w:rPr>
                <w:b w:val="false"/>
                <w:bCs w:val="false"/>
                <w:sz w:val="19"/>
                <w:szCs w:val="19"/>
              </w:rPr>
              <w:t xml:space="preserve">PCI DSS Req. 1 (network segmentation); SOC 2 (logical access control)</w:t>
            </w:r>
          </w:p>
        </w:tc>
      </w:tr>
      <w:tr>
        <w:tc>
          <w:tcPr>
            <w:tcW w:type="dxa" w:w="3600"/>
            <w:tcMar>
              <w:top w:type="dxa" w:w="100"/>
              <w:left w:type="dxa" w:w="120"/>
              <w:bottom w:type="dxa" w:w="100"/>
              <w:right w:type="dxa" w:w="120"/>
            </w:tcMar>
          </w:tcPr>
          <w:p>
            <w:r>
              <w:rPr>
                <w:b w:val="false"/>
                <w:bCs w:val="false"/>
                <w:sz w:val="19"/>
                <w:szCs w:val="19"/>
              </w:rPr>
              <w:t xml:space="preserve">User segmentation by business unit (CVS/Aetna/Retail)</w:t>
            </w:r>
          </w:p>
        </w:tc>
        <w:tc>
          <w:tcPr>
            <w:tcW w:type="dxa" w:w="3200"/>
            <w:tcMar>
              <w:top w:type="dxa" w:w="100"/>
              <w:left w:type="dxa" w:w="120"/>
              <w:bottom w:type="dxa" w:w="100"/>
              <w:right w:type="dxa" w:w="120"/>
            </w:tcMar>
          </w:tcPr>
          <w:p>
            <w:r>
              <w:rPr>
                <w:b w:val="false"/>
                <w:bCs w:val="false"/>
                <w:sz w:val="19"/>
                <w:szCs w:val="19"/>
              </w:rPr>
              <w:t xml:space="preserve">Section 7 — Segmentation Model</w:t>
            </w:r>
          </w:p>
        </w:tc>
        <w:tc>
          <w:tcPr>
            <w:tcW w:type="dxa" w:w="3400"/>
            <w:tcMar>
              <w:top w:type="dxa" w:w="100"/>
              <w:left w:type="dxa" w:w="120"/>
              <w:bottom w:type="dxa" w:w="100"/>
              <w:right w:type="dxa" w:w="120"/>
            </w:tcMar>
          </w:tcPr>
          <w:p>
            <w:r>
              <w:rPr>
                <w:b w:val="false"/>
                <w:bCs w:val="false"/>
                <w:sz w:val="19"/>
                <w:szCs w:val="19"/>
              </w:rPr>
              <w:t xml:space="preserve">PCI DSS Req. 1 (Retail's high-trust/CDE-adjacent scope specifically)</w:t>
            </w:r>
          </w:p>
        </w:tc>
      </w:tr>
      <w:tr>
        <w:tc>
          <w:tcPr>
            <w:tcW w:type="dxa" w:w="3600"/>
            <w:tcMar>
              <w:top w:type="dxa" w:w="100"/>
              <w:left w:type="dxa" w:w="120"/>
              <w:bottom w:type="dxa" w:w="100"/>
              <w:right w:type="dxa" w:w="120"/>
            </w:tcMar>
          </w:tcPr>
          <w:p>
            <w:r>
              <w:rPr>
                <w:b w:val="false"/>
                <w:bCs w:val="false"/>
                <w:sz w:val="19"/>
                <w:szCs w:val="19"/>
              </w:rPr>
              <w:t xml:space="preserve">Exception-then-enforcement rule pattern, applied uniformly</w:t>
            </w:r>
          </w:p>
        </w:tc>
        <w:tc>
          <w:tcPr>
            <w:tcW w:type="dxa" w:w="3200"/>
            <w:tcMar>
              <w:top w:type="dxa" w:w="100"/>
              <w:left w:type="dxa" w:w="120"/>
              <w:bottom w:type="dxa" w:w="100"/>
              <w:right w:type="dxa" w:w="120"/>
            </w:tcMar>
          </w:tcPr>
          <w:p>
            <w:r>
              <w:rPr>
                <w:b w:val="false"/>
                <w:bCs w:val="false"/>
                <w:sz w:val="19"/>
                <w:szCs w:val="19"/>
              </w:rPr>
              <w:t xml:space="preserve">Section 9 — Universal Implementation Pattern</w:t>
            </w:r>
          </w:p>
        </w:tc>
        <w:tc>
          <w:tcPr>
            <w:tcW w:type="dxa" w:w="3400"/>
            <w:tcMar>
              <w:top w:type="dxa" w:w="100"/>
              <w:left w:type="dxa" w:w="120"/>
              <w:bottom w:type="dxa" w:w="100"/>
              <w:right w:type="dxa" w:w="120"/>
            </w:tcMar>
          </w:tcPr>
          <w:p>
            <w:r>
              <w:rPr>
                <w:b w:val="false"/>
                <w:bCs w:val="false"/>
                <w:sz w:val="19"/>
                <w:szCs w:val="19"/>
              </w:rPr>
              <w:t xml:space="preserve">SOC 2 (consistent, auditable control implementation)</w:t>
            </w:r>
          </w:p>
        </w:tc>
      </w:tr>
      <w:tr>
        <w:tc>
          <w:tcPr>
            <w:tcW w:type="dxa" w:w="3600"/>
            <w:tcMar>
              <w:top w:type="dxa" w:w="100"/>
              <w:left w:type="dxa" w:w="120"/>
              <w:bottom w:type="dxa" w:w="100"/>
              <w:right w:type="dxa" w:w="120"/>
            </w:tcMar>
          </w:tcPr>
          <w:p>
            <w:r>
              <w:rPr>
                <w:b w:val="false"/>
                <w:bCs w:val="false"/>
                <w:sz w:val="19"/>
                <w:szCs w:val="19"/>
              </w:rPr>
              <w:t xml:space="preserve">Per-policy verification against real traffic before "done" is declared</w:t>
            </w:r>
          </w:p>
        </w:tc>
        <w:tc>
          <w:tcPr>
            <w:tcW w:type="dxa" w:w="3200"/>
            <w:tcMar>
              <w:top w:type="dxa" w:w="100"/>
              <w:left w:type="dxa" w:w="120"/>
              <w:bottom w:type="dxa" w:w="100"/>
              <w:right w:type="dxa" w:w="120"/>
            </w:tcMar>
          </w:tcPr>
          <w:p>
            <w:r>
              <w:rPr>
                <w:b w:val="false"/>
                <w:bCs w:val="false"/>
                <w:sz w:val="19"/>
                <w:szCs w:val="19"/>
              </w:rPr>
              <w:t xml:space="preserve">Section 10 — What "Done" Means</w:t>
            </w:r>
          </w:p>
        </w:tc>
        <w:tc>
          <w:tcPr>
            <w:tcW w:type="dxa" w:w="3400"/>
            <w:tcMar>
              <w:top w:type="dxa" w:w="100"/>
              <w:left w:type="dxa" w:w="120"/>
              <w:bottom w:type="dxa" w:w="100"/>
              <w:right w:type="dxa" w:w="120"/>
            </w:tcMar>
          </w:tcPr>
          <w:p>
            <w:r>
              <w:rPr>
                <w:b w:val="false"/>
                <w:bCs w:val="false"/>
                <w:sz w:val="19"/>
                <w:szCs w:val="19"/>
              </w:rPr>
              <w:t xml:space="preserve">SOC 2 Type II (operating effectiveness over time, not point-in-time config review)</w:t>
            </w:r>
          </w:p>
        </w:tc>
      </w:tr>
    </w:tbl>
    <w:p>
      <w:pPr>
        <w:pStyle w:val="Heading1"/>
        <w:spacing w:after="160" w:before="360"/>
      </w:pPr>
      <w:r>
        <w:t xml:space="preserve">3. Unified File Policy</w:t>
      </w:r>
    </w:p>
    <w:p>
      <w:pPr>
        <w:spacing w:after="120"/>
      </w:pPr>
      <w:r>
        <w:t xml:space="preserve">File type blocking and content-pattern inspection are one policy, not two. Every file-egress rule carries both components together:</w:t>
      </w:r>
    </w:p>
    <w:p>
      <w:pPr>
        <w:spacing w:after="100"/>
        <w:ind w:left="200"/>
      </w:pPr>
      <w:r>
        <w:rPr>
          <w:b/>
          <w:bCs/>
        </w:rPr>
        <w:t xml:space="preserve">1. </w:t>
      </w:r>
      <w:r>
        <w:t xml:space="preserve">File Type Component — block by extension/signature/container type, regardless of content: high-risk executables, encrypted archives, encrypted Office/PDF documents.</w:t>
      </w:r>
    </w:p>
    <w:p>
      <w:pPr>
        <w:spacing w:after="100"/>
        <w:ind w:left="200"/>
      </w:pPr>
      <w:r>
        <w:rPr>
          <w:b/>
          <w:bCs/>
        </w:rPr>
        <w:t xml:space="preserve">2. </w:t>
      </w:r>
      <w:r>
        <w:t xml:space="preserve">Content Component — the 7 approved DLP patterns (SSN, PCI, Driver's License, Member ID, MBI, SSN-Masked, HICN), scanned against file content on the same traffic.</w:t>
      </w:r>
    </w:p>
    <w:p>
      <w:pPr>
        <w:spacing w:after="120"/>
      </w:pPr>
      <w:r>
        <w:rPr>
          <w:b/>
          <w:bCs/>
        </w:rPr>
        <w:t xml:space="preserve">Both components attach to the same rule, via one profile-group, applied to the same scope. There is no environment where file-type blocking exists without content inspection, or the reverse — a location either has the unified File Policy, or it does not have a file policy.</w:t>
      </w:r>
    </w:p>
    <w:p>
      <w:pPr>
        <w:spacing w:after="120"/>
      </w:pPr>
      <w:r>
        <w:t xml:space="preserve">Scope: web/proxy-based file egress only. Mail-based file egress (Outlook attachments) is explicitly out of scope — that channel is owned by the mail-DLP control plane, not this policy. In-scope traffic includes general web uploads and named cloud-storage/collaboration platforms (SharePoint, OneDrive, Dropbox, Google Drive, and equivalents).</w:t>
      </w:r>
    </w:p>
    <w:p>
      <w:pPr>
        <w:spacing w:after="120"/>
      </w:pPr>
      <w:r>
        <w:rPr>
          <w:b/>
          <w:bCs/>
        </w:rPr>
        <w:t xml:space="preserve">Pattern actions, standardized: MBI enters at Block (highest-confidence pattern). SSN, PCI, SSN-Masked, HICN enter at Alert with a defined burn-in period, then promote to Block. Driver's License and Member ID require their source data finalized (state-regex set; existing parity object) before wiring — they do not enter at any action until that data is confirmed.</w:t>
      </w:r>
    </w:p>
    <w:p>
      <w:pPr>
        <w:pStyle w:val="Heading1"/>
        <w:spacing w:after="160" w:before="360"/>
      </w:pPr>
      <w:r>
        <w:t xml:space="preserve">4. Unified Content &amp; Domain-Filtering Policy</w:t>
      </w:r>
    </w:p>
    <w:p>
      <w:pPr>
        <w:spacing w:after="120"/>
      </w:pPr>
      <w:r>
        <w:t xml:space="preserve">One governance model, not four independent ones. Today, PA, Skyhigh, and Zscaler each maintain their own separate domain/category lists with no shared ownership. The target model:</w:t>
      </w:r>
    </w:p>
    <w:p>
      <w:pPr>
        <w:spacing w:after="100"/>
        <w:ind w:left="200"/>
      </w:pPr>
      <w:r>
        <w:rPr>
          <w:b/>
          <w:bCs/>
        </w:rPr>
        <w:t xml:space="preserve">1. </w:t>
      </w:r>
      <w:r>
        <w:t xml:space="preserve">Native vendor categories are the default classification mechanism on every platform. Custom domain lists are the exception, used only where a vendor category doesn't exist for a specific, named business need (e.g., a named AI-chatbot denylist, a named approved-cloud-storage watchlist).</w:t>
      </w:r>
    </w:p>
    <w:p>
      <w:pPr>
        <w:spacing w:after="100"/>
        <w:ind w:left="200"/>
      </w:pPr>
      <w:r>
        <w:rPr>
          <w:b/>
          <w:bCs/>
        </w:rPr>
        <w:t xml:space="preserve">2. </w:t>
      </w:r>
      <w:r>
        <w:t xml:space="preserve">Every custom list has one named owner and one review cadence. A list with no confirmed owner is not part of this policy — it is a legacy artifact scheduled for retirement or adoption, not silently left in production.</w:t>
      </w:r>
    </w:p>
    <w:p>
      <w:pPr>
        <w:spacing w:after="100"/>
        <w:ind w:left="200"/>
      </w:pPr>
      <w:r>
        <w:rPr>
          <w:b/>
          <w:bCs/>
        </w:rPr>
        <w:t xml:space="preserve">3. </w:t>
      </w:r>
      <w:r>
        <w:t xml:space="preserve">One category taxonomy is used across all three platforms for the same content classes — malware, phishing, adult, gambling, ransomware, hacking, and the other currently-overlapping categories get one common definition, not three independently-maintained versions that happen to look similar.</w:t>
      </w:r>
    </w:p>
    <w:p>
      <w:pPr>
        <w:spacing w:after="120"/>
      </w:pPr>
      <w:r>
        <w:rPr>
          <w:i/>
          <w:iCs/>
          <w:color w:val="5B6169"/>
          <w:sz w:val="19"/>
          <w:szCs w:val="19"/>
        </w:rPr>
        <w:t xml:space="preserve">This directly addresses the standing critique that current enforcement runs on custom lists instead of native platform capability. Custom lists remain available under this model — but as a scoped exception mechanism, not as the primary way content gets classified.</w:t>
      </w:r>
    </w:p>
    <w:p>
      <w:pPr>
        <w:pStyle w:val="Heading1"/>
        <w:spacing w:after="160" w:before="360"/>
      </w:pPr>
      <w:r>
        <w:t xml:space="preserve">5. Tenant Restriction Policy</w:t>
      </w:r>
    </w:p>
    <w:p>
      <w:pPr>
        <w:spacing w:after="120"/>
      </w:pPr>
      <w:r>
        <w:t xml:space="preserve">Scope: four named Microsoft authentication domains only — login.live.com, login.microsoft.com, login.microsoftonline.com, login.windows.net. Not a general Microsoft/O365 decrypt policy.</w:t>
      </w:r>
    </w:p>
    <w:p>
      <w:pPr>
        <w:spacing w:after="100"/>
        <w:ind w:left="200"/>
      </w:pPr>
      <w:r>
        <w:rPr>
          <w:b/>
          <w:bCs/>
        </w:rPr>
        <w:t xml:space="preserve">1. </w:t>
      </w:r>
      <w:r>
        <w:t xml:space="preserve">A decrypt rule matching these four domains (or the category built from them) is required, enabled, and scoped to the intended population — the entire prior estate's failures on this policy trace to one of these three conditions not being met.</w:t>
      </w:r>
    </w:p>
    <w:p>
      <w:pPr>
        <w:spacing w:after="100"/>
        <w:ind w:left="200"/>
      </w:pPr>
      <w:r>
        <w:rPr>
          <w:b/>
          <w:bCs/>
        </w:rPr>
        <w:t xml:space="preserve">2. </w:t>
      </w:r>
      <w:r>
        <w:t xml:space="preserve">The header-insertion rule enforcing tenant restriction must be scoped to the identical population as the decrypt rule in step 1. Same source, same destination, same scope — not two independently-built rules that happen to reference the same feature.</w:t>
      </w:r>
    </w:p>
    <w:p>
      <w:pPr>
        <w:spacing w:after="100"/>
        <w:ind w:left="200"/>
      </w:pPr>
      <w:r>
        <w:rPr>
          <w:b/>
          <w:bCs/>
        </w:rPr>
        <w:t xml:space="preserve">3. </w:t>
      </w:r>
      <w:r>
        <w:t xml:space="preserve">Given the prior RI implementation attempt failed on a proxy-related interaction bug, any new rollout is piloted on a single defined segment first, verified end-to-end (redirection reaches the inspection point, decrypt fires, header is inserted, Microsoft enforces it), before wider rollout — not deployed broadly on the assumption that config correctness alone is sufficient.</w:t>
      </w:r>
    </w:p>
    <w:p>
      <w:pPr>
        <w:pStyle w:val="Heading1"/>
        <w:spacing w:after="160" w:before="360"/>
      </w:pPr>
      <w:r>
        <w:t xml:space="preserve">6. Payment Processor Traffic Policy — Explicit Permit, Explicit No-Decrypt</w:t>
      </w:r>
    </w:p>
    <w:p>
      <w:pPr>
        <w:spacing w:after="120"/>
      </w:pPr>
      <w:r>
        <w:rPr>
          <w:b/>
          <w:bCs/>
        </w:rPr>
        <w:t xml:space="preserve">Decrypting payment-processor traffic is not merely unnecessary — it is the wrong control, for two compliance-driven reasons stated as policy:</w:t>
      </w:r>
    </w:p>
    <w:p>
      <w:pPr>
        <w:spacing w:after="100"/>
        <w:ind w:left="200"/>
      </w:pPr>
      <w:r>
        <w:rPr>
          <w:b/>
          <w:bCs/>
        </w:rPr>
        <w:t xml:space="preserve">1. </w:t>
      </w:r>
      <w:r>
        <w:t xml:space="preserve">Decryption breaks true end-to-end encryption. Forward-proxy decrypt splits one encrypted channel into two (client-to-PA, PA-to-processor), which does not satisfy PCI DSS Requirement 4's intent, and will break connections using certificate pinning or mutual TLS, which many processor integrations use by design.</w:t>
      </w:r>
    </w:p>
    <w:p>
      <w:pPr>
        <w:spacing w:after="100"/>
        <w:ind w:left="200"/>
      </w:pPr>
      <w:r>
        <w:rPr>
          <w:b/>
          <w:bCs/>
        </w:rPr>
        <w:t xml:space="preserve">2. </w:t>
      </w:r>
      <w:r>
        <w:t xml:space="preserve">Decryption expands PCI scope in the wrong direction. The moment Palo Alto decrypts cardholder-data traffic, the firewall is handling cleartext CHD internally and is pulled into Cardholder Data Environment assessment scope — directly counter to PCI DSS Requirement 1's goal of minimizing CDE footprint.</w:t>
      </w:r>
    </w:p>
    <w:p>
      <w:pPr>
        <w:spacing w:after="120"/>
      </w:pPr>
      <w:r>
        <w:rPr>
          <w:b/>
          <w:bCs/>
        </w:rPr>
        <w:t xml:space="preserve">Policy: every outbound payment-processing provider gets its own named security rule — explicit destination object, explicit no-decrypt action, documented compliance reason in the rule description. This traffic must never be covered only incidentally by a broad category exception; the exclusion must be deliberate and individually attributable to a named processor.</w:t>
      </w:r>
    </w:p>
    <w:p>
      <w:pPr>
        <w:spacing w:after="120"/>
      </w:pPr>
      <w:r>
        <w:t xml:space="preserve">Precedent already exists and should be used as the template: the Aetna Skyhigh proxy's PCI_Inet_Access_Domains list (a 6-domain explicit-allow list including a genuine payment gateway) is exactly this pattern, already implemented on the proxy side. The gap is that no equivalent named, explicit rule set has been confirmed on Palo Alto — this needs to be built as its own inventory, not assumed to already exist because the proxy-side version does.</w:t>
      </w:r>
    </w:p>
    <w:p>
      <w:pPr>
        <w:spacing w:after="120"/>
      </w:pPr>
      <w:r>
        <w:rPr>
          <w:i/>
          <w:iCs/>
          <w:color w:val="5B6169"/>
          <w:sz w:val="19"/>
          <w:szCs w:val="19"/>
        </w:rPr>
        <w:t xml:space="preserve">Prerequisite: a confirmed, complete list of every payment processor/gateway CVS and Aetna actually use. Only Aetna's 6-domain reference is currently confirmed; this is not assumed to be the complete list across both estates.</w:t>
      </w:r>
    </w:p>
    <w:p>
      <w:pPr>
        <w:pStyle w:val="Heading1"/>
        <w:spacing w:after="160" w:before="360"/>
      </w:pPr>
      <w:r>
        <w:t xml:space="preserve">7. Authentication &amp; No-Auth Exemption Policy</w:t>
      </w:r>
    </w:p>
    <w:p>
      <w:pPr>
        <w:spacing w:after="120"/>
      </w:pPr>
      <w:r>
        <w:rPr>
          <w:b/>
          <w:bCs/>
        </w:rPr>
        <w:t xml:space="preserve">A structural fact, not a design choice: interactive challenge mechanisms (Kerberos/NTLM) cannot be completed by a server or API process — there is no domain session for a non-interactive client to present. Every current server-to-server and API flow that reaches either Skyhigh proxy survives only via a named bypass/exemption rule. These exemption lists are the entire population of non-interactive traffic each platform can pass — this is true today, and remains true on Palo Alto: any migration must carry forward an explicit, governed no-auth exemption mechanism, not attempt to force server/API traffic through user-style authentication.</w:t>
      </w:r>
    </w:p>
    <w:p>
      <w:pPr>
        <w:spacing w:after="100"/>
        <w:ind w:left="200"/>
      </w:pPr>
      <w:r>
        <w:rPr>
          <w:b/>
          <w:bCs/>
        </w:rPr>
        <w:t xml:space="preserve">1. </w:t>
      </w:r>
      <w:r>
        <w:t xml:space="preserve">Every no-auth exemption is named, scoped to a specific integration, and documented with a reason — matching exactly the exception-rule discipline already required in Section 1. An undocumented or broadly-scoped no-auth exemption is not an acceptable migration of current behavior, even where current behavior already has this shape.</w:t>
      </w:r>
    </w:p>
    <w:p>
      <w:pPr>
        <w:spacing w:after="100"/>
        <w:ind w:left="200"/>
      </w:pPr>
      <w:r>
        <w:rPr>
          <w:b/>
          <w:bCs/>
        </w:rPr>
        <w:t xml:space="preserve">2. </w:t>
      </w:r>
      <w:r>
        <w:t xml:space="preserve">No-auth exemptions default to narrowest-possible destination scope. Confirmed current-state finding requiring remediation, not replication: CVS_Mainframe (34 static IPs) and CVS-epicallow (an Epic EHR integration) both currently bypass authentication with no destination restriction — permitted to reach any destination. This must not be carried forward as-is; the target policy requires destination scope matching the specific integration's actual need, for both of these and any other no-auth exemption found during migration.</w:t>
      </w:r>
    </w:p>
    <w:p>
      <w:pPr>
        <w:spacing w:after="100"/>
        <w:ind w:left="200"/>
      </w:pPr>
      <w:r>
        <w:rPr>
          <w:b/>
          <w:bCs/>
        </w:rPr>
        <w:t xml:space="preserve">3. </w:t>
      </w:r>
      <w:r>
        <w:t xml:space="preserve">Where multiple parallel rule groups currently duplicate the same exemption logic (confirmed on the CVS Skyhigh proxy — three groups, each independently repeating the same four checks), the target implementation consolidates exemption logic to a single referenced object, not independently duplicated per traffic-handling path. A change to exemption scope must require one edit, not several kept in sync manually.</w:t>
      </w:r>
    </w:p>
    <w:p>
      <w:pPr>
        <w:spacing w:after="120"/>
      </w:pPr>
      <w:r>
        <w:rPr>
          <w:i/>
          <w:iCs/>
          <w:color w:val="5B6169"/>
          <w:sz w:val="19"/>
          <w:szCs w:val="19"/>
        </w:rPr>
        <w:t xml:space="preserve">Zscaler's authentication/exemption model has not been reviewed — the available data source did not include this configuration area. Do not assume Zscaler's posture here matches or differs from Skyhigh's until this is independently confirmed; this is a required prerequisite before Zscaler's authentication behavior can be included in any target-state design.</w:t>
      </w:r>
    </w:p>
    <w:p>
      <w:pPr>
        <w:pStyle w:val="Heading1"/>
        <w:spacing w:after="160" w:before="360"/>
      </w:pPr>
      <w:r>
        <w:t xml:space="preserve">8. Segmentation Model — Server vs. User, by Business Unit</w:t>
      </w:r>
    </w:p>
    <w:p>
      <w:pPr>
        <w:spacing w:after="120"/>
      </w:pPr>
      <w:r>
        <w:rPr>
          <w:b/>
          <w:bCs/>
        </w:rPr>
        <w:t xml:space="preserve">Client and server policies are fundamentally different, not variations of the same policy at different scopes. This must be stated explicitly because the current estate does not make this distinction anywhere.</w:t>
      </w:r>
    </w:p>
    <w:p>
      <w:pPr>
        <w:pStyle w:val="ListParagraph"/>
        <w:numPr>
          <w:ilvl w:val="0"/>
          <w:numId w:val="1"/>
        </w:numPr>
        <w:spacing w:after="80"/>
      </w:pPr>
      <w:r>
        <w:t xml:space="preserve">Directionality is reversed. A client (user workstation) predominantly initiates outbound sessions to a wide, unpredictable set of destinations — general web browsing. A server predominantly either accepts inbound connections to a known, narrow set of services, or initiates outbound connections to a small, predictable, named set of destinations (its own vendor APIs, update sources, monitoring endpoints). A rulebase built for one shape does not fit the other.</w:t>
      </w:r>
    </w:p>
    <w:p>
      <w:pPr>
        <w:pStyle w:val="ListParagraph"/>
        <w:numPr>
          <w:ilvl w:val="0"/>
          <w:numId w:val="1"/>
        </w:numPr>
        <w:spacing w:after="80"/>
      </w:pPr>
      <w:r>
        <w:t xml:space="preserve">The default posture must be reversed accordingly. A client policy is default-deny-with-broad-legitimate-use — it must accommodate wide, evolving user needs. A server policy should be default-deny-with-explicit-allow-list — a server has a finite, enumerable set of legitimate destinations, and anything outside that list is presumptively wrong, not merely uninspected. Applying the client model's tolerance for broad, evolving access to a server population is itself a control failure, independent of what content inspection is or isn't attached.</w:t>
      </w:r>
    </w:p>
    <w:p>
      <w:pPr>
        <w:pStyle w:val="ListParagraph"/>
        <w:numPr>
          <w:ilvl w:val="0"/>
          <w:numId w:val="1"/>
        </w:numPr>
        <w:spacing w:after="80"/>
      </w:pPr>
      <w:r>
        <w:t xml:space="preserve">Identity and change cadence differ. A user's access needs change with their role and are tied to a person who can be asked about anomalous behavior. A server's access needs are tied to an application's architecture and change only when that architecture changes — deliberately, on a known schedule, by an engineering team. A server policy that requires frequent ad hoc exceptions is evidence the segmentation itself is wrong, not evidence of normal business variability the way it might be for users.</w:t>
      </w:r>
    </w:p>
    <w:p>
      <w:pPr>
        <w:spacing w:after="120"/>
      </w:pPr>
      <w:r>
        <w:rPr>
          <w:b/>
          <w:bCs/>
        </w:rPr>
        <w:t xml:space="preserve">Confirmed finding this engagement: no such distinction exists today. Server-internet-access is a set of individually-named point rules (Citrix_Servers-EGRESS, SAP_access_CVS_Servers-EGRESS, and similar) sitting inside the same rulebase as ordinary user workstation traffic, inheriting the same default posture. This is not a minor gap — it means every server in this estate currently has, by default, whatever access the general user population has, narrowed only by whichever point rules happen to have been built for it.</w:t>
      </w:r>
    </w:p>
    <w:p>
      <w:pPr>
        <w:spacing w:after="120"/>
      </w:pPr>
      <w:r>
        <w:t xml:space="preserve">Two independent segmentation axes follow from this, both required before enforcement rules are built:</w:t>
      </w:r>
    </w:p>
    <w:p>
      <w:pPr>
        <w:pStyle w:val="ListParagraph"/>
        <w:numPr>
          <w:ilvl w:val="0"/>
          <w:numId w:val="1"/>
        </w:numPr>
        <w:spacing w:after="80"/>
      </w:pPr>
      <w:r>
        <w:t xml:space="preserve">Server segmentation — a defined server-class address space, per environment, with its own default posture (default-deny, explicit-allow) distinct from and stricter than user traffic by design, not by incidental narrower rule count.</w:t>
      </w:r>
    </w:p>
    <w:p>
      <w:pPr>
        <w:pStyle w:val="ListParagraph"/>
        <w:numPr>
          <w:ilvl w:val="0"/>
          <w:numId w:val="1"/>
        </w:numPr>
        <w:spacing w:after="80"/>
      </w:pPr>
      <w:r>
        <w:t xml:space="preserve">User segmentation — CVS, Aetna, and Retail users classified into distinct address/identity scopes, enabling business-unit-specific policy where needed (e.g., Retail's high-trust audit scope) without collapsing all three into one undifferentiated population.</w:t>
      </w:r>
    </w:p>
    <w:p>
      <w:pPr>
        <w:spacing w:after="120"/>
      </w:pPr>
      <w:r>
        <w:rPr>
          <w:b/>
          <w:bCs/>
        </w:rPr>
        <w:t xml:space="preserve">Retail specifically requires its own infrastructure assessment before either segmentation axis can be applied to it — Retail's current firewalls are end-of-life and have not been examined in this engagement; office-location data is in progress separately. Retail's segmentation is a dependency on that infrastructure work completing, not a parallel workstream.</w:t>
      </w:r>
    </w:p>
    <w:p>
      <w:pPr>
        <w:pStyle w:val="Heading1"/>
        <w:spacing w:after="160" w:before="360"/>
      </w:pPr>
      <w:r>
        <w:t xml:space="preserve">9. The Universal Implementation Pattern — Scaling Beyond One Exception</w:t>
      </w:r>
    </w:p>
    <w:p>
      <w:pPr>
        <w:spacing w:after="120"/>
      </w:pPr>
      <w:r>
        <w:t xml:space="preserve">Section 1 establishes the two-rule minimum (exception, then enforcement) as a property of the enforcement model itself. This section covers what happens when a function needs more than one exception — which is the normal case, not the exception to the exception.</w:t>
      </w:r>
    </w:p>
    <w:p>
      <w:pPr>
        <w:spacing w:after="120"/>
      </w:pPr>
      <w:r>
        <w:rPr>
          <w:b/>
          <w:bCs/>
        </w:rPr>
        <w:t xml:space="preserve">Exemptions are not additive on this platform — they are multiplicative. Every additional user group, business exception, or destination carve-out a function needs becomes its own exception rule, each individually ordered above the enforcement rule, each individually documented. A function needing three distinct exceptions is four rules, not two.</w:t>
      </w:r>
    </w:p>
    <w:p>
      <w:pPr>
        <w:spacing w:after="120"/>
      </w:pPr>
      <w:r>
        <w:t xml:space="preserve">Data Filtering profiles specifically have no internal source-user field — exempting one user group from a single pattern within a shared profile requires building a second, trimmed profile and a second rule, not modifying the first profile. Budget rule count and review time for any new policy on this basis from the start, not after the first exception request arrives.</w:t>
      </w:r>
    </w:p>
    <w:p>
      <w:pPr>
        <w:pStyle w:val="Heading1"/>
        <w:spacing w:after="160" w:before="360"/>
      </w:pPr>
      <w:r>
        <w:t xml:space="preserve">10. What "Done" Means, Per Policy</w:t>
      </w:r>
    </w:p>
    <w:p>
      <w:pPr>
        <w:spacing w:after="120"/>
      </w:pPr>
      <w:r>
        <w:t xml:space="preserve">A policy is complete only when all of the following are independently confirmed — not assumed from correct-looking configuration:</w:t>
      </w:r>
    </w:p>
    <w:p>
      <w:pPr>
        <w:pStyle w:val="ListParagraph"/>
        <w:numPr>
          <w:ilvl w:val="0"/>
          <w:numId w:val="1"/>
        </w:numPr>
        <w:spacing w:after="80"/>
      </w:pPr>
      <w:r>
        <w:t xml:space="preserve">The Traffic layer permits the intended population and denies everything else by design, not by omission.</w:t>
      </w:r>
    </w:p>
    <w:p>
      <w:pPr>
        <w:pStyle w:val="ListParagraph"/>
        <w:numPr>
          <w:ilvl w:val="0"/>
          <w:numId w:val="1"/>
        </w:numPr>
        <w:spacing w:after="80"/>
      </w:pPr>
      <w:r>
        <w:t xml:space="preserve">The Decrypt layer is confirmed enabled (not just present) and scoped to the same population as the Content layer below it.</w:t>
      </w:r>
    </w:p>
    <w:p>
      <w:pPr>
        <w:pStyle w:val="ListParagraph"/>
        <w:numPr>
          <w:ilvl w:val="0"/>
          <w:numId w:val="1"/>
        </w:numPr>
        <w:spacing w:after="80"/>
      </w:pPr>
      <w:r>
        <w:t xml:space="preserve">The Content layer's action (Alert or Block) matches the stated rollout stage for that pattern, and has been verified against real traffic — not only against the rulebase.</w:t>
      </w:r>
    </w:p>
    <w:p>
      <w:pPr>
        <w:pStyle w:val="ListParagraph"/>
        <w:numPr>
          <w:ilvl w:val="0"/>
          <w:numId w:val="1"/>
        </w:numPr>
        <w:spacing w:after="80"/>
      </w:pPr>
      <w:r>
        <w:t xml:space="preserve">Any exception rule pattern (Section 9) required for this population has been built and documented, not left for the first complaint to surface.</w:t>
      </w:r>
    </w:p>
    <w:p>
      <w:pPr>
        <w:pStyle w:val="ListParagraph"/>
        <w:numPr>
          <w:ilvl w:val="0"/>
          <w:numId w:val="1"/>
        </w:numPr>
        <w:spacing w:after="80"/>
      </w:pPr>
      <w:r>
        <w:t xml:space="preserve">Aetna, CVS Enterprise, and Retail are each independently confirmed against this checklist — a policy verified on one is not assumed to hold on the others.</w:t>
      </w:r>
    </w:p>
    <w:p>
      <w:pPr>
        <w:pStyle w:val="Heading1"/>
        <w:spacing w:after="160" w:before="360"/>
      </w:pPr>
      <w:r>
        <w:t xml:space="preserve">11. Compliance Mapping</w:t>
      </w:r>
    </w:p>
    <w:p>
      <w:pPr>
        <w:spacing w:after="120"/>
      </w:pPr>
      <w:r>
        <w:t xml:space="preserve">Every policy above exists to satisfy a specific regulatory requirement, not as a general best-practice exercise. This section states which.</w:t>
      </w:r>
    </w:p>
    <w:p>
      <w:pPr>
        <w:pStyle w:val="Heading2"/>
        <w:spacing w:after="120" w:before="260"/>
      </w:pPr>
      <w:r>
        <w:t xml:space="preserve">HIPAA — Security Rule, Technical Safeguards (45 CFR §164.312)</w:t>
      </w:r>
    </w:p>
    <w:p>
      <w:pPr>
        <w:pStyle w:val="ListParagraph"/>
        <w:numPr>
          <w:ilvl w:val="0"/>
          <w:numId w:val="1"/>
        </w:numPr>
        <w:spacing w:after="80"/>
      </w:pPr>
      <w:r>
        <w:t xml:space="preserve">MBI and HICN are PHI. Their detection (Section 3) must be live and, per burn-in schedule, moving toward Block — not merely present as an alert-only object on a narrow population.</w:t>
      </w:r>
    </w:p>
    <w:p>
      <w:pPr>
        <w:pStyle w:val="ListParagraph"/>
        <w:numPr>
          <w:ilvl w:val="0"/>
          <w:numId w:val="1"/>
        </w:numPr>
        <w:spacing w:after="80"/>
      </w:pPr>
      <w:r>
        <w:t xml:space="preserve">§164.312(e)(1) Transmission Security requires a documented risk analysis behind any decision not to inspect PHI-carrying traffic. The Microsoft/O365 decrypt exclusion found independently at every layer of this estate needs a coordinated, documented risk decision behind it — not four separate, uncoordinated exclusions that happen to agree.</w:t>
      </w:r>
    </w:p>
    <w:p>
      <w:pPr>
        <w:pStyle w:val="Heading2"/>
        <w:spacing w:after="120" w:before="260"/>
      </w:pPr>
      <w:r>
        <w:t xml:space="preserve">PCI DSS</w:t>
      </w:r>
    </w:p>
    <w:p>
      <w:pPr>
        <w:pStyle w:val="ListParagraph"/>
        <w:numPr>
          <w:ilvl w:val="0"/>
          <w:numId w:val="1"/>
        </w:numPr>
        <w:spacing w:after="80"/>
      </w:pPr>
      <w:r>
        <w:t xml:space="preserve">Requirement 1 (network segmentation, CDE scope minimization): the Segmentation Model (Section 7) and the Payment Processor Traffic Policy (Section 6) are the direct controls. PCI_Inet_Access_Domains is confirmed working precedent; it is not backed by any general server/user segmentation, which is the larger gap.</w:t>
      </w:r>
    </w:p>
    <w:p>
      <w:pPr>
        <w:pStyle w:val="ListParagraph"/>
        <w:numPr>
          <w:ilvl w:val="0"/>
          <w:numId w:val="1"/>
        </w:numPr>
        <w:spacing w:after="80"/>
      </w:pPr>
      <w:r>
        <w:t xml:space="preserve">Requirement 4 (encrypt cardholder data in transit): satisfied by explicit no-decrypt for named payment processors (Section 6) — decrypting this traffic would violate, not satisfy, this requirement's intent.</w:t>
      </w:r>
    </w:p>
    <w:p>
      <w:pPr>
        <w:pStyle w:val="ListParagraph"/>
        <w:numPr>
          <w:ilvl w:val="0"/>
          <w:numId w:val="1"/>
        </w:numPr>
        <w:spacing w:after="80"/>
      </w:pPr>
      <w:r>
        <w:t xml:space="preserve">Requirement 11.4 (IDS/IPS): the Alert-All vulnerability profile's confirmed 74% real-blocking rate on default actions is a genuine, currently-operating control for this requirement, on the traffic it covers — a rare case in this estate where current state already substantially meets a compliance driver.</w:t>
      </w:r>
    </w:p>
    <w:p>
      <w:pPr>
        <w:pStyle w:val="Heading2"/>
        <w:spacing w:after="120" w:before="260"/>
      </w:pPr>
      <w:r>
        <w:t xml:space="preserve">SOC 2 — Trust Services Criteria</w:t>
      </w:r>
    </w:p>
    <w:p>
      <w:pPr>
        <w:pStyle w:val="ListParagraph"/>
        <w:numPr>
          <w:ilvl w:val="0"/>
          <w:numId w:val="1"/>
        </w:numPr>
        <w:spacing w:after="80"/>
      </w:pPr>
      <w:r>
        <w:t xml:space="preserve">SOC 2 Type II tests design AND operating effectiveness, not configuration existence. Nearly every current-state gap found in this estate is exactly this distinction — a control designed to look correct (by name or by object presence) that does not operate as designed when tested. The verification discipline in Section 10 ("What Done Means") exists specifically to satisfy this criterion before any control is represented as operating.</w:t>
      </w:r>
    </w:p>
    <w:p>
      <w:pPr>
        <w:pStyle w:val="ListParagraph"/>
        <w:numPr>
          <w:ilvl w:val="0"/>
          <w:numId w:val="1"/>
        </w:numPr>
        <w:spacing w:after="80"/>
      </w:pPr>
      <w:r>
        <w:t xml:space="preserve">Governed exception-list ownership (Section 4) is itself a control SOC 2 will test — an exception list with no named owner or review cadence fails the design-effectiveness test regardless of what the list contains.</w:t>
      </w:r>
    </w:p>
    <w:p>
      <w:pPr>
        <w:pStyle w:val="Heading2"/>
        <w:spacing w:after="120" w:before="260"/>
      </w:pPr>
      <w:r>
        <w:t xml:space="preserve">Federal / State — noted, not fully mapped</w:t>
      </w:r>
    </w:p>
    <w:p>
      <w:pPr>
        <w:pStyle w:val="ListParagraph"/>
        <w:numPr>
          <w:ilvl w:val="0"/>
          <w:numId w:val="1"/>
        </w:numPr>
        <w:spacing w:after="80"/>
      </w:pPr>
      <w:r>
        <w:t xml:space="preserve">DEA recordkeeping requirements are already reflected in this environment (a DEA-named detection engine exists in the current Zscaler DLP set) — carry this pattern forward into the target Unified File Policy rather than treating it as net-new.</w:t>
      </w:r>
    </w:p>
    <w:p>
      <w:pPr>
        <w:pStyle w:val="ListParagraph"/>
        <w:numPr>
          <w:ilvl w:val="0"/>
          <w:numId w:val="1"/>
        </w:numPr>
        <w:spacing w:after="80"/>
      </w:pPr>
      <w:r>
        <w:rPr>
          <w:i/>
          <w:iCs/>
          <w:color w:val="5B6169"/>
          <w:sz w:val="19"/>
          <w:szCs w:val="19"/>
        </w:rPr>
        <w:t xml:space="preserve">State-level health data statutes (several stricter than HIPAA) and breach-notification requirements are the broader tail here. No specific current-state findings are mapped to individual state statutes in this engagement — inconsistent decrypt/DLP coverage widens breach-notification exposure generally if PHI/PCI data transits uninspected paths, but this should be confirmed against specific state requirements by compliance/legal, not inferred from network findings alone.</w:t>
      </w:r>
    </w:p>
    <w:p>
      <w:pPr>
        <w:pBdr>
          <w:top w:val="single" w:color="CCCCCC" w:sz="6" w:space="8"/>
        </w:pBdr>
        <w:spacing w:before="400"/>
      </w:pPr>
      <w:r>
        <w:rPr>
          <w:i/>
          <w:iCs/>
          <w:color w:val="5B6169"/>
          <w:sz w:val="17"/>
          <w:szCs w:val="17"/>
        </w:rPr>
        <w:t xml:space="preserve">This document defines the target model. Current-state findings against this model are tracked separately in Capability_Coverage_by_Location.docx and Status_and_Next_Steps.docx.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2026-09-28T16:12:46.694Z</dcterms:created>
  <dcterms:modified xsi:type="dcterms:W3CDTF">2026-09-28T16:12:46.694Z</dcterms:modified>
</cp:coreProperties>
</file>

<file path=docProps/custom.xml><?xml version="1.0" encoding="utf-8"?>
<Properties xmlns="http://schemas.openxmlformats.org/officeDocument/2006/custom-properties" xmlns:vt="http://schemas.openxmlformats.org/officeDocument/2006/docPropsVTypes"/>
</file>