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C1D18"/>
          <w:sz w:val="20"/>
          <w:szCs w:val="20"/>
        </w:rPr>
        <w:t xml:space="preserve">CVS HEALTH — NETWORK SECURITY ENGINEERING</w:t>
      </w:r>
    </w:p>
    <w:p>
      <w:pPr>
        <w:spacing w:after="100" w:before="100"/>
      </w:pPr>
      <w:r>
        <w:rPr>
          <w:b/>
          <w:bCs/>
          <w:sz w:val="30"/>
          <w:szCs w:val="30"/>
        </w:rPr>
        <w:t xml:space="preserve">Current-to-Target Policy Translation</w:t>
      </w:r>
    </w:p>
    <w:p>
      <w:pPr>
        <w:pBdr>
          <w:bottom w:val="single" w:color="8C1D18" w:sz="12" w:space="8"/>
        </w:pBdr>
        <w:spacing w:after="400"/>
      </w:pPr>
      <w:r>
        <w:rPr>
          <w:i/>
          <w:iCs/>
          <w:color w:val="5B6169"/>
          <w:sz w:val="19"/>
          <w:szCs w:val="19"/>
        </w:rPr>
        <w:t xml:space="preserve">Every confirmed object from this engagement, mapped against Target_Policy_and_Enforcement_Model.docx. Effort is a rough sizing (Low/Medium/High/Retire), not an estimate to commit to.</w:t>
      </w:r>
    </w:p>
    <w:p>
      <w:pPr>
        <w:pStyle w:val="Heading1"/>
        <w:spacing w:after="160" w:before="360"/>
      </w:pPr>
      <w:r>
        <w:t xml:space="preserve">1. Unified File Policy — Current Objects vs. Target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3500"/>
        <w:gridCol w:w="2500"/>
        <w:gridCol w:w="2900"/>
        <w:gridCol w:w="900"/>
      </w:tblGrid>
      <w:tr>
        <w:trPr>
          <w:tblHeader/>
        </w:trPr>
        <w:tc>
          <w:tcPr>
            <w:tcW w:type="dxa" w:w="23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Object</w:t>
            </w:r>
          </w:p>
        </w:tc>
        <w:tc>
          <w:tcPr>
            <w:tcW w:type="dxa" w:w="1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Environment</w:t>
            </w:r>
          </w:p>
        </w:tc>
        <w:tc>
          <w:tcPr>
            <w:tcW w:type="dxa" w:w="3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State</w:t>
            </w:r>
          </w:p>
        </w:tc>
        <w:tc>
          <w:tcPr>
            <w:tcW w:type="dxa" w:w="2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Target Requirement</w:t>
            </w:r>
          </w:p>
        </w:tc>
        <w:tc>
          <w:tcPr>
            <w:tcW w:type="dxa" w:w="2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Alert-All-SPG (File Blocking + Vuln)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AZ/RI/LV/Retail, 98.9% of rules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 Blocking present, alert-only. Vulnerability: 74% of signatures actually block by default despite the name — verified this session.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Full Unified File Policy: type-block + content-scan together, promoted actions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Rebuild file-blocking + DLP component; vulnerability component is already closer to target than assumed — verify and retain rather than rebuild</w:t>
            </w:r>
          </w:p>
        </w:tc>
        <w:tc>
          <w:tcPr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hcb_DMZ_security_profile / hcb_GLR_security_profile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Aetna, ~90% of rules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 Blocking, URL Filtering, DLP fields absent entirely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Full Unified File Policy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Build from scratch — no existing component to extend</w:t>
            </w:r>
          </w:p>
        </w:tc>
        <w:tc>
          <w:tcPr>
            <w:shd w:fill="B3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hcb_officeext_security_profile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Aetna, 111 rules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 Blocking absent; URL Filtering present but 0 categories actually blocked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Full Unified File Policy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Build from scratch</w:t>
            </w:r>
          </w:p>
        </w:tc>
        <w:tc>
          <w:tcPr>
            <w:shd w:fill="B3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SPG-PPOM-All / SPG-LV-Colo-All / SPG-LV-Colo-Exceptions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AZ/RI/LV, ~18 rules (NAB-scoped)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File_Blocking_Best_Practice_SP (real block) + NAB's 28-pattern DLP (alert-only)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Closest existing match to target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Extend scope beyond NAB; promote MBI/SSN/PCI/HICN toward Block per burn-in schedule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Meritain-SPG-WG-General/HR/IT/Elevated-Rights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LV-COLO, Meritain-scoped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Real file-blocking + same 28-pattern DLP, alert-only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Closest existing match to target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 decrypt alignment (Section 4 below); promote patterns on same schedule as PPOM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hcb_security_profile_grp-Aws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Aetna, 59 rules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 Blocking alert-only; URL Filtering real (11 categories)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Full Unified File Policy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Add DLP component; upgrade file-blocking to match target action set</w:t>
            </w:r>
          </w:p>
        </w:tc>
        <w:tc>
          <w:tcPr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7-pattern DLP set (workbook)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yet wired anywhere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 of 7 live (SSN, alert-only). 6 unwired.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All 7 wired per Section 2 of target model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Complete 2 patterns needing source data (Driver's License, Member ID); wire remaining 5; set actions per target model's promotion schedule</w:t>
            </w:r>
          </w:p>
        </w:tc>
        <w:tc>
          <w:tcPr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</w:tbl>
    <w:p>
      <w:pPr>
        <w:pStyle w:val="Heading1"/>
        <w:spacing w:after="160" w:before="360"/>
      </w:pPr>
      <w:r>
        <w:t xml:space="preserve">2. Content &amp; Domain-Filtering Policy — Current Objects vs. Target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3600"/>
        <w:gridCol w:w="2500"/>
        <w:gridCol w:w="2900"/>
        <w:gridCol w:w="900"/>
      </w:tblGrid>
      <w:tr>
        <w:trPr>
          <w:tblHeader/>
        </w:trPr>
        <w:tc>
          <w:tcPr>
            <w:tcW w:type="dxa" w:w="2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Object</w:t>
            </w:r>
          </w:p>
        </w:tc>
        <w:tc>
          <w:tcPr>
            <w:tcW w:type="dxa" w:w="1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Platform</w:t>
            </w:r>
          </w:p>
        </w:tc>
        <w:tc>
          <w:tcPr>
            <w:tcW w:type="dxa" w:w="3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State</w:t>
            </w:r>
          </w:p>
        </w:tc>
        <w:tc>
          <w:tcPr>
            <w:tcW w:type="dxa" w:w="2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Target Requirement</w:t>
            </w:r>
          </w:p>
        </w:tc>
        <w:tc>
          <w:tcPr>
            <w:tcW w:type="dxa" w:w="2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Effort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60 Security Policy deny rules (BlockMalicious, Imperva_destinations, etc.)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PA, all environments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Static, hand-maintained IP/domain objects. IP-based, category any.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 only under target model, native categories as default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Audit each against native PAN-DB category coverage; retain only what a category can't replace; assign named owner to each retained list</w:t>
            </w:r>
          </w:p>
        </w:tc>
        <w:tc>
          <w:tcPr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Proxy-Zscaler-Blacklist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 URL Filtering block field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Static, one-time import from Zscaler, no refresh mechanism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named owner, defined review cadence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Assign owner; establish refresh process or replace with live EDL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SOC-Deny-List-Domain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 Decryption Policy category list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live EDL, hourly refresh, ~18,000 entries (verified via Aetna equivalent), 2 data-quality issues found (bare .ru TLD, stray SHA-256 hash)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SOC-owned (already meets this)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Clean the 2 identified data-quality issues; confirm same list or equivalent covers AZ/RI/LV consistently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Alert-All-SPG / URL-Filtering-Alert-All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PA, AZ/RI/LV/Retail, 98.9%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Zero block actions, any category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Native-category blocking as default per target model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Build native block list (malware/phishing/ransomware/hacking baseline) and apply estate-wide, not left to the NAB minority</w:t>
            </w:r>
          </w:p>
        </w:tc>
        <w:tc>
          <w:tcPr>
            <w:shd w:fill="B3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DenyListProd / SOCDenyList (Aetna, Skyhigh)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Skyhigh (Aetna)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live, fetch-verified 08/11/2026, 16,648 + 3,009 domain entries combined across the two lists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named owner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already close to target on ownership/freshness; carry equivalent structure into whatever replaces Skyhigh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DPS_DenyListProd_AIchatbots / Claude_URLs / CVSH_DPS_Unauthorized_URLs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Zscaler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Custom categories, active DLP scoping use, well-organized naming convention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already has clear naming/ownership discipline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Use this list's governance model as the template for PA's and Skyhigh's exception-tier naming/ownership going forward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WCCP bypass list (58 groups, PBM-ticket-numbered entries)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CVS network layer (Cisco ASA/Firepower, not PA)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Ad hoc, ticket-driven sprawl, no consistent ownership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named owner, defined review cadence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Audit and consolidate; assign ownership; this sits outside the PA estate and needs its own owning team engaged</w:t>
            </w:r>
          </w:p>
        </w:tc>
        <w:tc>
          <w:tcPr>
            <w:shd w:fill="B3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</w:tbl>
    <w:p>
      <w:pPr>
        <w:pStyle w:val="Heading1"/>
        <w:spacing w:after="160" w:before="360"/>
      </w:pPr>
      <w:r>
        <w:t xml:space="preserve">3. Tenant Restriction Policy — Current Objects vs. Target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50"/>
        <w:gridCol w:w="3100"/>
        <w:gridCol w:w="2600"/>
        <w:gridCol w:w="3650"/>
      </w:tblGrid>
      <w:tr>
        <w:trPr>
          <w:tblHeader/>
        </w:trPr>
        <w:tc>
          <w:tcPr>
            <w:tcW w:type="dxa" w:w="28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Object</w:t>
            </w:r>
          </w:p>
        </w:tc>
        <w:tc>
          <w:tcPr>
            <w:tcW w:type="dxa" w:w="185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Environment</w:t>
            </w:r>
          </w:p>
        </w:tc>
        <w:tc>
          <w:tcPr>
            <w:tcW w:type="dxa" w:w="31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State</w:t>
            </w:r>
          </w:p>
        </w:tc>
        <w:tc>
          <w:tcPr>
            <w:tcW w:type="dxa" w:w="2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Gap Against Target</w:t>
            </w:r>
          </w:p>
        </w:tc>
        <w:tc>
          <w:tcPr>
            <w:tcW w:type="dxa" w:w="365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LAN-TO-INTERNET-DECRYPT-MS-LOGIN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 (Middletown + Windsor)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Rule exists, matches correct category, confirmed disabled=yes on both instances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Decrypt layer not enabled — fails Section 4, condition 1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Enable; this is the lowest-effort fix of any Tenant Restriction gap — the rule already exists correctly built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MERITAIN-TO-INTERNET-MICROSOFT-LOGIN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LV-COLO (Meritain-scoped)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enabled, correctly matches the 4 target domains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Scope doesn't align with header-insertion rule — fails Section 4, condition 2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Re-scope Block-MS-Personal-Accounts to Meritain-Users-Subnets, or build a matching header rule for this population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Block-MS-Personal-Accounts / TEMPORARY-DLP-TEST-URL-CAT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AZ/RI/LV, single test host (10.47.152.25)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Header-insertion correctly built, scoped to one host outside any enabled decrypt population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Fails Section 4, conditions 1 and 2 simultaneously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Retire this pilot; rebuild per target model with decrypt and header-insertion co-scoped to the intended real population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Block-Personal-Accounts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AZ/RI/LV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Second header-insertion object found, targets login.live.com, wiring status not verified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Unknown — requires the same verification as above before any conclusion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Locate the referencing rule and its scope before deciding whether to retire or extend this one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RI Tenant Restriction rollout attempt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RI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Per Firewall Engineering: implemented, hit a proxy-related bug, rolled back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current implementation; prior attempt undocumented in the config itself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Do not treat as "never attempted" — investigate the specific bug before reattempting, or the same failure likely recurs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CVSH-MS365_Tenant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Zscaler (client devices only)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real, independent working implementation of the same Microsoft mechanism — third instance alongside both Skyhigh proxies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a gap — functioning today, on Zscaler's covered population only (managed clients)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Reference as a second working example (alongside Meritain's decrypt rule) when designing the PA target rule — do not rebuild, confirm consistency of approach instead</w:t>
            </w:r>
          </w:p>
        </w:tc>
      </w:tr>
    </w:tbl>
    <w:p>
      <w:pPr>
        <w:pStyle w:val="Heading1"/>
        <w:spacing w:after="160" w:before="360"/>
      </w:pPr>
      <w:r>
        <w:t xml:space="preserve">4. Authentication &amp; No-Auth Exemption Policy — Current Objects vs. Target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2600"/>
        <w:gridCol w:w="3800"/>
      </w:tblGrid>
      <w:tr>
        <w:trPr>
          <w:tblHeader/>
        </w:trPr>
        <w:tc>
          <w:tcPr>
            <w:tcW w:type="dxa" w:w="28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Object</w:t>
            </w:r>
          </w:p>
        </w:tc>
        <w:tc>
          <w:tcPr>
            <w:tcW w:type="dxa" w:w="1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Platform</w:t>
            </w:r>
          </w:p>
        </w:tc>
        <w:tc>
          <w:tcPr>
            <w:tcW w:type="dxa" w:w="32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State</w:t>
            </w:r>
          </w:p>
        </w:tc>
        <w:tc>
          <w:tcPr>
            <w:tcW w:type="dxa" w:w="2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Gap Against Target</w:t>
            </w:r>
          </w:p>
        </w:tc>
        <w:tc>
          <w:tcPr>
            <w:tcW w:type="dxa" w:w="38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CVS_Mainframe (34 static IPs)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CVS Skyhigh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Bypasses authentication, no destination restriction — permitted to reach any destination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Fails target Section 7, condition 2 (narrowest-possible destination scope)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 the actual destination need for this integration; scope down from unrestricted to an explicit allow-list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CVS-epicallow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CVS Skyhigh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Bypasses authentication, no destination restriction; name strongly indicates Epic EHR integration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Fails target Section 7, condition 2 — same as CVS_Mainframe, elevated concern given likely healthcare-system context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 actual Epic integration scope with system owner; narrow destination list; treat as higher priority than CVS_Mainframe given healthcare-data sensitivity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Three parallel CVS auth rule groups (F5 explicit / WCCP-transparent / explicit-non-F5)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CVS Skyhigh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Each independently duplicates the same four exemption checks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Fails target Section 7, condition 3 (single consolidated exemption reference)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Consolidate to one referenced exemption object; current structure requires three manual edits per scope change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11 named bypass rules (SCOM, Checkpoint, ThousandEyes, BigTinCan, MSLync, vSOC, CVTY Citrix, Mobile DMZ, VDMZ, Corporate Display Server)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 Skyhigh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Named, scoped, individually documented — closest existing match to target Section 7 condition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Largely meets target condition 1 already; condition 2 (narrowest destination scope) not independently re-verified per rule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Spot-check destination scope per rule before treating as fully compliant; do not assume named = correctly scoped without checking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Zscaler authentication/exemption model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Zscaler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reviewed — data source used did not include Administration &gt; Authentication config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Unknown — cannot assess against target model without this data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Pull a dedicated Zscaler authentication export before any target design assumes parity with or difference from Skyhigh's model</w:t>
            </w:r>
          </w:p>
        </w:tc>
      </w:tr>
    </w:tbl>
    <w:p>
      <w:pPr>
        <w:pBdr>
          <w:top w:val="single" w:color="CCCCCC" w:sz="6" w:space="8"/>
        </w:pBdr>
        <w:spacing w:before="400"/>
      </w:pPr>
      <w:r>
        <w:rPr>
          <w:i/>
          <w:iCs/>
          <w:color w:val="5B6169"/>
          <w:sz w:val="17"/>
          <w:szCs w:val="17"/>
        </w:rPr>
        <w:t xml:space="preserve">Segmentation (server/user/business-unit) and the exception-then-enforcement rule pattern (Target Policy Sections 8-9) apply universally to every row above and are not restated per-object — every "Action" in this document is expected to be implemented as an exception-rule-plus-enforcement-rule pair, not a single rule edit.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2026-09-28T16:13:39.916Z</dcterms:created>
  <dcterms:modified xsi:type="dcterms:W3CDTF">2026-09-28T16:13:39.916Z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