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366E3" w14:textId="77777777" w:rsidR="00570780" w:rsidRDefault="00000000">
      <w:pPr>
        <w:spacing w:after="180" w:line="260" w:lineRule="auto"/>
        <w:jc w:val="center"/>
      </w:pPr>
      <w:r>
        <w:rPr>
          <w:b/>
          <w:bCs/>
          <w:sz w:val="32"/>
          <w:szCs w:val="32"/>
        </w:rPr>
        <w:t>Server-Side Egress Security and</w:t>
        <w:br/>
        <w:t>Microsegmentation Architecture Survey</w:t>
      </w:r>
    </w:p>
    <w:p w14:paraId="2CEECE09" w14:textId="77777777" w:rsidR="00570780" w:rsidRDefault="00000000">
      <w:pPr>
        <w:spacing w:after="260" w:line="260" w:lineRule="auto"/>
        <w:jc w:val="center"/>
      </w:pPr>
      <w:r>
        <w:rPr>
          <w:sz w:val="26"/>
          <w:szCs w:val="26"/>
        </w:rPr>
        <w:t>Product models, lateral-movement containment,</w:t>
        <w:br/>
        <w:t>and the limits of inspection</w:t>
      </w:r>
    </w:p>
    <w:p w14:paraId="6062F241" w14:textId="77777777" w:rsidR="00570780" w:rsidRDefault="00000000">
      <w:pPr>
        <w:spacing w:after="90" w:line="260" w:lineRule="auto"/>
        <w:jc w:val="center"/>
      </w:pPr>
      <w:r>
        <w:t>Michael J. Martin</w:t>
      </w:r>
    </w:p>
    <w:p w14:paraId="4EF4904A" w14:textId="77777777" w:rsidR="00570780" w:rsidRDefault="00000000">
      <w:pPr>
        <w:spacing w:after="90" w:line="260" w:lineRule="auto"/>
        <w:jc w:val="center"/>
      </w:pPr>
      <w:r>
        <w:t>Lead Director, Network Security Engineering</w:t>
      </w:r>
    </w:p>
    <w:p w14:paraId="17503735" w14:textId="77777777" w:rsidR="00570780" w:rsidRDefault="00000000">
      <w:pPr>
        <w:spacing w:after="240" w:line="260" w:lineRule="auto"/>
        <w:jc w:val="center"/>
      </w:pPr>
      <w:r>
        <w:t>CVS Health | Information Security</w:t>
      </w:r>
    </w:p>
    <w:p w14:paraId="7B62BB4D" w14:textId="77777777" w:rsidR="00570780" w:rsidRDefault="00000000">
      <w:pPr>
        <w:spacing w:after="90" w:line="260" w:lineRule="auto"/>
        <w:jc w:val="center"/>
      </w:pPr>
      <w:r>
        <w:rPr>
          <w:sz w:val="20"/>
          <w:szCs w:val="20"/>
        </w:rPr>
        <w:t>Version 2.2 | 27 September 2026</w:t>
      </w:r>
    </w:p>
    <w:p w14:paraId="15B86B04" w14:textId="77777777" w:rsidR="00570780" w:rsidRDefault="00000000">
      <w:pPr>
        <w:spacing w:after="90" w:line="260" w:lineRule="auto"/>
        <w:jc w:val="center"/>
      </w:pPr>
      <w:r>
        <w:rPr>
          <w:sz w:val="20"/>
          <w:szCs w:val="20"/>
        </w:rPr>
        <w:t>Draft for Technical Review | Internal Working Document</w:t>
      </w:r>
    </w:p>
    <w:p w14:paraId="5EEE3D9C" w14:textId="77777777" w:rsidR="00570780" w:rsidRDefault="00000000">
      <w:pPr>
        <w:spacing w:after="240" w:line="260" w:lineRule="auto"/>
        <w:jc w:val="center"/>
      </w:pPr>
      <w:r>
        <w:rPr>
          <w:sz w:val="20"/>
          <w:szCs w:val="20"/>
        </w:rPr>
        <w:t>Supersedes version 2.1</w:t>
      </w:r>
    </w:p>
    <w:p w14:paraId="74BE7C9C" w14:textId="77777777" w:rsidR="00570780" w:rsidRDefault="00000000">
      <w:pPr>
        <w:spacing w:after="90" w:line="260" w:lineRule="auto"/>
        <w:jc w:val="center"/>
      </w:pPr>
      <w:r>
        <w:rPr>
          <w:sz w:val="20"/>
          <w:szCs w:val="20"/>
        </w:rPr>
        <w:t>Keywords: workload egress; lateral movement; identity; inspection; containment</w:t>
      </w:r>
    </w:p>
    <w:p w14:paraId="4ABF5EF0" w14:textId="77777777" w:rsidR="00570780" w:rsidRDefault="00000000">
      <w:pPr>
        <w:spacing w:line="260" w:lineRule="auto"/>
        <w:jc w:val="center"/>
      </w:pPr>
      <w:r>
        <w:rPr>
          <w:b/>
          <w:bCs/>
        </w:rPr>
        <w:t>Abstract</w:t>
      </w:r>
    </w:p>
    <w:p w14:paraId="2AA9F72E" w14:textId="77777777" w:rsidR="00570780" w:rsidRDefault="00000000">
      <w:pPr>
        <w:keepLines/>
        <w:spacing w:line="260" w:lineRule="auto"/>
        <w:ind w:left="360" w:right="360"/>
      </w:pPr>
      <w:r>
        <w:rPr>
          <w:sz w:val="20"/>
          <w:szCs w:val="20"/>
        </w:rPr>
        <w:t xml:space="preserve">This survey compares approaches to server-side egress security and microsegmentation for a distributed estate with overlapping addresses and heterogeneous execution environments. It distinguishes preventive containment from connection trust, content inspection, behavioral detection, and response. The analysis incorporates supplied policy and inventory evidence, current-state engineering clarifications, and documented product mechanisms. It evaluates Stealth cryptographic communities, the Edgewise software-identity approach, incumbent host-firewall enforcement, infrastructure controls, and application-platform-native boundaries without assuming that planned capabilities are operational. The resulting decision framework emphasizes mandatory egress paths, precise identity and context, explicit inspection exceptions, and demonstrable lateral-movement restriction.</w:t>
      </w:r>
    </w:p>
    <w:p w14:paraId="557C58F5" w14:textId="77777777" w:rsidR="00570780" w:rsidRDefault="00000000">
      <w:r>
        <w:br w:type="page"/>
      </w:r>
    </w:p>
    <w:p w14:paraId="1E6D8027" w14:textId="77777777" w:rsidR="00570780" w:rsidRDefault="00000000">
      <w:pPr>
        <w:pStyle w:val="Heading1"/>
      </w:pPr>
      <w:r>
        <w:lastRenderedPageBreak/>
        <w:t>SURVEY CONTENTS</w:t>
      </w:r>
    </w:p>
    <w:p w14:paraId="69DA2724" w14:textId="77777777" w:rsidR="00570780" w:rsidRDefault="00000000">
      <w:pPr>
        <w:keepLines/>
        <w:tabs>
          <w:tab w:val="right" w:leader="dot" w:pos="8928"/>
        </w:tabs>
        <w:spacing w:line="260" w:lineRule="auto"/>
        <w:jc w:val="left"/>
      </w:pPr>
      <w:hyperlink w:anchor="section_0" w:history="1">
        <w:r>
          <w:rPr>
            <w:sz w:val="21"/>
            <w:szCs w:val="21"/>
          </w:rPr>
          <w:t>Executive perspective</w:t>
        </w:r>
      </w:hyperlink>
      <w:r>
        <w:rPr>
          <w:sz w:val="21"/>
          <w:szCs w:val="21"/>
        </w:rPr>
        <w:tab/>
      </w:r>
      <w:r>
        <w:fldChar w:fldCharType="begin"/>
        <w:instrText>PAGEREF section_0 \h</w:instrText>
        <w:fldChar w:fldCharType="separate"/>
        <w:t>3</w:t>
        <w:fldChar w:fldCharType="end"/>
      </w:r>
    </w:p>
    <w:p w14:paraId="711C7B26" w14:textId="77777777" w:rsidR="00570780" w:rsidRDefault="00000000">
      <w:pPr>
        <w:keepLines/>
        <w:tabs>
          <w:tab w:val="right" w:leader="dot" w:pos="8928"/>
        </w:tabs>
        <w:spacing w:line="260" w:lineRule="auto"/>
        <w:jc w:val="left"/>
      </w:pPr>
      <w:hyperlink w:anchor="section_1" w:history="1">
        <w:r>
          <w:rPr>
            <w:sz w:val="21"/>
            <w:szCs w:val="21"/>
          </w:rPr>
          <w:t>Scope, terminology, and evidence discipline</w:t>
        </w:r>
      </w:hyperlink>
      <w:r>
        <w:rPr>
          <w:sz w:val="21"/>
          <w:szCs w:val="21"/>
        </w:rPr>
        <w:tab/>
      </w:r>
      <w:r>
        <w:fldChar w:fldCharType="begin"/>
        <w:instrText>PAGEREF section_1 \h</w:instrText>
        <w:fldChar w:fldCharType="separate"/>
        <w:t>4</w:t>
        <w:fldChar w:fldCharType="end"/>
      </w:r>
    </w:p>
    <w:p w14:paraId="6CAD504C" w14:textId="77777777" w:rsidR="00570780" w:rsidRDefault="00000000">
      <w:pPr>
        <w:keepLines/>
        <w:tabs>
          <w:tab w:val="right" w:leader="dot" w:pos="8928"/>
        </w:tabs>
        <w:spacing w:line="260" w:lineRule="auto"/>
        <w:jc w:val="left"/>
      </w:pPr>
      <w:hyperlink w:anchor="section_2" w:history="1">
        <w:r>
          <w:rPr>
            <w:sz w:val="21"/>
            <w:szCs w:val="21"/>
          </w:rPr>
          <w:t>Control functions that must not be conflated</w:t>
        </w:r>
      </w:hyperlink>
      <w:r>
        <w:rPr>
          <w:sz w:val="21"/>
          <w:szCs w:val="21"/>
        </w:rPr>
        <w:tab/>
      </w:r>
      <w:r>
        <w:fldChar w:fldCharType="begin"/>
        <w:instrText>PAGEREF section_2 \h</w:instrText>
        <w:fldChar w:fldCharType="separate"/>
        <w:t>5</w:t>
        <w:fldChar w:fldCharType="end"/>
      </w:r>
    </w:p>
    <w:p w14:paraId="4FEE583D" w14:textId="77777777" w:rsidR="00570780" w:rsidRDefault="00000000">
      <w:pPr>
        <w:keepLines/>
        <w:tabs>
          <w:tab w:val="right" w:leader="dot" w:pos="8928"/>
        </w:tabs>
        <w:spacing w:line="260" w:lineRule="auto"/>
        <w:jc w:val="left"/>
      </w:pPr>
      <w:hyperlink w:anchor="section_3" w:history="1">
        <w:r>
          <w:rPr>
            <w:sz w:val="21"/>
            <w:szCs w:val="21"/>
          </w:rPr>
          <w:t>Estate conditions that determine model fit</w:t>
        </w:r>
      </w:hyperlink>
      <w:r>
        <w:rPr>
          <w:sz w:val="21"/>
          <w:szCs w:val="21"/>
        </w:rPr>
        <w:tab/>
      </w:r>
      <w:r>
        <w:fldChar w:fldCharType="begin"/>
        <w:instrText>PAGEREF section_3 \h</w:instrText>
        <w:fldChar w:fldCharType="separate"/>
        <w:t>6</w:t>
        <w:fldChar w:fldCharType="end"/>
      </w:r>
    </w:p>
    <w:p w14:paraId="05BBF3E8" w14:textId="77777777" w:rsidR="00570780" w:rsidRDefault="00000000">
      <w:pPr>
        <w:keepLines/>
        <w:tabs>
          <w:tab w:val="right" w:leader="dot" w:pos="8928"/>
        </w:tabs>
        <w:spacing w:line="260" w:lineRule="auto"/>
        <w:jc w:val="left"/>
      </w:pPr>
      <w:hyperlink w:anchor="section_4" w:history="1">
        <w:r>
          <w:rPr>
            <w:sz w:val="21"/>
            <w:szCs w:val="21"/>
          </w:rPr>
          <w:t>Server-side egress security</w:t>
        </w:r>
      </w:hyperlink>
      <w:r>
        <w:rPr>
          <w:sz w:val="21"/>
          <w:szCs w:val="21"/>
        </w:rPr>
        <w:tab/>
      </w:r>
      <w:r>
        <w:fldChar w:fldCharType="begin"/>
        <w:instrText>PAGEREF section_4 \h</w:instrText>
        <w:fldChar w:fldCharType="separate"/>
        <w:t>8</w:t>
        <w:fldChar w:fldCharType="end"/>
      </w:r>
    </w:p>
    <w:p w14:paraId="1688B34C" w14:textId="77777777" w:rsidR="00570780" w:rsidRDefault="00000000">
      <w:pPr>
        <w:keepLines/>
        <w:tabs>
          <w:tab w:val="right" w:leader="dot" w:pos="8928"/>
        </w:tabs>
        <w:spacing w:line="260" w:lineRule="auto"/>
        <w:jc w:val="left"/>
      </w:pPr>
      <w:hyperlink w:anchor="section_5" w:history="1">
        <w:r>
          <w:rPr>
            <w:sz w:val="21"/>
            <w:szCs w:val="21"/>
          </w:rPr>
          <w:t>Survey framework for lateral-movement containment</w:t>
        </w:r>
      </w:hyperlink>
      <w:r>
        <w:rPr>
          <w:sz w:val="21"/>
          <w:szCs w:val="21"/>
        </w:rPr>
        <w:tab/>
      </w:r>
      <w:r>
        <w:fldChar w:fldCharType="begin"/>
        <w:instrText>PAGEREF section_5 \h</w:instrText>
        <w:fldChar w:fldCharType="separate"/>
        <w:t>12</w:t>
        <w:fldChar w:fldCharType="end"/>
      </w:r>
    </w:p>
    <w:p w14:paraId="15531DF0" w14:textId="77777777" w:rsidR="00570780" w:rsidRDefault="00000000">
      <w:pPr>
        <w:keepLines/>
        <w:tabs>
          <w:tab w:val="right" w:leader="dot" w:pos="8928"/>
        </w:tabs>
        <w:spacing w:line="260" w:lineRule="auto"/>
        <w:jc w:val="left"/>
      </w:pPr>
      <w:hyperlink w:anchor="section_6" w:history="1">
        <w:r>
          <w:rPr>
            <w:sz w:val="21"/>
            <w:szCs w:val="21"/>
          </w:rPr>
          <w:t>Unisys Stealth: cryptographic communities</w:t>
        </w:r>
      </w:hyperlink>
      <w:r>
        <w:rPr>
          <w:sz w:val="21"/>
          <w:szCs w:val="21"/>
        </w:rPr>
        <w:tab/>
      </w:r>
      <w:r>
        <w:fldChar w:fldCharType="begin"/>
        <w:instrText>PAGEREF section_6 \h</w:instrText>
        <w:fldChar w:fldCharType="separate"/>
        <w:t>13</w:t>
        <w:fldChar w:fldCharType="end"/>
      </w:r>
    </w:p>
    <w:p w14:paraId="30B043ED" w14:textId="77777777" w:rsidR="00570780" w:rsidRDefault="00000000">
      <w:pPr>
        <w:keepLines/>
        <w:tabs>
          <w:tab w:val="right" w:leader="dot" w:pos="8928"/>
        </w:tabs>
        <w:spacing w:line="260" w:lineRule="auto"/>
        <w:jc w:val="left"/>
      </w:pPr>
      <w:hyperlink w:anchor="section_7" w:history="1">
        <w:r>
          <w:rPr>
            <w:sz w:val="21"/>
            <w:szCs w:val="21"/>
          </w:rPr>
          <w:t>Software-identity enforcement: Zscaler's Edgewise approach</w:t>
        </w:r>
      </w:hyperlink>
      <w:r>
        <w:rPr>
          <w:sz w:val="21"/>
          <w:szCs w:val="21"/>
        </w:rPr>
        <w:tab/>
      </w:r>
      <w:r>
        <w:fldChar w:fldCharType="begin"/>
        <w:instrText>PAGEREF section_7 \h</w:instrText>
        <w:fldChar w:fldCharType="separate"/>
        <w:t>15</w:t>
        <w:fldChar w:fldCharType="end"/>
      </w:r>
    </w:p>
    <w:p w14:paraId="752A965D" w14:textId="77777777" w:rsidR="00570780" w:rsidRDefault="00000000">
      <w:pPr>
        <w:keepLines/>
        <w:tabs>
          <w:tab w:val="right" w:leader="dot" w:pos="8928"/>
        </w:tabs>
        <w:spacing w:line="260" w:lineRule="auto"/>
        <w:jc w:val="left"/>
      </w:pPr>
      <w:hyperlink w:anchor="section_8" w:history="1">
        <w:r>
          <w:rPr>
            <w:sz w:val="21"/>
            <w:szCs w:val="21"/>
          </w:rPr>
          <w:t>Host-based and remote firewall approaches</w:t>
        </w:r>
      </w:hyperlink>
      <w:r>
        <w:rPr>
          <w:sz w:val="21"/>
          <w:szCs w:val="21"/>
        </w:rPr>
        <w:tab/>
      </w:r>
      <w:r>
        <w:fldChar w:fldCharType="begin"/>
        <w:instrText>PAGEREF section_8 \h</w:instrText>
        <w:fldChar w:fldCharType="separate"/>
        <w:t>16</w:t>
        <w:fldChar w:fldCharType="end"/>
      </w:r>
    </w:p>
    <w:p w14:paraId="7DD7619F" w14:textId="77777777" w:rsidR="00570780" w:rsidRDefault="00000000">
      <w:pPr>
        <w:keepLines/>
        <w:tabs>
          <w:tab w:val="right" w:leader="dot" w:pos="8928"/>
        </w:tabs>
        <w:spacing w:line="260" w:lineRule="auto"/>
        <w:jc w:val="left"/>
      </w:pPr>
      <w:hyperlink w:anchor="section_9" w:history="1">
        <w:r>
          <w:rPr>
            <w:sz w:val="21"/>
            <w:szCs w:val="21"/>
          </w:rPr>
          <w:t>Infrastructure, NAC, and brokered-access approaches</w:t>
        </w:r>
      </w:hyperlink>
      <w:r>
        <w:rPr>
          <w:sz w:val="21"/>
          <w:szCs w:val="21"/>
        </w:rPr>
        <w:tab/>
      </w:r>
      <w:r>
        <w:fldChar w:fldCharType="begin"/>
        <w:instrText>PAGEREF section_9 \h</w:instrText>
        <w:fldChar w:fldCharType="separate"/>
        <w:t>17</w:t>
        <w:fldChar w:fldCharType="end"/>
      </w:r>
    </w:p>
    <w:p w14:paraId="4AC90A12" w14:textId="77777777" w:rsidR="00570780" w:rsidRDefault="00000000">
      <w:pPr>
        <w:keepLines/>
        <w:tabs>
          <w:tab w:val="right" w:leader="dot" w:pos="8928"/>
        </w:tabs>
        <w:spacing w:line="260" w:lineRule="auto"/>
        <w:jc w:val="left"/>
      </w:pPr>
      <w:hyperlink w:anchor="section_10" w:history="1">
        <w:r>
          <w:rPr>
            <w:sz w:val="21"/>
            <w:szCs w:val="21"/>
          </w:rPr>
          <w:t>Containers, shared Envoy environments, and serverless</w:t>
        </w:r>
      </w:hyperlink>
      <w:r>
        <w:rPr>
          <w:sz w:val="21"/>
          <w:szCs w:val="21"/>
        </w:rPr>
        <w:tab/>
      </w:r>
      <w:r>
        <w:fldChar w:fldCharType="begin"/>
        <w:instrText>PAGEREF section_10 \h</w:instrText>
        <w:fldChar w:fldCharType="separate"/>
        <w:t>18</w:t>
        <w:fldChar w:fldCharType="end"/>
      </w:r>
    </w:p>
    <w:p w14:paraId="1D943161" w14:textId="77777777" w:rsidR="00570780" w:rsidRDefault="00000000">
      <w:pPr>
        <w:keepLines/>
        <w:tabs>
          <w:tab w:val="right" w:leader="dot" w:pos="8928"/>
        </w:tabs>
        <w:spacing w:line="260" w:lineRule="auto"/>
        <w:jc w:val="left"/>
      </w:pPr>
      <w:hyperlink w:anchor="section_11" w:history="1">
        <w:r>
          <w:rPr>
            <w:sz w:val="21"/>
            <w:szCs w:val="21"/>
          </w:rPr>
          <w:t>Detection, inspection, and evidence after encryption</w:t>
        </w:r>
      </w:hyperlink>
      <w:r>
        <w:rPr>
          <w:sz w:val="21"/>
          <w:szCs w:val="21"/>
        </w:rPr>
        <w:tab/>
      </w:r>
      <w:r>
        <w:fldChar w:fldCharType="begin"/>
        <w:instrText>PAGEREF section_11 \h</w:instrText>
        <w:fldChar w:fldCharType="separate"/>
        <w:t>19</w:t>
        <w:fldChar w:fldCharType="end"/>
      </w:r>
    </w:p>
    <w:p w14:paraId="59370BBC" w14:textId="77777777" w:rsidR="00570780" w:rsidRDefault="00000000">
      <w:pPr>
        <w:keepLines/>
        <w:tabs>
          <w:tab w:val="right" w:leader="dot" w:pos="8928"/>
        </w:tabs>
        <w:spacing w:line="260" w:lineRule="auto"/>
        <w:jc w:val="left"/>
      </w:pPr>
      <w:hyperlink w:anchor="section_12" w:history="1">
        <w:r>
          <w:rPr>
            <w:sz w:val="21"/>
            <w:szCs w:val="21"/>
          </w:rPr>
          <w:t>Comparative conclusions and decision posture</w:t>
        </w:r>
      </w:hyperlink>
      <w:r>
        <w:rPr>
          <w:sz w:val="21"/>
          <w:szCs w:val="21"/>
        </w:rPr>
        <w:tab/>
      </w:r>
      <w:r>
        <w:fldChar w:fldCharType="begin"/>
        <w:instrText>PAGEREF section_12 \h</w:instrText>
        <w:fldChar w:fldCharType="separate"/>
        <w:t>21</w:t>
        <w:fldChar w:fldCharType="end"/>
      </w:r>
    </w:p>
    <w:p w14:paraId="2FCA1FA9" w14:textId="77777777" w:rsidR="00570780" w:rsidRDefault="00000000">
      <w:pPr>
        <w:keepLines/>
        <w:tabs>
          <w:tab w:val="right" w:leader="dot" w:pos="8928"/>
        </w:tabs>
        <w:spacing w:line="260" w:lineRule="auto"/>
        <w:jc w:val="left"/>
      </w:pPr>
      <w:hyperlink w:anchor="section_13" w:history="1">
        <w:r>
          <w:rPr>
            <w:sz w:val="21"/>
            <w:szCs w:val="21"/>
          </w:rPr>
          <w:t>Validation gates for a representative pilot</w:t>
        </w:r>
      </w:hyperlink>
      <w:r>
        <w:rPr>
          <w:sz w:val="21"/>
          <w:szCs w:val="21"/>
        </w:rPr>
        <w:tab/>
      </w:r>
      <w:r>
        <w:fldChar w:fldCharType="begin"/>
        <w:instrText>PAGEREF section_13 \h</w:instrText>
        <w:fldChar w:fldCharType="separate"/>
        <w:t>22</w:t>
        <w:fldChar w:fldCharType="end"/>
      </w:r>
    </w:p>
    <w:p w14:paraId="782D739A" w14:textId="77777777" w:rsidR="00570780" w:rsidRDefault="00000000">
      <w:pPr>
        <w:keepLines/>
        <w:tabs>
          <w:tab w:val="right" w:leader="dot" w:pos="8928"/>
        </w:tabs>
        <w:spacing w:line="260" w:lineRule="auto"/>
        <w:jc w:val="left"/>
      </w:pPr>
      <w:hyperlink w:anchor="section_14" w:history="1">
        <w:r>
          <w:rPr>
            <w:sz w:val="21"/>
            <w:szCs w:val="21"/>
          </w:rPr>
          <w:t>Appendix: supplied evidence and interpretation limits</w:t>
        </w:r>
      </w:hyperlink>
      <w:r>
        <w:rPr>
          <w:sz w:val="21"/>
          <w:szCs w:val="21"/>
        </w:rPr>
        <w:tab/>
      </w:r>
      <w:r>
        <w:fldChar w:fldCharType="begin"/>
        <w:instrText>PAGEREF section_14 \h</w:instrText>
        <w:fldChar w:fldCharType="separate"/>
        <w:t>23</w:t>
        <w:fldChar w:fldCharType="end"/>
      </w:r>
    </w:p>
    <w:p w14:paraId="02B8D9A7" w14:textId="77777777" w:rsidR="00570780" w:rsidRDefault="00000000">
      <w:pPr>
        <w:keepLines/>
        <w:tabs>
          <w:tab w:val="right" w:leader="dot" w:pos="8928"/>
        </w:tabs>
        <w:spacing w:line="260" w:lineRule="auto"/>
        <w:jc w:val="left"/>
      </w:pPr>
      <w:hyperlink w:anchor="section_15" w:history="1">
        <w:r>
          <w:rPr>
            <w:sz w:val="21"/>
            <w:szCs w:val="21"/>
          </w:rPr>
          <w:t>Appendix: proxy and firewall evidence register</w:t>
        </w:r>
      </w:hyperlink>
      <w:r>
        <w:rPr>
          <w:sz w:val="21"/>
          <w:szCs w:val="21"/>
        </w:rPr>
        <w:tab/>
      </w:r>
      <w:r>
        <w:fldChar w:fldCharType="begin"/>
        <w:instrText>PAGEREF section_15 \h</w:instrText>
        <w:fldChar w:fldCharType="separate"/>
        <w:t>24</w:t>
        <w:fldChar w:fldCharType="end"/>
      </w:r>
    </w:p>
    <w:p w14:paraId="08829524" w14:textId="77777777" w:rsidR="00570780" w:rsidRDefault="00000000">
      <w:pPr>
        <w:keepLines/>
        <w:tabs>
          <w:tab w:val="right" w:leader="dot" w:pos="8928"/>
        </w:tabs>
        <w:spacing w:line="260" w:lineRule="auto"/>
        <w:jc w:val="left"/>
      </w:pPr>
      <w:hyperlink w:anchor="section_16" w:history="1">
        <w:r>
          <w:rPr>
            <w:sz w:val="21"/>
            <w:szCs w:val="21"/>
          </w:rPr>
          <w:t>Appendix: material changes from version 1.1</w:t>
        </w:r>
      </w:hyperlink>
      <w:r>
        <w:rPr>
          <w:sz w:val="21"/>
          <w:szCs w:val="21"/>
        </w:rPr>
        <w:tab/>
      </w:r>
      <w:r>
        <w:fldChar w:fldCharType="begin"/>
        <w:instrText>PAGEREF section_16 \h</w:instrText>
        <w:fldChar w:fldCharType="separate"/>
        <w:t>25</w:t>
        <w:fldChar w:fldCharType="end"/>
      </w:r>
    </w:p>
    <w:p w14:paraId="14A045C6" w14:textId="77777777" w:rsidR="00570780" w:rsidRDefault="00000000">
      <w:pPr>
        <w:keepLines/>
        <w:tabs>
          <w:tab w:val="right" w:leader="dot" w:pos="8928"/>
        </w:tabs>
        <w:spacing w:line="260" w:lineRule="auto"/>
        <w:jc w:val="left"/>
      </w:pPr>
      <w:hyperlink w:anchor="section_17" w:history="1">
        <w:r>
          <w:rPr>
            <w:sz w:val="21"/>
            <w:szCs w:val="21"/>
          </w:rPr>
          <w:t>References</w:t>
        </w:r>
      </w:hyperlink>
      <w:r>
        <w:rPr>
          <w:sz w:val="21"/>
          <w:szCs w:val="21"/>
        </w:rPr>
        <w:tab/>
      </w:r>
      <w:r>
        <w:fldChar w:fldCharType="begin"/>
        <w:instrText>PAGEREF section_17 \h</w:instrText>
        <w:fldChar w:fldCharType="separate"/>
        <w:t>27</w:t>
        <w:fldChar w:fldCharType="end"/>
      </w:r>
    </w:p>
    <w:p w14:paraId="63A1702B" w14:textId="77777777" w:rsidR="00570780" w:rsidRDefault="00000000">
      <w:pPr>
        <w:keepLines/>
        <w:spacing w:before="180" w:after="0"/>
      </w:pPr>
      <w:r>
        <w:rPr>
          <w:sz w:val="20"/>
          <w:szCs w:val="20"/>
        </w:rPr>
        <w:t>Contents entries are clickable. Major headings and subsections are also available in the Word Navigation pane.</w:t>
      </w:r>
    </w:p>
    <w:p w14:paraId="43591BDE" w14:textId="77777777" w:rsidR="00570780" w:rsidRDefault="00000000">
      <w:r>
        <w:br w:type="page"/>
      </w:r>
    </w:p>
    <w:p w14:paraId="4C8EE791" w14:textId="77777777" w:rsidR="00570780" w:rsidRDefault="00000000">
      <w:pPr>
        <w:pStyle w:val="Heading1"/>
        <w:keepLines/>
      </w:pPr>
      <w:bookmarkStart w:id="0" w:name="section_0"/>
      <w:r>
        <w:lastRenderedPageBreak/>
        <w:t>EXECUTIVE PERSPECTIVE</w:t>
      </w:r>
      <w:bookmarkEnd w:id="0"/>
    </w:p>
    <w:p w14:paraId="2156904D" w14:textId="77777777" w:rsidR="00570780" w:rsidRDefault="00000000">
      <w:pPr>
        <w:keepLines/>
      </w:pPr>
      <w:r>
        <w:t xml:space="preserve">This survey evaluates approaches to server-side egress traffic security and microsegmentation. Its purpose is to distinguish control models and their suitability for the estate, not to present an approved enterprise architecture or declare that deploying a product establishes an effective security outcome. The intended readers are network security engineering, application and cloud architects, security operations, and technical decision-makers.</w:t>
      </w:r>
    </w:p>
    <w:p w14:paraId="10EA9FA9" w14:textId="77777777" w:rsidR="00570780" w:rsidRDefault="00000000">
      <w:pPr>
        <w:keepLines/>
      </w:pPr>
      <w:r>
        <w:t xml:space="preserve">The central distinction is between restricting communication and recognizing malicious activity within permitted communication. Microsegmentation reduces the reachable attack surface and constrains blast radius. Preconnection authentication, authorization, posture checks, and subsequent trust reevaluation can restrict access further. Neither proves that an authorized participant is behaving benignly. The survey therefore treats egress inspection, behavioral detection, and detection-triggered containment as separate functions that must be designed and validated.</w:t>
      </w:r>
    </w:p>
    <w:p w14:paraId="13FBC707" w14:textId="2FE9EA2E" w:rsidR="00570780" w:rsidRDefault="00000000">
      <w:pPr>
        <w:keepLines/>
      </w:pPr>
      <w:r>
        <w:t xml:space="preserve">The working threat scenario is compromise through an allowed ingress path followed by malicious activity that becomes observable in workload-originated traffic. Server-side egress is consequently a primary observation and enforcement surface, not merely a web-access service. This is an architectural threat assumption, not a statistical assertion that attacks are never detected at ingress. Host execution, application transactions, identity activity, and network behavior can all be relevant evidence.</w:t>
      </w:r>
    </w:p>
    <w:p w14:paraId="3D0F0699" w14:textId="77777777" w:rsidR="00570780" w:rsidRDefault="00000000">
      <w:pPr>
        <w:keepLines/>
      </w:pPr>
      <w:r>
        <w:t>The estate context supplied for this revision is decisive: extensive address overlap, explicit routing paths, multi-site applications, and a mixture of Citrix, traditional hosts, containers, and multi-tenant Envoy/Kubernetes environments. SOC/SIEM analysis remains IP-anchored. Illumio is used on P1 applications largely to implement OS-level stateful firewall policy. Falcon is the only operational detection capability identified by Network Security Engineering for this discussion; universal coverage is not established.</w:t>
      </w:r>
    </w:p>
    <w:p w14:paraId="047CF81F" w14:textId="77777777" w:rsidR="00570780" w:rsidRDefault="00000000">
      <w:pPr>
        <w:keepLines/>
      </w:pPr>
      <w:r>
        <w:t>Two transformations are proceeding without a comprehensive integrating architecture: ZTNA/IAM/NAC modernization, and movement from reliance on web proxies toward Palo Alto inline NGFW egress enforcement. Microsegmentation is a related lateral-movement-control objective, not an automatic result of either transformation. A useful survey must preserve those distinctions while identifying implementation dependencies, rather than substitute a product ranking for the missing architecture.</w:t>
      </w:r>
    </w:p>
    <w:p w14:paraId="49477D40" w14:textId="77777777" w:rsidR="00570780" w:rsidRDefault="00000000">
      <w:pPr>
        <w:keepLines/>
      </w:pPr>
      <w:r>
        <w:rPr>
          <w:b/>
          <w:bCs/>
        </w:rPr>
        <w:t>Unisys Stealth is a principal architectural candidate in this survey.</w:t>
      </w:r>
      <w:r>
        <w:t xml:space="preserve"> The assessment gives its cryptographic community model particular weight for preventive containment of distributed traditional applications, while treating implementation feasibility, inspection boundaries, and detection integration as separate evaluation requirements. Its dedicated section explains both the rationale and the limits; Edgewise and the incumbent host-firewall model provide distinct comparison approaches.</w:t>
      </w:r>
    </w:p>
    <w:p w14:paraId="569CDEBC" w14:textId="77777777" w:rsidR="00570780" w:rsidRDefault="00000000">
      <w:pPr>
        <w:pStyle w:val="Heading1"/>
        <w:keepLines/>
      </w:pPr>
      <w:bookmarkStart w:id="1" w:name="section_1"/>
      <w:r>
        <w:lastRenderedPageBreak/>
        <w:t>SCOPE, TERMINOLOGY, AND EVIDENCE DISCIPLINE</w:t>
      </w:r>
      <w:bookmarkEnd w:id="1"/>
    </w:p>
    <w:p w14:paraId="5B19AE02" w14:textId="77777777" w:rsidR="00570780" w:rsidRDefault="00000000">
      <w:pPr>
        <w:pStyle w:val="Heading2"/>
        <w:keepLines/>
      </w:pPr>
      <w:r>
        <w:t>What is being surveyed</w:t>
      </w:r>
    </w:p>
    <w:p w14:paraId="03356928" w14:textId="77777777" w:rsidR="00570780" w:rsidRDefault="00000000">
      <w:pPr>
        <w:keepLines/>
      </w:pPr>
      <w:r>
        <w:t>The survey covers server-initiated external egress, cross-boundary application communication, and lateral-movement containment. It compares cryptographic communities, software-identity enforcement, host-firewall approaches, infrastructure enforcement, brokered access, and platform-native controls. NAC and client ZTNA are included where they supply context or enforce an adjacent boundary; they are not treated as substitutes for workload-to-workload policy.</w:t>
      </w:r>
    </w:p>
    <w:p w14:paraId="330FE29F" w14:textId="77777777" w:rsidR="00570780" w:rsidRDefault="00000000">
      <w:pPr>
        <w:keepLines/>
      </w:pPr>
      <w:r>
        <w:t>“Egress” must be qualified by boundary. A connection leaving a workload may enter another application tier, another routing domain, a cloud service, or the internet. The same connection is egress at its source and ingress at its destination. This survey distinguishes workload-originated east-west traffic from internet-bound traffic rather than assuming all egress passes through the internet perimeter.</w:t>
      </w:r>
    </w:p>
    <w:p w14:paraId="0375C55C" w14:textId="77777777" w:rsidR="00570780" w:rsidRDefault="00000000">
      <w:pPr>
        <w:keepLines/>
      </w:pPr>
      <w:r>
        <w:t>Microsegmentation is used here to mean fine-grained enforcement of explicitly authorized communication relationships between defined security subjects. The subject might be a host, software process, application tier, service, pod, or tenant-scoped workload. A deployment is effective only to the extent that its actual policies remove unwanted paths and remain correct as identities and applications change.</w:t>
      </w:r>
    </w:p>
    <w:p w14:paraId="58210B80" w14:textId="77777777" w:rsidR="00570780" w:rsidRDefault="00000000">
      <w:pPr>
        <w:pStyle w:val="Heading2"/>
        <w:keepLines/>
      </w:pPr>
      <w:r>
        <w:t>Four evidence classes</w:t>
      </w:r>
    </w:p>
    <w:p w14:paraId="06C3065E" w14:textId="77777777" w:rsidR="00570780" w:rsidRDefault="00000000">
      <w:pPr>
        <w:pStyle w:val="ListParagraph"/>
        <w:keepLines/>
        <w:numPr>
          <w:ilvl w:val="0"/>
          <w:numId w:val="2"/>
        </w:numPr>
        <w:spacing w:after="90"/>
      </w:pPr>
      <w:r>
        <w:rPr>
          <w:b/>
          <w:bCs/>
        </w:rPr>
        <w:t>Supplied evidence:</w:t>
      </w:r>
      <w:r>
        <w:t xml:space="preserve"> The Zscaler policy export; the Skyhigh MWG configuration backups (RI cluster, 3 June 2026; Middletown cluster, 17 July 2026), the proxy-console list exports, the WCCP redirect access list and bypass groups, the Panorama running-configuration pull and decryption rulebase (31 August 2026), and the egress web-rule extract; and the addressing, retail, IoT, and application-placement samples examined in this review. These are snapshots and inventories, not an enterprise-wide runtime attestation.</w:t>
      </w:r>
    </w:p>
    <w:p w14:paraId="02D807F6" w14:textId="77777777" w:rsidR="00570780" w:rsidRDefault="00000000">
      <w:pPr>
        <w:pStyle w:val="ListParagraph"/>
        <w:keepLines/>
        <w:numPr>
          <w:ilvl w:val="0"/>
          <w:numId w:val="2"/>
        </w:numPr>
        <w:spacing w:after="90"/>
      </w:pPr>
      <w:r>
        <w:rPr>
          <w:b/>
          <w:bCs/>
        </w:rPr>
        <w:t>Engineering account:</w:t>
      </w:r>
      <w:r>
        <w:t xml:space="preserve"> Current-state and target-direction statements supplied during the review, including P1 Illumio scope, IP-anchored SOC analysis, the identified Falcon detection dependency, and concurrent transformations.</w:t>
      </w:r>
    </w:p>
    <w:p w14:paraId="34B62A9B" w14:textId="77777777" w:rsidR="00570780" w:rsidRDefault="00000000">
      <w:pPr>
        <w:pStyle w:val="ListParagraph"/>
        <w:keepLines/>
        <w:numPr>
          <w:ilvl w:val="0"/>
          <w:numId w:val="2"/>
        </w:numPr>
        <w:spacing w:after="90"/>
      </w:pPr>
      <w:r>
        <w:rPr>
          <w:b/>
          <w:bCs/>
        </w:rPr>
        <w:t>Vendor-documented capability:</w:t>
      </w:r>
      <w:r>
        <w:t xml:space="preserve"> Mechanisms described in public documentation. Citations establish what a source documents, not that the capability is licensed, configured, supported in every environment, or operational here.</w:t>
      </w:r>
    </w:p>
    <w:p w14:paraId="4B8D45AA" w14:textId="77777777" w:rsidR="00570780" w:rsidRDefault="00000000">
      <w:pPr>
        <w:pStyle w:val="ListParagraph"/>
        <w:keepLines/>
        <w:numPr>
          <w:ilvl w:val="0"/>
          <w:numId w:val="2"/>
        </w:numPr>
        <w:spacing w:after="90"/>
      </w:pPr>
      <w:r>
        <w:rPr>
          <w:b/>
          <w:bCs/>
        </w:rPr>
        <w:t>Survey assessment:</w:t>
      </w:r>
      <w:r>
        <w:t xml:space="preserve"> Interpretation of fit, risks, and recommended evaluation criteria. These are reasoned conclusions, not test results or approved implementation decisions.</w:t>
      </w:r>
    </w:p>
    <w:p>
      <w:pPr>
        <w:keepLines/>
      </w:pPr>
      <w:r>
        <w:t xml:space="preserve">Version 2.1 treated the Skyhigh and Palo Alto configuration findings as inherited and unrevalidated because their exports were not supplied to that regeneration. For this revision they were re-examined against the raw exports, and the section on proxy and firewall configuration evidence cites the rule identifiers. They are configuration snapshots: they establish configured behavior on their capture dates, not runtime traffic outcomes or current inspection rates.</w:t>
      </w:r>
    </w:p>
    <w:p w14:paraId="43B0B710" w14:textId="77777777" w:rsidR="00570780" w:rsidRDefault="00000000">
      <w:pPr>
        <w:pStyle w:val="Heading1"/>
        <w:keepLines/>
      </w:pPr>
      <w:bookmarkStart w:id="2" w:name="section_2"/>
      <w:r>
        <w:lastRenderedPageBreak/>
        <w:t>CONTROL FUNCTIONS THAT MUST NOT BE CONFLATED</w:t>
      </w:r>
      <w:bookmarkEnd w:id="2"/>
    </w:p>
    <w:p w14:paraId="6D6BAA2A" w14:textId="77777777" w:rsidR="00570780" w:rsidRDefault="00000000">
      <w:pPr>
        <w:keepNext/>
        <w:keepLines/>
      </w:pPr>
      <w:r>
        <w:t>NIST separates policy decisions and enforcement from the telemetry and continuing evaluation that inform trust; it also recognizes that encrypted traffic may be opaque to deep inspection while still exposing useful metadata (</w:t>
      </w:r>
      <w:hyperlink r:id="rId7" w:history="1">
        <w:r>
          <w:rPr>
            <w:color w:val="222222"/>
            <w:u w:val="single"/>
          </w:rPr>
          <w:t>NIST SP 800-207</w:t>
        </w:r>
      </w:hyperlink>
      <w:hyperlink w:anchor="reference_1" w:history="1">
        <w:r>
          <w:rPr>
            <w:sz w:val="18"/>
            <w:szCs w:val="18"/>
          </w:rPr>
          <w:t xml:space="preserve"> [1]</w:t>
        </w:r>
      </w:hyperlink>
      <w:r>
        <w:t>). The following framework applies that distinction to the survey.</w:t>
      </w:r>
    </w:p>
    <w:p w14:paraId="566C06CA" w14:textId="77777777" w:rsidR="00570780" w:rsidRDefault="00000000">
      <w:pPr>
        <w:keepNext/>
        <w:keepLines/>
        <w:spacing w:before="120" w:after="80"/>
        <w:jc w:val="center"/>
      </w:pPr>
      <w:r>
        <w:rPr>
          <w:i/>
          <w:iCs/>
          <w:sz w:val="20"/>
          <w:szCs w:val="20"/>
        </w:rPr>
        <w:t>Table 1. Control functions and evidence of effectiveness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5A6386AC"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094D6534" w14:textId="77777777" w:rsidR="00570780" w:rsidRDefault="00000000">
            <w:pPr>
              <w:keepNext/>
              <w:keepLines/>
              <w:spacing w:after="0" w:line="230" w:lineRule="auto"/>
              <w:jc w:val="left"/>
            </w:pPr>
            <w:r>
              <w:rPr>
                <w:b/>
                <w:bCs/>
                <w:sz w:val="19"/>
                <w:szCs w:val="19"/>
              </w:rPr>
              <w:t>Control function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79302BFE" w14:textId="77777777" w:rsidR="00570780" w:rsidRDefault="00000000">
            <w:pPr>
              <w:keepNext/>
              <w:keepLines/>
              <w:spacing w:after="0" w:line="230" w:lineRule="auto"/>
              <w:jc w:val="left"/>
            </w:pPr>
            <w:r>
              <w:rPr>
                <w:b/>
                <w:bCs/>
                <w:sz w:val="19"/>
                <w:szCs w:val="19"/>
              </w:rPr>
              <w:t>Question answered</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4814A0A4" w14:textId="77777777" w:rsidR="00570780" w:rsidRDefault="00000000">
            <w:pPr>
              <w:keepNext/>
              <w:keepLines/>
              <w:spacing w:after="0" w:line="230" w:lineRule="auto"/>
              <w:jc w:val="left"/>
            </w:pPr>
            <w:r>
              <w:rPr>
                <w:b/>
                <w:bCs/>
                <w:sz w:val="19"/>
                <w:szCs w:val="19"/>
              </w:rPr>
              <w:t>Evidence needed to claim effectiveness</w:t>
            </w:r>
          </w:p>
        </w:tc>
      </w:tr>
      <w:tr w:rsidR="00570780" w14:paraId="0FD518D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7325F2F" w14:textId="77777777" w:rsidR="00570780" w:rsidRDefault="00000000">
            <w:pPr>
              <w:keepNext/>
              <w:keepLines/>
              <w:spacing w:after="0" w:line="230" w:lineRule="auto"/>
              <w:jc w:val="left"/>
            </w:pPr>
            <w:r>
              <w:rPr>
                <w:sz w:val="19"/>
                <w:szCs w:val="19"/>
              </w:rPr>
              <w:t>Connection authorization and trust reevaluation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27A5ABA" w14:textId="77777777" w:rsidR="00570780" w:rsidRDefault="00000000">
            <w:pPr>
              <w:keepNext/>
              <w:keepLines/>
              <w:spacing w:after="0" w:line="230" w:lineRule="auto"/>
              <w:jc w:val="left"/>
            </w:pPr>
            <w:r>
              <w:rPr>
                <w:sz w:val="19"/>
                <w:szCs w:val="19"/>
              </w:rPr>
              <w:t>May this subject establish or continue this access under current conditions?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AF76471" w14:textId="77777777" w:rsidR="00570780" w:rsidRDefault="00000000">
            <w:pPr>
              <w:keepNext/>
              <w:keepLines/>
              <w:spacing w:after="0" w:line="230" w:lineRule="auto"/>
              <w:jc w:val="left"/>
            </w:pPr>
            <w:r>
              <w:rPr>
                <w:sz w:val="19"/>
                <w:szCs w:val="19"/>
              </w:rPr>
              <w:t>Authenticated identity, posture inputs, decision record, reevaluation triggers, and revocation behavior.</w:t>
            </w:r>
          </w:p>
        </w:tc>
      </w:tr>
      <w:tr w:rsidR="00570780" w14:paraId="548612C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D26EF7B" w14:textId="77777777" w:rsidR="00570780" w:rsidRDefault="00000000">
            <w:pPr>
              <w:keepNext/>
              <w:keepLines/>
              <w:spacing w:after="0" w:line="230" w:lineRule="auto"/>
              <w:jc w:val="left"/>
            </w:pPr>
            <w:r>
              <w:rPr>
                <w:sz w:val="19"/>
                <w:szCs w:val="19"/>
              </w:rPr>
              <w:t>Microsegmentation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9BE39CB" w14:textId="77777777" w:rsidR="00570780" w:rsidRDefault="00000000">
            <w:pPr>
              <w:keepNext/>
              <w:keepLines/>
              <w:spacing w:after="0" w:line="230" w:lineRule="auto"/>
              <w:jc w:val="left"/>
            </w:pPr>
            <w:r>
              <w:rPr>
                <w:sz w:val="19"/>
                <w:szCs w:val="19"/>
              </w:rPr>
              <w:t>Which lateral paths remain reachable after a participant is compromised?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1BC012D" w14:textId="77777777" w:rsidR="00570780" w:rsidRDefault="00000000">
            <w:pPr>
              <w:keepNext/>
              <w:keepLines/>
              <w:spacing w:after="0" w:line="230" w:lineRule="auto"/>
              <w:jc w:val="left"/>
            </w:pPr>
            <w:r>
              <w:rPr>
                <w:sz w:val="19"/>
                <w:szCs w:val="19"/>
              </w:rPr>
              <w:t>Enforced allow/deny relationships, negative tests, boundary coverage, and policy-change behavior.</w:t>
            </w:r>
          </w:p>
        </w:tc>
      </w:tr>
      <w:tr w:rsidR="00570780" w14:paraId="061CBA0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68B712D" w14:textId="77777777" w:rsidR="00570780" w:rsidRDefault="00000000">
            <w:pPr>
              <w:keepNext/>
              <w:keepLines/>
              <w:spacing w:after="0" w:line="230" w:lineRule="auto"/>
              <w:jc w:val="left"/>
            </w:pPr>
            <w:r>
              <w:rPr>
                <w:sz w:val="19"/>
                <w:szCs w:val="19"/>
              </w:rPr>
              <w:t>Content inspection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E81A21E" w14:textId="77777777" w:rsidR="00570780" w:rsidRDefault="00000000">
            <w:pPr>
              <w:keepNext/>
              <w:keepLines/>
              <w:spacing w:after="0" w:line="230" w:lineRule="auto"/>
              <w:jc w:val="left"/>
            </w:pPr>
            <w:r>
              <w:rPr>
                <w:sz w:val="19"/>
                <w:szCs w:val="19"/>
              </w:rPr>
              <w:t>Does inspectable traffic match a configured threat, file, or data-control condition?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E351969" w14:textId="77777777" w:rsidR="00570780" w:rsidRDefault="00000000">
            <w:pPr>
              <w:keepNext/>
              <w:keepLines/>
              <w:spacing w:after="0" w:line="230" w:lineRule="auto"/>
              <w:jc w:val="left"/>
            </w:pPr>
            <w:r>
              <w:rPr>
                <w:sz w:val="19"/>
                <w:szCs w:val="19"/>
              </w:rPr>
              <w:t>Actual inspection outcome, enabled profile and action, supported protocol, and exception accounting.</w:t>
            </w:r>
          </w:p>
        </w:tc>
      </w:tr>
      <w:tr w:rsidR="00570780" w14:paraId="5850639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71A1D3A" w14:textId="77777777" w:rsidR="00570780" w:rsidRDefault="00000000">
            <w:pPr>
              <w:keepNext/>
              <w:keepLines/>
              <w:spacing w:after="0" w:line="230" w:lineRule="auto"/>
              <w:jc w:val="left"/>
            </w:pPr>
            <w:r>
              <w:rPr>
                <w:sz w:val="19"/>
                <w:szCs w:val="19"/>
              </w:rPr>
              <w:t>Behavioral detection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FDFFCC1" w14:textId="77777777" w:rsidR="00570780" w:rsidRDefault="00000000">
            <w:pPr>
              <w:keepNext/>
              <w:keepLines/>
              <w:spacing w:after="0" w:line="230" w:lineRule="auto"/>
              <w:jc w:val="left"/>
            </w:pPr>
            <w:r>
              <w:rPr>
                <w:sz w:val="19"/>
                <w:szCs w:val="19"/>
              </w:rPr>
              <w:t>Does execution, identity use, or communication depart from an acceptable pattern?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F06B48" w14:textId="77777777" w:rsidR="00570780" w:rsidRDefault="00000000">
            <w:pPr>
              <w:keepNext/>
              <w:keepLines/>
              <w:spacing w:after="0" w:line="230" w:lineRule="auto"/>
              <w:jc w:val="left"/>
            </w:pPr>
            <w:r>
              <w:rPr>
                <w:sz w:val="19"/>
                <w:szCs w:val="19"/>
              </w:rPr>
              <w:t>A working detector, relevant telemetry, tested analytic, and actionable alert.</w:t>
            </w:r>
          </w:p>
        </w:tc>
      </w:tr>
      <w:tr w:rsidR="00570780" w14:paraId="0CE35A47"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1F09D880" w14:textId="77777777" w:rsidR="00570780" w:rsidRDefault="00000000">
            <w:pPr>
              <w:keepLines/>
              <w:spacing w:after="0" w:line="230" w:lineRule="auto"/>
              <w:jc w:val="left"/>
            </w:pPr>
            <w:r>
              <w:rPr>
                <w:sz w:val="19"/>
                <w:szCs w:val="19"/>
              </w:rPr>
              <w:t>Response and containment</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57C359E6" w14:textId="77777777" w:rsidR="00570780" w:rsidRDefault="00000000">
            <w:pPr>
              <w:keepLines/>
              <w:spacing w:after="0" w:line="230" w:lineRule="auto"/>
              <w:jc w:val="left"/>
            </w:pPr>
            <w:r>
              <w:rPr>
                <w:sz w:val="19"/>
                <w:szCs w:val="19"/>
              </w:rPr>
              <w:t>Can identified malicious activity be restricted precisely?</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7C5CBD9E" w14:textId="77777777" w:rsidR="00570780" w:rsidRDefault="00000000">
            <w:pPr>
              <w:keepLines/>
              <w:spacing w:after="0" w:line="230" w:lineRule="auto"/>
              <w:jc w:val="left"/>
            </w:pPr>
            <w:r>
              <w:rPr>
                <w:sz w:val="19"/>
                <w:szCs w:val="19"/>
              </w:rPr>
              <w:t>Correct target identity, authorized action, execution confirmation, rollback, and impact validation.</w:t>
            </w:r>
          </w:p>
        </w:tc>
      </w:tr>
    </w:tbl>
    <w:p w14:paraId="090AFD49" w14:textId="77777777" w:rsidR="00570780" w:rsidRDefault="00570780">
      <w:pPr>
        <w:spacing w:after="80" w:line="80" w:lineRule="auto"/>
      </w:pPr>
    </w:p>
    <w:p w14:paraId="05A3826F" w14:textId="77777777" w:rsidR="00570780" w:rsidRDefault="00000000">
      <w:pPr>
        <w:keepLines/>
      </w:pPr>
      <w:r>
        <w:t>This is a functional separation, not a claim that products implement only one function. A platform may combine segmentation, deception, runtime detection, or inspection. Credit each function separately and only after its scope and operation are demonstrated.</w:t>
      </w:r>
    </w:p>
    <w:p w14:paraId="6CCF968B" w14:textId="3BC9A966" w:rsidR="00570780" w:rsidRDefault="00000000">
      <w:pPr>
        <w:pStyle w:val="Heading2"/>
        <w:keepLines/>
      </w:pPr>
      <w:r>
        <w:t>Pre-connection state is not transaction assurance</w:t>
      </w:r>
    </w:p>
    <w:p w14:paraId="72CF3181" w14:textId="77777777" w:rsidR="00570780" w:rsidRDefault="00000000">
      <w:pPr>
        <w:keepLines/>
      </w:pPr>
      <w:r>
        <w:t>An approved identity, expected process, or compliant device may be a necessary condition for access without being sufficient evidence that every subsequent operation is safe. For evaluation, test both an unauthorized participant attempting a new connection and an authorized participant abusing an allowed service. Also test changes in trust after a connection already exists.</w:t>
      </w:r>
    </w:p>
    <w:p w14:paraId="11AB07FE" w14:textId="77777777" w:rsidR="00570780" w:rsidRDefault="00000000">
      <w:pPr>
        <w:keepLines/>
      </w:pPr>
      <w:r>
        <w:t xml:space="preserve">Continuous validation should be specified operationally: which signals trigger reevaluation, how old they may be, which decisions change, and what happens to established sessions. It should not be used as shorthand for universal transaction-level anomaly detection. The survey makes no assumption that a marketing claim of continuous trust includes all of those behaviors.</w:t>
      </w:r>
    </w:p>
    <w:p w14:paraId="695E64ED" w14:textId="77777777" w:rsidR="00570780" w:rsidRDefault="00000000">
      <w:pPr>
        <w:pStyle w:val="Heading2"/>
        <w:keepLines/>
      </w:pPr>
      <w:r>
        <w:t>Containment without detection, and detection without containment</w:t>
      </w:r>
    </w:p>
    <w:p w14:paraId="6552C724" w14:textId="099A045F" w:rsidR="00570780" w:rsidRDefault="00000000">
      <w:pPr>
        <w:keepLines/>
      </w:pPr>
      <w:r>
        <w:t xml:space="preserve">A restrictive policy can block an unauthorized path without first classifying the source as malicious. That is the preventive value of Microsegmentation and the reason a stronger isolation model remains relevant even where detection coverage is incomplete. Conversely, detection alone does not show that a precise, timely containment action is available.</w:t>
      </w:r>
    </w:p>
    <w:p w14:paraId="33AE9143" w14:textId="77777777" w:rsidR="00570780" w:rsidRDefault="00000000">
      <w:pPr>
        <w:keepLines/>
      </w:pPr>
      <w:r>
        <w:lastRenderedPageBreak/>
        <w:t>For the described estate, Falcon is the identified current detection anchor. Segmentation flow maps, proxy traversal, NAC classification, and NGFW placement must not be counted as additional operational detection coverage without evidence of the corresponding detectors and response workflows. The design should exploit Falcon where covered while explicitly identifying unmanaged, shared-host, container, and serverless detection requirements.</w:t>
      </w:r>
    </w:p>
    <w:p>
      <w:pPr>
        <w:keepLines/>
      </w:pPr>
      <w:r>
        <w:t xml:space="preserve">Palo Alto threat profiles are attached to most egress rules in alert mode (see the proxy and firewall configuration evidence), so the firewall estate generates threat alerts. Whether those alerts are consumed and acted on by the SOC is not established; they are therefore not counted as operational detection in this survey, and that status should be confirmed rather than assumed either way.</w:t>
      </w:r>
    </w:p>
    <w:p w14:paraId="4B07815E" w14:textId="77777777" w:rsidR="00570780" w:rsidRDefault="00000000">
      <w:pPr>
        <w:pStyle w:val="Heading1"/>
        <w:keepLines/>
      </w:pPr>
      <w:bookmarkStart w:id="3" w:name="section_3"/>
      <w:r>
        <w:t>ESTATE CONDITIONS THAT DETERMINE MODEL FIT</w:t>
      </w:r>
      <w:bookmarkEnd w:id="3"/>
    </w:p>
    <w:p w14:paraId="79FADEAB" w14:textId="77777777" w:rsidR="00570780" w:rsidRDefault="00000000">
      <w:pPr>
        <w:pStyle w:val="Heading2"/>
        <w:keepLines/>
      </w:pPr>
      <w:r>
        <w:t>Concurrent transformations, not a completed architecture</w:t>
      </w:r>
    </w:p>
    <w:p w14:paraId="283D3910" w14:textId="77777777" w:rsidR="00570780" w:rsidRDefault="00000000">
      <w:pPr>
        <w:keepLines/>
      </w:pPr>
      <w:r>
        <w:t>The engineering account describes a ZTNA direction using Zscaler on client systems with Falcon/CS signals and a re-envisioned IAM strategy. The current NAC approach is Forescout with MAB, using MDM and Claroty as the device sources of truth, in the same way that Illumio on P1 applications is the current approach for server workloads. Unlike Illumio, it is not yet operational: Forescout MAB is in development, and the Claroty integration has not yet been implemented. The ZTNA and IAM elements remain a direction, and the implementation status of their integration with NAC is not comprehensively evidenced, so the survey treats the combined end-to-end trust model as a direction rather than an established control.</w:t>
      </w:r>
    </w:p>
    <w:p w14:paraId="4FC2E6DD" w14:textId="77777777" w:rsidR="00570780" w:rsidRDefault="00000000">
      <w:pPr>
        <w:keepLines/>
      </w:pPr>
      <w:r>
        <w:t>A separate egress transformation aims to replace reliance on the web-proxy security model with inline Palo Alto NGFW enforcement. That change creates an opportunity to control server-originated traffic deliberately, but appliance placement alone is not the acceptance criterion. Coverage, application policy, inspection results, failure behavior, and operations must all be established.</w:t>
      </w:r>
    </w:p>
    <w:p w14:paraId="031F9424" w14:textId="77777777" w:rsidR="00570780" w:rsidRDefault="00000000">
      <w:pPr>
        <w:keepLines/>
      </w:pPr>
      <w:r>
        <w:t>Illumio on P1 applications provides an existing preventive foundation. Its present use is described as OS-level stateful firewall implementation; the review does not establish the granularity of each P1 policy. Neither absence of Illumio outside P1 nor the presence of broad firewall zones proves that no other preventive control exists.</w:t>
      </w:r>
    </w:p>
    <w:p>
      <w:pPr>
        <w:keepLines/>
      </w:pPr>
      <w:r>
        <w:t xml:space="preserve">For managed workstations, the admission model in development is Forescout MAB keyed to MDM as the source of truth, and workstation egress is moderated by a dynamic ACL on the Palo Alto firewalls. Zscaler is used on client workstations and for some cloud workloads. Network Security Engineering states that Zscaler provides no egress traffic inspection for server workloads or API calls, and that overlapping addresses could only be disambiguated for server workloads through a distinct Zscaler instance per routing domain; the 27 May export corroborates the first statement for the cloud groups it bypasses (see the Zscaler configuration evidence). Cisco SGT/TrustSec adoption is not planned.</w:t>
      </w:r>
    </w:p>
    <w:p w14:paraId="6D82D31C" w14:textId="77777777" w:rsidR="00570780" w:rsidRDefault="00000000">
      <w:pPr>
        <w:pStyle w:val="Heading2"/>
        <w:keepLines/>
      </w:pPr>
      <w:r>
        <w:t>Address overlap: routing correctness is not event identity</w:t>
      </w:r>
    </w:p>
    <w:p w14:paraId="4EE9D58E" w14:textId="77777777" w:rsidR="00570780" w:rsidRDefault="00000000">
      <w:pPr>
        <w:keepLines/>
      </w:pPr>
      <w:r>
        <w:t>The engineering account states that explicit routing paths handle overlapping address spaces. That addresses delivery, not necessarily attribution. A log containing only an IP address can still be ambiguous when the same address identifies different assets in different locations or routing domains.</w:t>
      </w:r>
    </w:p>
    <w:p w14:paraId="7BB28738" w14:textId="77777777" w:rsidR="00570780" w:rsidRDefault="00000000">
      <w:pPr>
        <w:keepLines/>
      </w:pPr>
      <w:r>
        <w:t>The supplied overlap dataset contains inferred, declared, authoritative, and candidate records with different evidence strength. It must not be described as a count of simultaneously active duplicate hosts. Representative records illustrate the architectural issue without overstating their confidence:</w:t>
      </w:r>
    </w:p>
    <w:p w14:paraId="0AFA58FF" w14:textId="77777777" w:rsidR="00570780" w:rsidRDefault="00000000">
      <w:pPr>
        <w:pStyle w:val="ListParagraph"/>
        <w:keepLines/>
        <w:numPr>
          <w:ilvl w:val="0"/>
          <w:numId w:val="2"/>
        </w:numPr>
        <w:spacing w:after="90"/>
      </w:pPr>
      <w:r>
        <w:rPr>
          <w:b/>
          <w:bCs/>
        </w:rPr>
        <w:t>OVERLAP-01377:</w:t>
      </w:r>
      <w:r>
        <w:t xml:space="preserve"> An Aetna Hartford </w:t>
      </w:r>
      <w:r>
        <w:rPr>
          <w:rFonts w:ascii="Consolas" w:eastAsia="Consolas" w:hAnsi="Consolas" w:cs="Consolas"/>
          <w:sz w:val="19"/>
          <w:szCs w:val="19"/>
        </w:rPr>
        <w:t>172.30.248.0/23</w:t>
      </w:r>
      <w:r>
        <w:t xml:space="preserve"> entry overlaps the </w:t>
      </w:r>
      <w:r>
        <w:rPr>
          <w:rFonts w:ascii="Consolas" w:eastAsia="Consolas" w:hAnsi="Consolas" w:cs="Consolas"/>
          <w:sz w:val="19"/>
          <w:szCs w:val="19"/>
        </w:rPr>
        <w:t>172.30.248.0/26</w:t>
      </w:r>
      <w:r>
        <w:t xml:space="preserve"> retail network for Store 02854 in Bridgewater. The record is marked both-sides-evidenced but low-confidence/inferred.</w:t>
      </w:r>
    </w:p>
    <w:p w14:paraId="4134E69C" w14:textId="77777777" w:rsidR="00570780" w:rsidRDefault="00000000">
      <w:pPr>
        <w:pStyle w:val="ListParagraph"/>
        <w:keepLines/>
        <w:numPr>
          <w:ilvl w:val="0"/>
          <w:numId w:val="2"/>
        </w:numPr>
        <w:spacing w:after="90"/>
      </w:pPr>
      <w:r>
        <w:rPr>
          <w:b/>
          <w:bCs/>
        </w:rPr>
        <w:t>OVERLAP-01157:</w:t>
      </w:r>
      <w:r>
        <w:t xml:space="preserve"> A GCP US-East4 </w:t>
      </w:r>
      <w:r>
        <w:rPr>
          <w:rFonts w:ascii="Consolas" w:eastAsia="Consolas" w:hAnsi="Consolas" w:cs="Consolas"/>
          <w:sz w:val="19"/>
          <w:szCs w:val="19"/>
        </w:rPr>
        <w:t>10.237.0.0/16</w:t>
      </w:r>
      <w:r>
        <w:t xml:space="preserve"> entry overlaps the </w:t>
      </w:r>
      <w:r>
        <w:rPr>
          <w:rFonts w:ascii="Consolas" w:eastAsia="Consolas" w:hAnsi="Consolas" w:cs="Consolas"/>
          <w:sz w:val="19"/>
          <w:szCs w:val="19"/>
        </w:rPr>
        <w:t>10.237.1.192/26</w:t>
      </w:r>
      <w:r>
        <w:t xml:space="preserve"> MinuteClinic 06060 entry. The record is low-confidence/inferred with retail-only host evidence.</w:t>
      </w:r>
    </w:p>
    <w:p w14:paraId="257FBC73" w14:textId="77777777" w:rsidR="00570780" w:rsidRDefault="00000000">
      <w:pPr>
        <w:pStyle w:val="ListParagraph"/>
        <w:keepLines/>
        <w:numPr>
          <w:ilvl w:val="0"/>
          <w:numId w:val="2"/>
        </w:numPr>
        <w:spacing w:after="90"/>
      </w:pPr>
      <w:r>
        <w:rPr>
          <w:b/>
          <w:bCs/>
        </w:rPr>
        <w:t>IoT collision example:</w:t>
      </w:r>
      <w:r>
        <w:t xml:space="preserve"> </w:t>
      </w:r>
      <w:r>
        <w:rPr>
          <w:rFonts w:ascii="Consolas" w:eastAsia="Consolas" w:hAnsi="Consolas" w:cs="Consolas"/>
          <w:sz w:val="19"/>
          <w:szCs w:val="19"/>
        </w:rPr>
        <w:t>172.16.37.25</w:t>
      </w:r>
      <w:r>
        <w:t xml:space="preserve"> is associated with a retail iLO endpoint in Richmond and a Middletown DDI device. The inventory collision is evidence that IP alone is not a safe enterprise asset key; it is not proof of concurrent observed traffic.</w:t>
      </w:r>
    </w:p>
    <w:p w14:paraId="306D5016" w14:textId="74A657B2" w:rsidR="00570780" w:rsidRDefault="00000000">
      <w:pPr>
        <w:pStyle w:val="ListParagraph"/>
        <w:keepLines/>
        <w:numPr>
          <w:ilvl w:val="0"/>
          <w:numId w:val="2"/>
        </w:numPr>
        <w:spacing w:after="90"/>
      </w:pPr>
      <w:r>
        <w:rPr>
          <w:b/>
          <w:bCs/>
        </w:rPr>
        <w:lastRenderedPageBreak/>
        <w:t>Different asset classes:</w:t>
      </w:r>
      <w:r>
        <w:t xml:space="preserve"> </w:t>
      </w:r>
      <w:r>
        <w:rPr>
          <w:rFonts w:ascii="Consolas" w:eastAsia="Consolas" w:hAnsi="Consolas" w:cs="Consolas"/>
          <w:sz w:val="19"/>
          <w:szCs w:val="19"/>
        </w:rPr>
        <w:t>172.18.48.102</w:t>
      </w:r>
      <w:r>
        <w:t xml:space="preserve"> is associated with a retail alarm panel and an Active Advice Windows server, while </w:t>
      </w:r>
      <w:r>
        <w:rPr>
          <w:rFonts w:ascii="Consolas" w:eastAsia="Consolas" w:hAnsi="Consolas" w:cs="Consolas"/>
          <w:sz w:val="19"/>
          <w:szCs w:val="19"/>
        </w:rPr>
        <w:t>172.19.104.166</w:t>
      </w:r>
      <w:r>
        <w:t xml:space="preserve"> is associated with a retail alarm panel and a Middletown firewall. Wrong enrichment could therefore change not only location but the inferred device function.</w:t>
      </w:r>
    </w:p>
    <w:p w14:paraId="6CA61A55" w14:textId="77777777" w:rsidR="00570780" w:rsidRDefault="00000000">
      <w:pPr>
        <w:keepLines/>
      </w:pPr>
      <w:r>
        <w:t>The retail NAT pattern and store inventory also distinguish address roles and include repeated address assignments. They do not supply live translation tuples or translation lifetimes. An investigator needs the relevant routing domain, NAT boundary, original and translated addresses and ports, timestamp, and stable asset identifier before treating a record as uniquely attributable.</w:t>
      </w:r>
    </w:p>
    <w:p w14:paraId="3B4D0D84" w14:textId="77777777" w:rsidR="00570780" w:rsidRDefault="00000000">
      <w:pPr>
        <w:keepLines/>
      </w:pPr>
      <w:r>
        <w:t>No product should be marked categorically immune to overlap merely because its policy language is identity-based. Test three separate properties: destination selection, local enforcement, and central telemetry correlation. Identity-based intent can remain clear while an address-only downstream export reintroduces ambiguity.</w:t>
      </w:r>
    </w:p>
    <w:p w14:paraId="160C4451" w14:textId="77777777" w:rsidR="00570780" w:rsidRDefault="00000000">
      <w:pPr>
        <w:pStyle w:val="Heading2"/>
        <w:keepLines/>
      </w:pPr>
      <w:r>
        <w:t>Applications span sites and providers</w:t>
      </w:r>
    </w:p>
    <w:p w14:paraId="6FA59637" w14:textId="77777777" w:rsidR="00570780" w:rsidRDefault="00000000">
      <w:pPr>
        <w:keepLines/>
      </w:pPr>
      <w:r>
        <w:t xml:space="preserve">The application-placement sample links application identifiers to cloud and on-premises hosts. ACIS, APM0001315, appears in Azure East US 2, Scottsdale Shea, Phoenix Cotton Center, and Middletown; the on-premises records include both </w:t>
      </w:r>
      <w:r>
        <w:rPr>
          <w:rFonts w:ascii="Consolas" w:eastAsia="Consolas" w:hAnsi="Consolas" w:cs="Consolas"/>
          <w:sz w:val="19"/>
          <w:szCs w:val="19"/>
        </w:rPr>
        <w:t>EGR_SHEAW-TC</w:t>
      </w:r>
      <w:r>
        <w:t xml:space="preserve"> and </w:t>
      </w:r>
      <w:r>
        <w:rPr>
          <w:rFonts w:ascii="Consolas" w:eastAsia="Consolas" w:hAnsi="Consolas" w:cs="Consolas"/>
          <w:sz w:val="19"/>
          <w:szCs w:val="19"/>
        </w:rPr>
        <w:t>EGR_CMEP-TI</w:t>
      </w:r>
      <w:r>
        <w:t>. Representative rows are Cloud Hosts row 23 and On-Prem Hosts rows 2, 5, and 8.</w:t>
      </w:r>
    </w:p>
    <w:p w14:paraId="3E809E10" w14:textId="77777777" w:rsidR="00570780" w:rsidRDefault="00000000">
      <w:pPr>
        <w:keepLines/>
      </w:pPr>
      <w:r>
        <w:t>ServiceNow Discovery, APM0011213, spans Azure, GCP, AWS, and multiple on-premises locations in the sample. This is also a shared-service example, requiring narrowly defined cross-application access rather than a single broad application enclave. The workbook's Notes describe host-to-location enrichment using subnet matching and explicitly distinguish direct application evidence from unconfirmed parent-subnet associations.</w:t>
      </w:r>
    </w:p>
    <w:p w14:paraId="673C9CCF" w14:textId="77777777" w:rsidR="00570780" w:rsidRDefault="00000000">
      <w:pPr>
        <w:keepLines/>
      </w:pPr>
      <w:r>
        <w:t>The sample establishes distributed application membership, not a complete flow matrix. One APM identifier does not imply all-to-all permission, and one host can be represented under multiple applications. Separate application ownership, environment, tier, service dependency, and runtime security subject.</w:t>
      </w:r>
    </w:p>
    <w:p w14:paraId="1B58989A" w14:textId="77777777" w:rsidR="00570780" w:rsidRDefault="00000000">
      <w:pPr>
        <w:keepLines/>
      </w:pPr>
      <w:r>
        <w:t>Labels therefore have value even for long-lived fixed-IP VMs. They can express an application and role boundary spanning sites, not merely accommodate address churn. Version 1.1's dismissal of label value in a static estate is withdrawn.</w:t>
      </w:r>
    </w:p>
    <w:p w14:paraId="30E318E6" w14:textId="77777777" w:rsidR="00570780" w:rsidRDefault="00000000">
      <w:pPr>
        <w:pStyle w:val="Heading2"/>
        <w:keepLines/>
      </w:pPr>
      <w:r>
        <w:lastRenderedPageBreak/>
        <w:t>Execution environments are not interchangeable</w:t>
      </w:r>
    </w:p>
    <w:p w14:paraId="133EF7F0" w14:textId="77777777" w:rsidR="00570780" w:rsidRDefault="00000000">
      <w:pPr>
        <w:keepNext/>
        <w:keepLines/>
        <w:spacing w:before="120" w:after="80"/>
        <w:jc w:val="center"/>
      </w:pPr>
      <w:r>
        <w:rPr>
          <w:i/>
          <w:iCs/>
          <w:sz w:val="20"/>
          <w:szCs w:val="20"/>
        </w:rPr>
        <w:t>Table 2. Execution environments and policy boundaries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024E982F"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71BA777E" w14:textId="77777777" w:rsidR="00570780" w:rsidRDefault="00000000">
            <w:pPr>
              <w:keepNext/>
              <w:keepLines/>
              <w:spacing w:after="0" w:line="230" w:lineRule="auto"/>
              <w:jc w:val="left"/>
            </w:pPr>
            <w:r>
              <w:rPr>
                <w:b/>
                <w:bCs/>
                <w:sz w:val="19"/>
                <w:szCs w:val="19"/>
              </w:rPr>
              <w:t>Population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19871DA7" w14:textId="77777777" w:rsidR="00570780" w:rsidRDefault="00000000">
            <w:pPr>
              <w:keepNext/>
              <w:keepLines/>
              <w:spacing w:after="0" w:line="230" w:lineRule="auto"/>
              <w:jc w:val="left"/>
            </w:pPr>
            <w:r>
              <w:rPr>
                <w:b/>
                <w:bCs/>
                <w:sz w:val="19"/>
                <w:szCs w:val="19"/>
              </w:rPr>
              <w:t>Primary policy boundary to evaluate</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6F895353" w14:textId="77777777" w:rsidR="00570780" w:rsidRDefault="00000000">
            <w:pPr>
              <w:keepNext/>
              <w:keepLines/>
              <w:spacing w:after="0" w:line="230" w:lineRule="auto"/>
              <w:jc w:val="left"/>
            </w:pPr>
            <w:r>
              <w:rPr>
                <w:b/>
                <w:bCs/>
                <w:sz w:val="19"/>
                <w:szCs w:val="19"/>
              </w:rPr>
              <w:t>Principal survey implication</w:t>
            </w:r>
          </w:p>
        </w:tc>
      </w:tr>
      <w:tr w:rsidR="00570780" w14:paraId="1537D6C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C30EE76" w14:textId="77777777" w:rsidR="00570780" w:rsidRDefault="00000000">
            <w:pPr>
              <w:keepNext/>
              <w:keepLines/>
              <w:spacing w:after="0" w:line="230" w:lineRule="auto"/>
              <w:jc w:val="left"/>
            </w:pPr>
            <w:r>
              <w:rPr>
                <w:sz w:val="19"/>
                <w:szCs w:val="19"/>
              </w:rPr>
              <w:t>Traditional tiered applications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C38DEDE" w14:textId="77777777" w:rsidR="00570780" w:rsidRDefault="00000000">
            <w:pPr>
              <w:keepNext/>
              <w:keepLines/>
              <w:spacing w:after="0" w:line="230" w:lineRule="auto"/>
              <w:jc w:val="left"/>
            </w:pPr>
            <w:r>
              <w:rPr>
                <w:sz w:val="19"/>
                <w:szCs w:val="19"/>
              </w:rPr>
              <w:t>Host/workload, application, environment, tier, and shared dependency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CCAA564" w14:textId="29F2019A" w:rsidR="00570780" w:rsidRDefault="00000000">
            <w:pPr>
              <w:keepNext/>
              <w:keepLines/>
              <w:spacing w:after="0" w:line="230" w:lineRule="auto"/>
              <w:jc w:val="left"/>
            </w:pPr>
            <w:r>
              <w:rPr>
                <w:sz w:val="19"/>
                <w:szCs w:val="19"/>
              </w:rPr>
              <w:t xml:space="preserve">Primary comparison space for standalone server Microsegmentation models.</w:t>
            </w:r>
          </w:p>
        </w:tc>
      </w:tr>
      <w:tr w:rsidR="00570780" w14:paraId="498F328E"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A367365" w14:textId="77777777" w:rsidR="00570780" w:rsidRDefault="00000000">
            <w:pPr>
              <w:keepNext/>
              <w:keepLines/>
              <w:spacing w:after="0" w:line="230" w:lineRule="auto"/>
              <w:jc w:val="left"/>
            </w:pPr>
            <w:r>
              <w:rPr>
                <w:sz w:val="19"/>
                <w:szCs w:val="19"/>
              </w:rPr>
              <w:t>Citrix</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5F5B5E5" w14:textId="77777777" w:rsidR="00570780" w:rsidRDefault="00000000">
            <w:pPr>
              <w:keepNext/>
              <w:keepLines/>
              <w:spacing w:after="0" w:line="230" w:lineRule="auto"/>
              <w:jc w:val="left"/>
            </w:pPr>
            <w:r>
              <w:rPr>
                <w:sz w:val="19"/>
                <w:szCs w:val="19"/>
              </w:rPr>
              <w:t>Hosting machine plus published application, user/session, and backend entitlement where required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4FE19E" w14:textId="77777777" w:rsidR="00570780" w:rsidRDefault="00000000">
            <w:pPr>
              <w:keepNext/>
              <w:keepLines/>
              <w:spacing w:after="0" w:line="230" w:lineRule="auto"/>
              <w:jc w:val="left"/>
            </w:pPr>
            <w:r>
              <w:rPr>
                <w:sz w:val="19"/>
                <w:szCs w:val="19"/>
              </w:rPr>
              <w:t>A machine-level allowance may be broader than the intended user or application boundary; test attribution and enforcement granularity.</w:t>
            </w:r>
          </w:p>
        </w:tc>
      </w:tr>
      <w:tr w:rsidR="00570780" w14:paraId="1499046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593485B" w14:textId="77777777" w:rsidR="00570780" w:rsidRDefault="00000000">
            <w:pPr>
              <w:keepNext/>
              <w:keepLines/>
              <w:spacing w:after="0" w:line="230" w:lineRule="auto"/>
              <w:jc w:val="left"/>
            </w:pPr>
            <w:r>
              <w:rPr>
                <w:sz w:val="19"/>
                <w:szCs w:val="19"/>
              </w:rPr>
              <w:t>Containers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E4B8B92" w14:textId="77777777" w:rsidR="00570780" w:rsidRDefault="00000000">
            <w:pPr>
              <w:keepNext/>
              <w:keepLines/>
              <w:spacing w:after="0" w:line="230" w:lineRule="auto"/>
              <w:jc w:val="left"/>
            </w:pPr>
            <w:r>
              <w:rPr>
                <w:sz w:val="19"/>
                <w:szCs w:val="19"/>
              </w:rPr>
              <w:t>Workload/service identity, namespace, labels, and deployment context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33648F0" w14:textId="77777777" w:rsidR="00570780" w:rsidRDefault="00000000">
            <w:pPr>
              <w:keepNext/>
              <w:keepLines/>
              <w:spacing w:after="0" w:line="230" w:lineRule="auto"/>
              <w:jc w:val="left"/>
            </w:pPr>
            <w:r>
              <w:rPr>
                <w:sz w:val="19"/>
                <w:szCs w:val="19"/>
              </w:rPr>
              <w:t>Start with delivery-platform policy and its enforcement implementation, not an automatic requirement for a separate VM-style agent.</w:t>
            </w:r>
          </w:p>
        </w:tc>
      </w:tr>
      <w:tr w:rsidR="00570780" w14:paraId="39494E80"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D4B3F8F" w14:textId="77777777" w:rsidR="00570780" w:rsidRDefault="00000000">
            <w:pPr>
              <w:keepNext/>
              <w:keepLines/>
              <w:spacing w:after="0" w:line="230" w:lineRule="auto"/>
              <w:jc w:val="left"/>
            </w:pPr>
            <w:r>
              <w:rPr>
                <w:sz w:val="19"/>
                <w:szCs w:val="19"/>
              </w:rPr>
              <w:t>Multi-tenant Envoy/Kubernetes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AD21DC0" w14:textId="77777777" w:rsidR="00570780" w:rsidRDefault="00000000">
            <w:pPr>
              <w:keepNext/>
              <w:keepLines/>
              <w:spacing w:after="0" w:line="230" w:lineRule="auto"/>
              <w:jc w:val="left"/>
            </w:pPr>
            <w:r>
              <w:rPr>
                <w:sz w:val="19"/>
                <w:szCs w:val="19"/>
              </w:rPr>
              <w:t>Workload identity plus tenant and authenticated request context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9CC2F8F" w14:textId="77777777" w:rsidR="00570780" w:rsidRDefault="00000000">
            <w:pPr>
              <w:keepNext/>
              <w:keepLines/>
              <w:spacing w:after="0" w:line="230" w:lineRule="auto"/>
              <w:jc w:val="left"/>
            </w:pPr>
            <w:r>
              <w:rPr>
                <w:sz w:val="19"/>
                <w:szCs w:val="19"/>
              </w:rPr>
              <w:t>Proxy identity alone must not substitute for the original caller or tenant; test shared-proxy and alternate-path behavior.</w:t>
            </w:r>
          </w:p>
        </w:tc>
      </w:tr>
      <w:tr w:rsidR="00570780" w14:paraId="57F4BB1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C555E43" w14:textId="77777777" w:rsidR="00570780" w:rsidRDefault="00000000">
            <w:pPr>
              <w:keepNext/>
              <w:keepLines/>
              <w:spacing w:after="0" w:line="230" w:lineRule="auto"/>
              <w:jc w:val="left"/>
            </w:pPr>
            <w:r>
              <w:rPr>
                <w:sz w:val="19"/>
                <w:szCs w:val="19"/>
              </w:rPr>
              <w:t>Serverless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20E2169" w14:textId="77777777" w:rsidR="00570780" w:rsidRDefault="00000000">
            <w:pPr>
              <w:keepNext/>
              <w:keepLines/>
              <w:spacing w:after="0" w:line="230" w:lineRule="auto"/>
              <w:jc w:val="left"/>
            </w:pPr>
            <w:r>
              <w:rPr>
                <w:sz w:val="19"/>
                <w:szCs w:val="19"/>
              </w:rPr>
              <w:t>Function/service identity, resource permissions, invocation authority, and applicable network egress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324704A" w14:textId="77777777" w:rsidR="00570780" w:rsidRDefault="00000000">
            <w:pPr>
              <w:keepNext/>
              <w:keepLines/>
              <w:spacing w:after="0" w:line="230" w:lineRule="auto"/>
              <w:jc w:val="left"/>
            </w:pPr>
            <w:r>
              <w:rPr>
                <w:sz w:val="19"/>
                <w:szCs w:val="19"/>
              </w:rPr>
              <w:t>Evaluate managed-platform boundaries and telemetry rather than assume a conventional host agent can be installed.</w:t>
            </w:r>
          </w:p>
        </w:tc>
      </w:tr>
      <w:tr w:rsidR="00570780" w14:paraId="390244DF"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62BA945B" w14:textId="77777777" w:rsidR="00570780" w:rsidRDefault="00000000">
            <w:pPr>
              <w:keepLines/>
              <w:spacing w:after="0" w:line="230" w:lineRule="auto"/>
              <w:jc w:val="left"/>
            </w:pPr>
            <w:r>
              <w:rPr>
                <w:sz w:val="19"/>
                <w:szCs w:val="19"/>
              </w:rPr>
              <w:t>IoT/OT and agent-incapable devices</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ADA64F1" w14:textId="77777777" w:rsidR="00570780" w:rsidRDefault="00000000">
            <w:pPr>
              <w:keepLines/>
              <w:spacing w:after="0" w:line="230" w:lineRule="auto"/>
              <w:jc w:val="left"/>
            </w:pPr>
            <w:r>
              <w:rPr>
                <w:sz w:val="19"/>
                <w:szCs w:val="19"/>
              </w:rPr>
              <w:t>Device, attachment context, permitted service, and enforcement domain</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175F2B06" w14:textId="77777777" w:rsidR="00570780" w:rsidRDefault="00000000">
            <w:pPr>
              <w:keepLines/>
              <w:spacing w:after="0" w:line="230" w:lineRule="auto"/>
              <w:jc w:val="left"/>
            </w:pPr>
            <w:r>
              <w:rPr>
                <w:sz w:val="19"/>
                <w:szCs w:val="19"/>
              </w:rPr>
              <w:t>Use adjacent network enforcement with explicit identity/context preservation.</w:t>
            </w:r>
          </w:p>
        </w:tc>
      </w:tr>
    </w:tbl>
    <w:p w14:paraId="2718E1A0" w14:textId="77777777" w:rsidR="00570780" w:rsidRDefault="00570780">
      <w:pPr>
        <w:spacing w:after="80" w:line="80" w:lineRule="auto"/>
      </w:pPr>
    </w:p>
    <w:p w14:paraId="00947CF6" w14:textId="77777777" w:rsidR="00570780" w:rsidRDefault="00000000">
      <w:pPr>
        <w:pStyle w:val="Heading1"/>
        <w:keepLines/>
      </w:pPr>
      <w:bookmarkStart w:id="4" w:name="section_4"/>
      <w:r>
        <w:t>SERVER-SIDE EGRESS SECURITY</w:t>
      </w:r>
      <w:bookmarkEnd w:id="4"/>
    </w:p>
    <w:p w14:paraId="5B8AA7EE" w14:textId="77777777" w:rsidR="00570780" w:rsidRDefault="00000000">
      <w:pPr>
        <w:pStyle w:val="Heading2"/>
        <w:keepLines/>
      </w:pPr>
      <w:r>
        <w:t>The design problem</w:t>
      </w:r>
    </w:p>
    <w:p w14:paraId="71594900" w14:textId="22099684" w:rsidR="00570780" w:rsidRDefault="00000000">
      <w:pPr>
        <w:keepLines/>
      </w:pPr>
      <w:r>
        <w:t xml:space="preserve">The stated use case includes broad cloud application egress through round-robin load-balanced proxies using a general client-based proxy approach. The load distribution mechanism is not itself a threat control. The survey must evaluate which applications use the proxy, how nonparticipating traffic is constrained, and whether approved transactions receive the expected inspection.</w:t>
      </w:r>
    </w:p>
    <w:p w14:paraId="09526DC1" w14:textId="77777777" w:rsidR="00570780" w:rsidRDefault="00000000">
      <w:pPr>
        <w:keepLines/>
      </w:pPr>
      <w:r>
        <w:t>A workload egress policy should identify the initiating application and role, allowed destination service, transport, inspection requirement, data sensitivity, and exception owner. It should distinguish a workload reaching an approved API from any process on a permitted subnet reaching arbitrary web destinations. Dependency discovery is useful evidence, but observed traffic is not automatically authorized traffic.</w:t>
      </w:r>
    </w:p>
    <w:p w14:paraId="3A493631" w14:textId="77777777" w:rsidR="00570780" w:rsidRDefault="00000000">
      <w:pPr>
        <w:pStyle w:val="Heading2"/>
        <w:keepLines/>
      </w:pPr>
      <w:r>
        <w:t>Zscaler configuration evidence</w:t>
      </w:r>
    </w:p>
    <w:p w14:paraId="25B0CEAB" w14:textId="77777777" w:rsidR="00570780" w:rsidRDefault="00000000">
      <w:pPr>
        <w:keepLines/>
      </w:pPr>
      <w:r>
        <w:t>The supplied Zscaler export is dated 27 May 2026 and contains 187 pages. It is direct evidence of that snapshot, not proof of the running configuration on 26 September. The key findings are:</w:t>
      </w:r>
    </w:p>
    <w:p w14:paraId="0AF539EF" w14:textId="77777777" w:rsidR="00570780" w:rsidRDefault="00000000">
      <w:pPr>
        <w:pStyle w:val="ListParagraph"/>
        <w:keepLines/>
        <w:numPr>
          <w:ilvl w:val="0"/>
          <w:numId w:val="2"/>
        </w:numPr>
        <w:spacing w:after="90"/>
      </w:pPr>
      <w:r>
        <w:rPr>
          <w:b/>
          <w:bCs/>
        </w:rPr>
        <w:t>Early cloud decryption bypasses:</w:t>
      </w:r>
      <w:r>
        <w:t xml:space="preserve"> SSL/TLS rules 2, 6, 7, and 9 select GCP, AWS, and Azure cloud groups or locations and specify “Do Not Inspect / Evaluate Other Policies” (pages 122–123). Matching cloud traffic cannot be credited with decrypted payload inspection merely because other security policies continue to be evaluated.</w:t>
      </w:r>
    </w:p>
    <w:p w14:paraId="7CBC480F" w14:textId="77777777" w:rsidR="00570780" w:rsidRDefault="00000000">
      <w:pPr>
        <w:pStyle w:val="ListParagraph"/>
        <w:keepLines/>
        <w:numPr>
          <w:ilvl w:val="0"/>
          <w:numId w:val="2"/>
        </w:numPr>
        <w:spacing w:after="90"/>
      </w:pPr>
      <w:r>
        <w:rPr>
          <w:b/>
          <w:bCs/>
        </w:rPr>
        <w:lastRenderedPageBreak/>
        <w:t>Trust-store exception:</w:t>
      </w:r>
      <w:r>
        <w:t xml:space="preserve"> Rule 1 specifies “Do Not Inspect” and allows untrusted server certificates for a scoped custom URL category and cloud groups (page 121). Its description identifies an interim root-CA workaround. This is a scoped exception, not a tenant-wide certificate posture.</w:t>
      </w:r>
    </w:p>
    <w:p w14:paraId="5E25572A" w14:textId="64E015FA" w:rsidR="00570780" w:rsidRDefault="00000000">
      <w:pPr>
        <w:pStyle w:val="ListParagraph"/>
        <w:keepLines/>
        <w:numPr>
          <w:ilvl w:val="0"/>
          <w:numId w:val="2"/>
        </w:numPr>
        <w:spacing w:after="90"/>
      </w:pPr>
      <w:r>
        <w:rPr>
          <w:b/>
          <w:bCs/>
        </w:rPr>
        <w:t>Catch-all inspection exists:</w:t>
      </w:r>
      <w:r>
        <w:t xml:space="preserve"> Rule 38, “Inspect ALL,” selects Any and specifies Inspect (page 130). Its existence does not erase earlier matching bypasses. Conversely, the later default “Do Not Inspect” rule does not justify describing the entire tenant as uninspected.</w:t>
      </w:r>
    </w:p>
    <w:p w14:paraId="598DDFDD" w14:textId="77777777" w:rsidR="00570780" w:rsidRDefault="00000000">
      <w:pPr>
        <w:pStyle w:val="ListParagraph"/>
        <w:keepLines/>
        <w:numPr>
          <w:ilvl w:val="0"/>
          <w:numId w:val="2"/>
        </w:numPr>
        <w:spacing w:after="90"/>
      </w:pPr>
      <w:r>
        <w:rPr>
          <w:b/>
          <w:bCs/>
        </w:rPr>
        <w:t>Undecryptable traffic is not uniformly blocked:</w:t>
      </w:r>
      <w:r>
        <w:t xml:space="preserve"> Rule 38 has “Block Undecryptable Traffic” disabled. The listed minimum client and server TLS version is 1.2, which is a protocol floor, not evidence that matching transactions were decrypted.</w:t>
      </w:r>
    </w:p>
    <w:p w14:paraId="32D219EC" w14:textId="77777777" w:rsidR="00570780" w:rsidRDefault="00000000">
      <w:pPr>
        <w:pStyle w:val="ListParagraph"/>
        <w:keepLines/>
        <w:numPr>
          <w:ilvl w:val="0"/>
          <w:numId w:val="2"/>
        </w:numPr>
        <w:spacing w:after="90"/>
      </w:pPr>
      <w:r>
        <w:rPr>
          <w:b/>
          <w:bCs/>
        </w:rPr>
        <w:t>Configured security functions are not absent:</w:t>
      </w:r>
      <w:r>
        <w:t xml:space="preserve"> The export includes malware, C2, and IPS blocking settings. Their presence must be distinguished from whether a particular flow reaches the relevant function and presents inspectable content.</w:t>
      </w:r>
    </w:p>
    <w:p w14:paraId="41393725" w14:textId="77777777" w:rsidR="00570780" w:rsidRDefault="00000000">
      <w:pPr>
        <w:keepLines/>
      </w:pPr>
      <w:r>
        <w:t>The supplied domain blocklist is evidence of a destination-control input. It does not establish transaction-level inspection, application authorization, or detection of malicious behavior toward an otherwise allowed destination. Domain and reputation controls remain useful, but their outcome must be named accurately.</w:t>
      </w:r>
    </w:p>
    <w:p w14:paraId="4B055A10" w14:textId="77777777" w:rsidR="00570780" w:rsidRDefault="00000000">
      <w:pPr>
        <w:keepLines/>
      </w:pPr>
      <w:r>
        <w:t>The conclusion is configuration-specific: the snapshot shows material cloud decryption exclusions and failure-mode questions. It does not establish that Zscaler products cannot inspect server-originated HTTPS or API traffic. Product families, supported traffic modes, configured policy, and actual inspection outcomes must be assessed separately.</w:t>
      </w:r>
    </w:p>
    <w:p>
      <w:pPr>
        <w:pStyle w:val="Heading2"/>
        <w:keepNext/>
        <w:keepLines/>
      </w:pPr>
      <w:r>
        <w:t xml:space="preserve">Proxy and firewall configuration evidence</w:t>
      </w:r>
    </w:p>
    <w:p>
      <w:pPr>
        <w:keepLines/>
      </w:pPr>
      <w:r>
        <w:t xml:space="preserve">The web-proxy estate is widely treated as the enterprise’s web inspection layer. Its configuration shows a narrower control. The findings below come from the Skyhigh MWG backups (CVS RI cluster, 3 June 2026; Aetna Middletown cluster, 17 July 2026; Shea runs the RI policy and Windsor the Middletown policy), the Panorama running-configuration pull of 31 August 2026, and the egress web-rule extract. Numbers in parentheses are rule identifiers.</w:t>
      </w:r>
    </w:p>
    <w:p>
      <w:pPr>
        <w:pStyle w:val="ListParagraph"/>
        <w:keepLines/>
        <w:numPr>
          <w:ilvl w:val="0"/>
          <w:numId w:val="2"/>
        </w:numPr>
        <w:spacing w:after="90"/>
      </w:pPr>
      <w:r>
        <w:rPr>
          <w:b/>
          <w:bCs/>
        </w:rPr>
        <w:t xml:space="preserve">Decryption follows static lists; the default is not to decrypt.</w:t>
      </w:r>
      <w:r>
        <w:t xml:space="preserve"> CVS decrypts only connections matching an opt-in list; everything else passes through encrypted (rule 4836). Aetna decrypts a fixed set: 9 inspect categories, 2 monitor categories, 50 blocked categories, uncategorized URLs, and three domain lists including the 654-domain ProdSSLinspect list; every other categorized destination passes through encrypted (rules 2434, 2494). The CVS opt-in lists are downloaded at runtime and were not available, so CVS decryption scope cannot be shown from the configuration.</w:t>
      </w:r>
    </w:p>
    <w:p>
      <w:pPr>
        <w:pStyle w:val="ListParagraph"/>
        <w:keepLines/>
        <w:numPr>
          <w:ilvl w:val="0"/>
          <w:numId w:val="2"/>
        </w:numPr>
        <w:spacing w:after="90"/>
      </w:pPr>
      <w:r>
        <w:rPr>
          <w:b/>
          <w:bCs/>
        </w:rPr>
        <w:t xml:space="preserve">Content controls run only on decrypted traffic.</w:t>
      </w:r>
      <w:r>
        <w:t xml:space="preserve"> Anti-malware, executable and archive blocking, DLP and tenant-restriction header insertion cannot see inside a connection passed through encrypted.</w:t>
      </w:r>
    </w:p>
    <w:p>
      <w:pPr>
        <w:pStyle w:val="ListParagraph"/>
        <w:keepLines/>
        <w:numPr>
          <w:ilvl w:val="0"/>
          <w:numId w:val="2"/>
        </w:numPr>
        <w:spacing w:after="90"/>
      </w:pPr>
      <w:r>
        <w:rPr>
          <w:b/>
          <w:bCs/>
        </w:rPr>
        <w:t xml:space="preserve">Controls that exist but do not enforce.</w:t>
      </w:r>
      <w:r>
        <w:t xml:space="preserve"> CVS certificate blocking is disabled and the active group only logs (groups 4637, 2651). ICAP DLP and response-cycle DLP are disabled on both estates. Aetna DLP blocks only toward approved cloud storage, a 331-domain block list and external SharePoint (3111, 3120, 3136, 3152), and only logs member, GEMS and dependent identifiers (3320, 3332).</w:t>
      </w:r>
    </w:p>
    <w:p>
      <w:pPr>
        <w:pStyle w:val="ListParagraph"/>
        <w:keepLines/>
        <w:numPr>
          <w:ilvl w:val="0"/>
          <w:numId w:val="2"/>
        </w:numPr>
        <w:spacing w:after="90"/>
      </w:pPr>
      <w:r>
        <w:rPr>
          <w:b/>
          <w:bCs/>
        </w:rPr>
        <w:t xml:space="preserve">Coverage depends on steering.</w:t>
      </w:r>
      <w:r>
        <w:t xml:space="preserve"> CVS relies on WCCP redirection, with 71 deny lines ahead of the catch-all permit in wccp_95 and 59 bypass groups holding 1,288 members. Aetna relies on clients honoring the PAC file. Explicit no-authentication paths include all of port 8080 (628) and source lists whose rule note reads “many Azure servers use internal explicit proxy without authentication” (898).</w:t>
      </w:r>
    </w:p>
    <w:p>
      <w:pPr>
        <w:pStyle w:val="ListParagraph"/>
        <w:keepLines/>
        <w:numPr>
          <w:ilvl w:val="0"/>
          <w:numId w:val="2"/>
        </w:numPr>
        <w:spacing w:after="90"/>
      </w:pPr>
      <w:r>
        <w:rPr>
          <w:b/>
          <w:bCs/>
        </w:rPr>
        <w:t xml:space="preserve">The firewall does not fill the gap.</w:t>
      </w:r>
      <w:r>
        <w:t xml:space="preserve"> At RI and Shea, 2 of 16 decryption rules decrypt (Claude and a final denied-categories rule); online storage, web mail, messaging, social networking, streaming, shareware and remote access have explicit no-decrypt rules above that final rule. 98.9% of AZ/RI/LV/Retail profile-group references resolve to Alert-All-SPG, which alerts rather than blocks and carries no DLP profile; at Aetna about 90% use hcb_DMZ or hcb_GLR, which carry no URL-filtering, file-blocking or data-filtering profile.</w:t>
      </w:r>
    </w:p>
    <w:p>
      <w:pPr>
        <w:pStyle w:val="ListParagraph"/>
        <w:keepLines/>
        <w:numPr>
          <w:ilvl w:val="0"/>
          <w:numId w:val="2"/>
        </w:numPr>
        <w:spacing w:after="90"/>
      </w:pPr>
      <w:r>
        <w:rPr>
          <w:b/>
          <w:bCs/>
        </w:rPr>
        <w:t xml:space="preserve">Server egress has no application identity at the firewall.</w:t>
      </w:r>
      <w:r>
        <w:t xml:space="preserve"> All 466 rules permitting egress on web ports across both estates specify application any, and 91 permit any destination. The extract omits the URL-category field, and most of Aetna’s 74 destination-any rules are named *_URL, so they may be constrained by custom URL categories; that must be checked before describing them as allow-to-anywhere.</w:t>
      </w:r>
    </w:p>
    <w:p>
      <w:pPr>
        <w:keepLines/>
      </w:pPr>
      <w:r>
        <w:t xml:space="preserve">What the proxy does enforce is real: URL category, reputation, TLD and deny-list blocking on every connection it receives, file and executable blocking on plain and decrypted traffic, certificate blocking on Aetna, and DLP block rules within their scope. The conclusion is that the proxy is a destination-filtering control with narrow, list-selected content inspection, and that server and API traffic that bypasses it leaves with neither content inspection nor application identity. Replacing it one-for-one on Palo Alto would carry both gaps forward.</w:t>
      </w:r>
    </w:p>
    <w:p w14:paraId="275CE690" w14:textId="77777777" w:rsidR="00570780" w:rsidRDefault="00000000">
      <w:pPr>
        <w:pStyle w:val="Heading2"/>
        <w:keepLines/>
      </w:pPr>
      <w:r>
        <w:t>Inline Palo Alto as the egress direction</w:t>
      </w:r>
    </w:p>
    <w:p w14:paraId="3205F87B" w14:textId="77777777" w:rsidR="00570780" w:rsidRDefault="00000000">
      <w:pPr>
        <w:keepLines/>
      </w:pPr>
      <w:r>
        <w:t>The engineering direction is Palo Alto inline NGFW enforcement for egress. The appropriate comparison is not “proxy versus firewall” in the abstract; it is whether the chosen path enforces application-appropriate restrictions and performs the intended inspection. PAN-OS documents outbound SSL Forward Proxy controls for certificate validation, supported protocols/ciphers, resource failures, and exceptions, including limitations for pinned certificates and client-authenticated sessions (</w:t>
      </w:r>
      <w:hyperlink r:id="rId8" w:history="1">
        <w:r>
          <w:rPr>
            <w:color w:val="222222"/>
            <w:u w:val="single"/>
          </w:rPr>
          <w:t>Palo Alto decryption profiles</w:t>
        </w:r>
      </w:hyperlink>
      <w:hyperlink w:anchor="reference_2" w:history="1">
        <w:r>
          <w:rPr>
            <w:sz w:val="18"/>
            <w:szCs w:val="18"/>
          </w:rPr>
          <w:t xml:space="preserve"> [2]</w:t>
        </w:r>
      </w:hyperlink>
      <w:r>
        <w:t>).</w:t>
      </w:r>
    </w:p>
    <w:p w14:paraId="2A1A5C2E" w14:textId="77777777" w:rsidR="00570780" w:rsidRDefault="00000000">
      <w:pPr>
        <w:keepLines/>
      </w:pPr>
      <w:r>
        <w:t>Recommended acceptance conditions are:</w:t>
      </w:r>
    </w:p>
    <w:p w14:paraId="504F0DDA" w14:textId="77777777" w:rsidR="00570780" w:rsidRDefault="00000000">
      <w:pPr>
        <w:pStyle w:val="ListParagraph"/>
        <w:keepLines/>
        <w:numPr>
          <w:ilvl w:val="0"/>
          <w:numId w:val="2"/>
        </w:numPr>
        <w:spacing w:after="90"/>
      </w:pPr>
      <w:r>
        <w:rPr>
          <w:b/>
          <w:bCs/>
        </w:rPr>
        <w:t>Mandatory path:</w:t>
      </w:r>
      <w:r>
        <w:t xml:space="preserve"> Demonstrate control over direct internet access, alternate interfaces, IPv6, cloud-native egress, proxy avoidance, and emergency/failover routes that exist in the evaluated environment.</w:t>
      </w:r>
    </w:p>
    <w:p w14:paraId="03D3466E" w14:textId="77777777" w:rsidR="00570780" w:rsidRDefault="00000000">
      <w:pPr>
        <w:pStyle w:val="ListParagraph"/>
        <w:keepLines/>
        <w:numPr>
          <w:ilvl w:val="0"/>
          <w:numId w:val="2"/>
        </w:numPr>
        <w:spacing w:after="90"/>
      </w:pPr>
      <w:r>
        <w:rPr>
          <w:b/>
          <w:bCs/>
        </w:rPr>
        <w:t>Application-specific policy:</w:t>
      </w:r>
      <w:r>
        <w:t xml:space="preserve"> Scope source workload groups, destination services, and allowed protocols; apply appropriate security profiles with deliberate block, alert, or exception actions. Do not equate a business application identifier with a protocol classifier.</w:t>
      </w:r>
    </w:p>
    <w:p w14:paraId="5B41A275" w14:textId="77777777" w:rsidR="00570780" w:rsidRDefault="00000000">
      <w:pPr>
        <w:pStyle w:val="ListParagraph"/>
        <w:keepLines/>
        <w:numPr>
          <w:ilvl w:val="0"/>
          <w:numId w:val="2"/>
        </w:numPr>
        <w:spacing w:after="90"/>
      </w:pPr>
      <w:r>
        <w:rPr>
          <w:b/>
          <w:bCs/>
        </w:rPr>
        <w:t>Inspection evidence:</w:t>
      </w:r>
      <w:r>
        <w:t xml:space="preserve"> Record whether a transaction was decrypted, which inspection profiles applied, and whether the configured action executed. A permitted-session log alone is insufficient.</w:t>
      </w:r>
    </w:p>
    <w:p w14:paraId="00023AB3" w14:textId="77777777" w:rsidR="00570780" w:rsidRDefault="00000000">
      <w:pPr>
        <w:pStyle w:val="ListParagraph"/>
        <w:keepLines/>
        <w:numPr>
          <w:ilvl w:val="0"/>
          <w:numId w:val="2"/>
        </w:numPr>
        <w:spacing w:after="90"/>
      </w:pPr>
      <w:r>
        <w:rPr>
          <w:b/>
          <w:bCs/>
        </w:rPr>
        <w:lastRenderedPageBreak/>
        <w:t>Exception governance:</w:t>
      </w:r>
      <w:r>
        <w:t xml:space="preserve"> Treat technical incompatibility, privacy restrictions, and business continuity as different reasons for exclusion, with owners, scope, compensating measures, and review dates.</w:t>
      </w:r>
    </w:p>
    <w:p w14:paraId="7092907C" w14:textId="77777777" w:rsidR="00570780" w:rsidRDefault="00000000">
      <w:pPr>
        <w:pStyle w:val="ListParagraph"/>
        <w:keepLines/>
        <w:numPr>
          <w:ilvl w:val="0"/>
          <w:numId w:val="2"/>
        </w:numPr>
        <w:spacing w:after="90"/>
      </w:pPr>
      <w:r>
        <w:rPr>
          <w:b/>
          <w:bCs/>
        </w:rPr>
        <w:t>Attribution:</w:t>
      </w:r>
      <w:r>
        <w:t xml:space="preserve"> Preserve original workload and routing context across proxies, gateways, and NAT. Correlate application and firewall records without using a shared source address as the sole identity.</w:t>
      </w:r>
    </w:p>
    <w:p w14:paraId="41BDCC60" w14:textId="77777777" w:rsidR="00570780" w:rsidRDefault="00000000">
      <w:pPr>
        <w:keepLines/>
      </w:pPr>
      <w:r>
        <w:t>The survey recommends this as an evaluation and policy-design direction, not an unqualified assertion that every server flow should be intercepted. Application identity, certificate handling, performance, and availability must remain part of the decision.</w:t>
      </w:r>
    </w:p>
    <w:p w14:paraId="295652B9" w14:textId="77777777" w:rsidR="00570780" w:rsidRDefault="00000000">
      <w:pPr>
        <w:pStyle w:val="Heading2"/>
        <w:keepLines/>
      </w:pPr>
      <w:r>
        <w:t>TLS and inspectability policy</w:t>
      </w:r>
    </w:p>
    <w:p w14:paraId="6FB0407F" w14:textId="77777777" w:rsidR="00570780" w:rsidRDefault="00000000">
      <w:pPr>
        <w:keepLines/>
      </w:pPr>
      <w:r>
        <w:t>Use TLS terminology rather than “SSL versions” when defining the target policy. “Inspectable” means supported in the actual interception mode and release with the required trust relationship, not simply “TLS 1.2 or older.” PAN-OS documents TLS 1.3 handling as well as controls for unsupported versions, ciphers, and resource-related downgrade behavior (</w:t>
      </w:r>
      <w:hyperlink r:id="rId9" w:history="1">
        <w:r>
          <w:rPr>
            <w:color w:val="222222"/>
            <w:u w:val="single"/>
          </w:rPr>
          <w:t>Palo Alto decryption profiles</w:t>
        </w:r>
      </w:hyperlink>
      <w:hyperlink w:anchor="reference_2" w:history="1">
        <w:r>
          <w:rPr>
            <w:sz w:val="18"/>
            <w:szCs w:val="18"/>
          </w:rPr>
          <w:t xml:space="preserve"> [2]</w:t>
        </w:r>
      </w:hyperlink>
      <w:r>
        <w:t>).</w:t>
      </w:r>
    </w:p>
    <w:p w14:paraId="57A7384E" w14:textId="77777777" w:rsidR="00570780" w:rsidRDefault="00000000">
      <w:pPr>
        <w:keepLines/>
      </w:pPr>
      <w:r>
        <w:t>For each required-inspection path, specify permitted protocol versions and cipher modes, enterprise CA distribution, server-certificate validation, and handling of unsupported or undecryptable sessions. Test QUIC/HTTP/3, encrypted naming, pinning, and mutual TLS against the selected deployment rather than adopting a product-wide assumption. Do not weaken encryption solely to make a diagram appear inspectable.</w:t>
      </w:r>
    </w:p>
    <w:p w14:paraId="4527DF07" w14:textId="77777777" w:rsidR="00570780" w:rsidRDefault="00000000">
      <w:pPr>
        <w:keepLines/>
      </w:pPr>
      <w:r>
        <w:t>Where inspection is mandatory, silently allowing an undecryptable connection contradicts the stated policy. Where interception would break required application identity or is otherwise unsuitable, select an explicit alternative: a controlled application/gateway termination point, endpoint/application instrumentation, restricted destinations and services, or a documented exception. A technical exception must not be labeled “inspected.”</w:t>
      </w:r>
    </w:p>
    <w:p>
      <w:pPr>
        <w:pStyle w:val="Heading2"/>
        <w:keepNext/>
        <w:keepLines/>
      </w:pPr>
      <w:r>
        <w:t xml:space="preserve">From dependency data to application-crafted egress policy</w:t>
      </w:r>
    </w:p>
    <w:p>
      <w:pPr>
        <w:keepLines/>
      </w:pPr>
      <w:r>
        <w:t xml:space="preserve">Inline Palo Alto enforcement can only be application-specific if the application relationships are known. Three dependencies follow:</w:t>
      </w:r>
    </w:p>
    <w:p>
      <w:pPr>
        <w:pStyle w:val="ListParagraph"/>
        <w:keepLines/>
        <w:numPr>
          <w:ilvl w:val="0"/>
          <w:numId w:val="2"/>
        </w:numPr>
        <w:spacing w:after="90"/>
      </w:pPr>
      <w:r>
        <w:rPr>
          <w:b/>
          <w:bCs/>
        </w:rPr>
        <w:t xml:space="preserve">Policy crafted per server and application:</w:t>
      </w:r>
      <w:r>
        <w:t xml:space="preserve"> App-ID and custom signatures where App-ID cannot classify the traffic, with threat and file profiles matched to each application tier rather than one alert-only profile group applied everywhere.</w:t>
      </w:r>
    </w:p>
    <w:p>
      <w:pPr>
        <w:pStyle w:val="ListParagraph"/>
        <w:keepLines/>
        <w:numPr>
          <w:ilvl w:val="0"/>
          <w:numId w:val="2"/>
        </w:numPr>
        <w:spacing w:after="90"/>
      </w:pPr>
      <w:r>
        <w:rPr>
          <w:b/>
          <w:bCs/>
        </w:rPr>
        <w:t xml:space="preserve">Decryption scoped to application flows:</w:t>
      </w:r>
      <w:r>
        <w:t xml:space="preserve"> egress, API calls and regulated-data paths, rather than destination categories.</w:t>
      </w:r>
    </w:p>
    <w:p>
      <w:pPr>
        <w:pStyle w:val="ListParagraph"/>
        <w:keepLines/>
        <w:numPr>
          <w:ilvl w:val="0"/>
          <w:numId w:val="2"/>
        </w:numPr>
        <w:spacing w:after="90"/>
      </w:pPr>
      <w:r>
        <w:rPr>
          <w:b/>
          <w:bCs/>
        </w:rPr>
        <w:t xml:space="preserve">Microsegmentation data as the input:</w:t>
      </w:r>
      <w:r>
        <w:t xml:space="preserve"> the dependency map and workload identity show which flows exist and should be authorized, and segmentation enforcement reduces the set of flows that need inspection. Without an identity that survives address overlap, neither the segmentation policy nor the firewall policy can be built accurately.</w:t>
      </w:r>
    </w:p>
    <w:p>
      <w:pPr>
        <w:keepLines/>
      </w:pPr>
      <w:r>
        <w:t xml:space="preserve">This is where the intent-based rule model (application, service, delivery and infrastructure objects) connects the two programs: segmentation dependency data becomes the application and service objects from which traffic, threat and decryption policy is rendered.</w:t>
      </w:r>
    </w:p>
    <w:p w14:paraId="25A3EF74" w14:textId="77777777" w:rsidR="00570780" w:rsidRDefault="00000000">
      <w:pPr>
        <w:pStyle w:val="Heading1"/>
        <w:keepLines/>
      </w:pPr>
      <w:bookmarkStart w:id="5" w:name="section_5"/>
      <w:r>
        <w:lastRenderedPageBreak/>
        <w:t>SURVEY FRAMEWORK FOR LATERAL-MOVEMENT CONTAINMENT</w:t>
      </w:r>
      <w:bookmarkEnd w:id="5"/>
    </w:p>
    <w:p w14:paraId="1D25FBCD" w14:textId="77777777" w:rsidR="00570780" w:rsidRDefault="00000000">
      <w:pPr>
        <w:keepNext/>
        <w:keepLines/>
      </w:pPr>
      <w:r>
        <w:t>Each model is assessed by the security subject it recognizes, the enforcement point, whether it changes the traffic path, and the coverage required on counterparties. A second set of questions examines overlap handling, permitted-path abuse, telemetry, revocation, and operational support. The survey does not assign unsupported numeric scores or treat analyst rankings as evidence of fit.</w:t>
      </w:r>
    </w:p>
    <w:p w14:paraId="5539A5F6" w14:textId="77777777" w:rsidR="00570780" w:rsidRDefault="00000000">
      <w:pPr>
        <w:keepNext/>
        <w:keepLines/>
        <w:spacing w:before="120" w:after="80"/>
        <w:jc w:val="center"/>
      </w:pPr>
      <w:r>
        <w:rPr>
          <w:i/>
          <w:iCs/>
          <w:sz w:val="20"/>
          <w:szCs w:val="20"/>
        </w:rPr>
        <w:t>Table 3. Containment models and decisive validation questions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4FEF3F67"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1FA0BAF1" w14:textId="77777777" w:rsidR="00570780" w:rsidRDefault="00000000">
            <w:pPr>
              <w:keepNext/>
              <w:keepLines/>
              <w:spacing w:after="0" w:line="230" w:lineRule="auto"/>
              <w:jc w:val="left"/>
            </w:pPr>
            <w:r>
              <w:rPr>
                <w:b/>
                <w:bCs/>
                <w:sz w:val="19"/>
                <w:szCs w:val="19"/>
              </w:rPr>
              <w:t>Model</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74306A97" w14:textId="77777777" w:rsidR="00570780" w:rsidRDefault="00000000">
            <w:pPr>
              <w:keepNext/>
              <w:keepLines/>
              <w:spacing w:after="0" w:line="230" w:lineRule="auto"/>
              <w:jc w:val="left"/>
            </w:pPr>
            <w:r>
              <w:rPr>
                <w:b/>
                <w:bCs/>
                <w:sz w:val="19"/>
                <w:szCs w:val="19"/>
              </w:rPr>
              <w:t>Primary architectural attraction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00762828" w14:textId="77777777" w:rsidR="00570780" w:rsidRDefault="00000000">
            <w:pPr>
              <w:keepNext/>
              <w:keepLines/>
              <w:spacing w:after="0" w:line="230" w:lineRule="auto"/>
              <w:jc w:val="left"/>
            </w:pPr>
            <w:r>
              <w:rPr>
                <w:b/>
                <w:bCs/>
                <w:sz w:val="19"/>
                <w:szCs w:val="19"/>
              </w:rPr>
              <w:t>Decisive validation question</w:t>
            </w:r>
          </w:p>
        </w:tc>
      </w:tr>
      <w:tr w:rsidR="00570780" w14:paraId="598B542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8602717" w14:textId="77777777" w:rsidR="00570780" w:rsidRDefault="00000000">
            <w:pPr>
              <w:keepNext/>
              <w:keepLines/>
              <w:spacing w:after="0" w:line="230" w:lineRule="auto"/>
              <w:jc w:val="left"/>
            </w:pPr>
            <w:r>
              <w:rPr>
                <w:sz w:val="19"/>
                <w:szCs w:val="19"/>
              </w:rPr>
              <w:t>Unisys Stealth: cryptographic communities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BC8660A" w14:textId="77777777" w:rsidR="00570780" w:rsidRDefault="00000000">
            <w:pPr>
              <w:keepNext/>
              <w:keepLines/>
              <w:spacing w:after="0" w:line="230" w:lineRule="auto"/>
              <w:jc w:val="left"/>
            </w:pPr>
            <w:r>
              <w:rPr>
                <w:sz w:val="19"/>
                <w:szCs w:val="19"/>
              </w:rPr>
              <w:t>Explicit identity-based membership and protected communication boundaries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1FF4874" w14:textId="77777777" w:rsidR="00570780" w:rsidRDefault="00000000">
            <w:pPr>
              <w:keepNext/>
              <w:keepLines/>
              <w:spacing w:after="0" w:line="230" w:lineRule="auto"/>
              <w:jc w:val="left"/>
            </w:pPr>
            <w:r>
              <w:rPr>
                <w:sz w:val="19"/>
                <w:szCs w:val="19"/>
              </w:rPr>
              <w:t>Do isolation, routing, gateway boundaries, and telemetry remain correct in this estate?</w:t>
            </w:r>
          </w:p>
        </w:tc>
      </w:tr>
      <w:tr w:rsidR="00570780" w14:paraId="5EA968C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128E124" w14:textId="77777777" w:rsidR="00570780" w:rsidRDefault="00000000">
            <w:pPr>
              <w:keepNext/>
              <w:keepLines/>
              <w:spacing w:after="0" w:line="230" w:lineRule="auto"/>
              <w:jc w:val="left"/>
            </w:pPr>
            <w:r>
              <w:rPr>
                <w:sz w:val="19"/>
                <w:szCs w:val="19"/>
              </w:rPr>
              <w:t>Edgewise software-identity approach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8521505" w14:textId="77777777" w:rsidR="00570780" w:rsidRDefault="00000000">
            <w:pPr>
              <w:keepNext/>
              <w:keepLines/>
              <w:spacing w:after="0" w:line="230" w:lineRule="auto"/>
              <w:jc w:val="left"/>
            </w:pPr>
            <w:r>
              <w:rPr>
                <w:sz w:val="19"/>
                <w:szCs w:val="19"/>
              </w:rPr>
              <w:t>Authorization of communicating software rather than only host/address reachability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FFD2CB7" w14:textId="77777777" w:rsidR="00570780" w:rsidRDefault="00000000">
            <w:pPr>
              <w:keepNext/>
              <w:keepLines/>
              <w:spacing w:after="0" w:line="230" w:lineRule="auto"/>
              <w:jc w:val="left"/>
            </w:pPr>
            <w:r>
              <w:rPr>
                <w:sz w:val="19"/>
                <w:szCs w:val="19"/>
              </w:rPr>
              <w:t>Is required identity coverage present on initiators as well as destinations?</w:t>
            </w:r>
          </w:p>
        </w:tc>
      </w:tr>
      <w:tr w:rsidR="00570780" w14:paraId="6DC205E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424B31E" w14:textId="77777777" w:rsidR="00570780" w:rsidRDefault="00000000">
            <w:pPr>
              <w:keepNext/>
              <w:keepLines/>
              <w:spacing w:after="0" w:line="230" w:lineRule="auto"/>
              <w:jc w:val="left"/>
            </w:pPr>
            <w:r>
              <w:rPr>
                <w:sz w:val="19"/>
                <w:szCs w:val="19"/>
              </w:rPr>
              <w:t>Native host-firewall orchestration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F85B2B" w14:textId="77777777" w:rsidR="00570780" w:rsidRDefault="00000000">
            <w:pPr>
              <w:keepNext/>
              <w:keepLines/>
              <w:spacing w:after="0" w:line="230" w:lineRule="auto"/>
              <w:jc w:val="left"/>
            </w:pPr>
            <w:r>
              <w:rPr>
                <w:sz w:val="19"/>
                <w:szCs w:val="19"/>
              </w:rPr>
              <w:t>Local enforcement with centralized policy and operational management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8CE4F39" w14:textId="77777777" w:rsidR="00570780" w:rsidRDefault="00000000">
            <w:pPr>
              <w:keepNext/>
              <w:keepLines/>
              <w:spacing w:after="0" w:line="230" w:lineRule="auto"/>
              <w:jc w:val="left"/>
            </w:pPr>
            <w:r>
              <w:rPr>
                <w:sz w:val="19"/>
                <w:szCs w:val="19"/>
              </w:rPr>
              <w:t>Which unwanted paths are removed, and can identities/context survive policy translation?</w:t>
            </w:r>
          </w:p>
        </w:tc>
      </w:tr>
      <w:tr w:rsidR="00570780" w14:paraId="0363922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76AA5EC" w14:textId="77777777" w:rsidR="00570780" w:rsidRDefault="00000000">
            <w:pPr>
              <w:keepNext/>
              <w:keepLines/>
              <w:spacing w:after="0" w:line="230" w:lineRule="auto"/>
              <w:jc w:val="left"/>
            </w:pPr>
            <w:r>
              <w:rPr>
                <w:sz w:val="19"/>
                <w:szCs w:val="19"/>
              </w:rPr>
              <w:t>Proprietary host enforcement with adjunct detection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16C3190" w14:textId="77777777" w:rsidR="00570780" w:rsidRDefault="00000000">
            <w:pPr>
              <w:keepNext/>
              <w:keepLines/>
              <w:spacing w:after="0" w:line="230" w:lineRule="auto"/>
              <w:jc w:val="left"/>
            </w:pPr>
            <w:r>
              <w:rPr>
                <w:sz w:val="19"/>
                <w:szCs w:val="19"/>
              </w:rPr>
              <w:t>Fine-grained local controls and potentially useful deception/detection functions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EB6518F" w14:textId="77777777" w:rsidR="00570780" w:rsidRDefault="00000000">
            <w:pPr>
              <w:keepNext/>
              <w:keepLines/>
              <w:spacing w:after="0" w:line="230" w:lineRule="auto"/>
              <w:jc w:val="left"/>
            </w:pPr>
            <w:r>
              <w:rPr>
                <w:sz w:val="19"/>
                <w:szCs w:val="19"/>
              </w:rPr>
              <w:t>What incremental coverage is demonstrated beyond the existing P1 controls?</w:t>
            </w:r>
          </w:p>
        </w:tc>
      </w:tr>
      <w:tr w:rsidR="00570780" w14:paraId="7A738148"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DEB76CE" w14:textId="77777777" w:rsidR="00570780" w:rsidRDefault="00000000">
            <w:pPr>
              <w:keepNext/>
              <w:keepLines/>
              <w:spacing w:after="0" w:line="230" w:lineRule="auto"/>
              <w:jc w:val="left"/>
            </w:pPr>
            <w:r>
              <w:rPr>
                <w:sz w:val="19"/>
                <w:szCs w:val="19"/>
              </w:rPr>
              <w:t>Remote host-firewall orchestration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D3987FD" w14:textId="77777777" w:rsidR="00570780" w:rsidRDefault="00000000">
            <w:pPr>
              <w:keepNext/>
              <w:keepLines/>
              <w:spacing w:after="0" w:line="230" w:lineRule="auto"/>
              <w:jc w:val="left"/>
            </w:pPr>
            <w:r>
              <w:rPr>
                <w:sz w:val="19"/>
                <w:szCs w:val="19"/>
              </w:rPr>
              <w:t>Avoidance of a resident enforcement agent for suitable systems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322D5DE" w14:textId="77777777" w:rsidR="00570780" w:rsidRDefault="00000000">
            <w:pPr>
              <w:keepNext/>
              <w:keepLines/>
              <w:spacing w:after="0" w:line="230" w:lineRule="auto"/>
              <w:jc w:val="left"/>
            </w:pPr>
            <w:r>
              <w:rPr>
                <w:sz w:val="19"/>
                <w:szCs w:val="19"/>
              </w:rPr>
              <w:t>Are management access, credentials, drift, and address-domain scope controlled?</w:t>
            </w:r>
          </w:p>
        </w:tc>
      </w:tr>
      <w:tr w:rsidR="00570780" w14:paraId="72ABB36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C33ACFB" w14:textId="77777777" w:rsidR="00570780" w:rsidRDefault="00000000">
            <w:pPr>
              <w:keepNext/>
              <w:keepLines/>
              <w:spacing w:after="0" w:line="230" w:lineRule="auto"/>
              <w:jc w:val="left"/>
            </w:pPr>
            <w:r>
              <w:rPr>
                <w:sz w:val="19"/>
                <w:szCs w:val="19"/>
              </w:rPr>
              <w:t>Switch/NAC/gateway enforcement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57FDC8C" w14:textId="77777777" w:rsidR="00570780" w:rsidRDefault="00000000">
            <w:pPr>
              <w:keepNext/>
              <w:keepLines/>
              <w:spacing w:after="0" w:line="230" w:lineRule="auto"/>
              <w:jc w:val="left"/>
            </w:pPr>
            <w:r>
              <w:rPr>
                <w:sz w:val="19"/>
                <w:szCs w:val="19"/>
              </w:rPr>
              <w:t>Coverage for attached or agent-incapable systems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53CA5A6" w14:textId="77777777" w:rsidR="00570780" w:rsidRDefault="00000000">
            <w:pPr>
              <w:keepNext/>
              <w:keepLines/>
              <w:spacing w:after="0" w:line="230" w:lineRule="auto"/>
              <w:jc w:val="left"/>
            </w:pPr>
            <w:r>
              <w:rPr>
                <w:sz w:val="19"/>
                <w:szCs w:val="19"/>
              </w:rPr>
              <w:t>Does traffic cross the enforcement point, with sufficiently specific identity?</w:t>
            </w:r>
          </w:p>
        </w:tc>
      </w:tr>
      <w:tr w:rsidR="00570780" w14:paraId="1893757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00DADE3" w14:textId="77777777" w:rsidR="00570780" w:rsidRDefault="00000000">
            <w:pPr>
              <w:keepNext/>
              <w:keepLines/>
              <w:spacing w:after="0" w:line="230" w:lineRule="auto"/>
              <w:jc w:val="left"/>
            </w:pPr>
            <w:r>
              <w:rPr>
                <w:sz w:val="19"/>
                <w:szCs w:val="19"/>
              </w:rPr>
              <w:t>Brokered private access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7D4BDE5" w14:textId="77777777" w:rsidR="00570780" w:rsidRDefault="00000000">
            <w:pPr>
              <w:keepNext/>
              <w:keepLines/>
              <w:spacing w:after="0" w:line="230" w:lineRule="auto"/>
              <w:jc w:val="left"/>
            </w:pPr>
            <w:r>
              <w:rPr>
                <w:sz w:val="19"/>
                <w:szCs w:val="19"/>
              </w:rPr>
              <w:t>Explicit application access through a controlled connection path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785F1A0" w14:textId="77777777" w:rsidR="00570780" w:rsidRDefault="00000000">
            <w:pPr>
              <w:keepNext/>
              <w:keepLines/>
              <w:spacing w:after="0" w:line="230" w:lineRule="auto"/>
              <w:jc w:val="left"/>
            </w:pPr>
            <w:r>
              <w:rPr>
                <w:sz w:val="19"/>
                <w:szCs w:val="19"/>
              </w:rPr>
              <w:t>Can alternate local or server-originated paths bypass the broker?</w:t>
            </w:r>
          </w:p>
        </w:tc>
      </w:tr>
      <w:tr w:rsidR="00570780" w14:paraId="57333C53"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6C0F51F7" w14:textId="77777777" w:rsidR="00570780" w:rsidRDefault="00000000">
            <w:pPr>
              <w:keepLines/>
              <w:spacing w:after="0" w:line="230" w:lineRule="auto"/>
              <w:jc w:val="left"/>
            </w:pPr>
            <w:r>
              <w:rPr>
                <w:sz w:val="19"/>
                <w:szCs w:val="19"/>
              </w:rPr>
              <w:t>Platform-native application controls</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2C85FDA" w14:textId="77777777" w:rsidR="00570780" w:rsidRDefault="00000000">
            <w:pPr>
              <w:keepLines/>
              <w:spacing w:after="0" w:line="230" w:lineRule="auto"/>
              <w:jc w:val="left"/>
            </w:pPr>
            <w:r>
              <w:rPr>
                <w:sz w:val="19"/>
                <w:szCs w:val="19"/>
              </w:rPr>
              <w:t>Integration with workload delivery, identity, and lifecycle</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7C11F00E" w14:textId="77777777" w:rsidR="00570780" w:rsidRDefault="00000000">
            <w:pPr>
              <w:keepLines/>
              <w:spacing w:after="0" w:line="230" w:lineRule="auto"/>
              <w:jc w:val="left"/>
            </w:pPr>
            <w:r>
              <w:rPr>
                <w:sz w:val="19"/>
                <w:szCs w:val="19"/>
              </w:rPr>
              <w:t xml:space="preserve">Are policies actually deployed, enforced, and observable across tenant and external boundaries?</w:t>
            </w:r>
          </w:p>
        </w:tc>
      </w:tr>
    </w:tbl>
    <w:p w14:paraId="639E2413" w14:textId="77777777" w:rsidR="00570780" w:rsidRDefault="00570780">
      <w:pPr>
        <w:spacing w:after="80" w:line="80" w:lineRule="auto"/>
      </w:pPr>
    </w:p>
    <w:p w14:paraId="44DAEAA2" w14:textId="77777777" w:rsidR="00570780" w:rsidRDefault="00000000">
      <w:pPr>
        <w:keepLines/>
      </w:pPr>
      <w:r>
        <w:t xml:space="preserve">This table expresses assessment criteria; documented mechanisms and evidence limits follow. A product may implement more than one model, and its additional capabilities must not be inferred from the row in which its principal approach appears.</w:t>
      </w:r>
    </w:p>
    <w:p w14:paraId="1D681AC0" w14:textId="77777777" w:rsidR="00570780" w:rsidRDefault="00000000">
      <w:pPr>
        <w:pStyle w:val="Heading1"/>
        <w:keepLines/>
        <w:pageBreakBefore/>
      </w:pPr>
      <w:bookmarkStart w:id="6" w:name="section_6"/>
      <w:r>
        <w:lastRenderedPageBreak/>
        <w:t>UNISYS STEALTH: CRYPTOGRAPHIC COMMUNITIES</w:t>
      </w:r>
      <w:bookmarkEnd w:id="6"/>
    </w:p>
    <w:p w14:paraId="3DD6FFAE" w14:textId="77777777" w:rsidR="00570780" w:rsidRDefault="00000000">
      <w:pPr>
        <w:pStyle w:val="Heading2"/>
        <w:keepLines/>
      </w:pPr>
      <w:r>
        <w:t>Mechanism and architectural appeal</w:t>
      </w:r>
    </w:p>
    <w:p w14:paraId="7C1B9E6F" w14:textId="77777777" w:rsidR="00570780" w:rsidRDefault="00000000">
      <w:pPr>
        <w:keepLines/>
      </w:pPr>
      <w:r>
        <w:t>Unisys documents dynamic identity-based communities of interest (COIs), communication permitted after membership confirmation, encrypted communication between protected members, and concealment of protected endpoints from non-members (</w:t>
      </w:r>
      <w:hyperlink r:id="rId10" w:history="1">
        <w:r>
          <w:rPr>
            <w:color w:val="222222"/>
            <w:u w:val="single"/>
          </w:rPr>
          <w:t>Unisys Stealth product brief</w:t>
        </w:r>
      </w:hyperlink>
      <w:hyperlink w:anchor="reference_3" w:history="1">
        <w:r>
          <w:rPr>
            <w:sz w:val="18"/>
            <w:szCs w:val="18"/>
          </w:rPr>
          <w:t xml:space="preserve"> [3]</w:t>
        </w:r>
      </w:hyperlink>
      <w:r>
        <w:t>). Those are vendor-documented properties, not independently measured results for this estate.</w:t>
      </w:r>
    </w:p>
    <w:p w14:paraId="4A99FB90" w14:textId="77777777" w:rsidR="00570780" w:rsidRDefault="00000000">
      <w:pPr>
        <w:keepLines/>
      </w:pPr>
      <w:r>
        <w:t>The architectural attraction is preventive containment before a detector identifies an attacker. A distributed application can be represented by controlled membership rather than by assuming its security boundary is a subnet or site. This aligns closely with the stated objective and explains why Stealth deserves serious consideration despite acknowledged implementation concerns.</w:t>
      </w:r>
    </w:p>
    <w:p w14:paraId="1054AB3E" w14:textId="77777777" w:rsidR="00570780" w:rsidRDefault="00000000">
      <w:pPr>
        <w:keepLines/>
      </w:pPr>
      <w:r>
        <w:t>The survey therefore regards Stealth as a particularly relevant architectural candidate for the traditional distributed application estate. This is stronger than treating it as another way to push OS firewall rules, but narrower than declaring it the only approach capable of handling address overlap. Its fit must be demonstrated against the actual routing and operational environment.</w:t>
      </w:r>
    </w:p>
    <w:p w14:paraId="1B3A1A87" w14:textId="77777777" w:rsidR="00570780" w:rsidRDefault="00000000">
      <w:pPr>
        <w:pStyle w:val="Heading2"/>
        <w:keepLines/>
      </w:pPr>
      <w:r>
        <w:t>Boundaries and qualifications</w:t>
      </w:r>
    </w:p>
    <w:p w14:paraId="1F187EF1" w14:textId="77777777" w:rsidR="00570780" w:rsidRDefault="00000000">
      <w:pPr>
        <w:keepLines/>
      </w:pPr>
      <w:r>
        <w:t>Cloaking from non-members must not be restated as an inability of a compromised authorized member to discover or attack everything it is permitted to reach. The relevant tests distinguish outsiders, members of another community, and a compromised member within the permitted application community. Tier, environment, and shared-service restrictions remain necessary.</w:t>
      </w:r>
    </w:p>
    <w:p w14:paraId="09CAAB7C" w14:textId="77777777" w:rsidR="00570780" w:rsidRDefault="00000000">
      <w:pPr>
        <w:keepLines/>
      </w:pPr>
      <w:r>
        <w:t>An identity-based policy does not by itself select between two destinations with the same address. The implementation must show how overlapping namespaces, routing paths, gateways, and administration are scoped. For endpoints that cannot participate directly, the evaluation must establish the supported gateway or intermediary model and identify where fine-grained identity is preserved or lost.</w:t>
      </w:r>
    </w:p>
    <w:p w14:paraId="3F2175E9" w14:textId="77777777" w:rsidR="00570780" w:rsidRDefault="00000000">
      <w:pPr>
        <w:keepLines/>
      </w:pPr>
      <w:r>
        <w:t>Unisys documents SIEM/API-assisted response and dynamic isolation; its Stealth 4.0 announcement specifically describes LogRhythm integration for automated detection/response and Panorama integration for visibility (</w:t>
      </w:r>
      <w:hyperlink r:id="rId11" w:history="1">
        <w:r>
          <w:rPr>
            <w:color w:val="222222"/>
            <w:u w:val="single"/>
          </w:rPr>
          <w:t>Unisys Stealth 4.0 announcement</w:t>
        </w:r>
      </w:hyperlink>
      <w:hyperlink w:anchor="reference_4" w:history="1">
        <w:r>
          <w:rPr>
            <w:sz w:val="18"/>
            <w:szCs w:val="18"/>
          </w:rPr>
          <w:t xml:space="preserve"> [4]</w:t>
        </w:r>
      </w:hyperlink>
      <w:r>
        <w:t>). This does not establish that Stealth supplies the missing estate-wide detector or that historical integrations are currently deployed and supported here.</w:t>
      </w:r>
    </w:p>
    <w:p w14:paraId="01B53886" w14:textId="77777777" w:rsidR="00570780" w:rsidRDefault="00000000">
      <w:pPr>
        <w:pStyle w:val="Heading2"/>
        <w:keepLines/>
      </w:pPr>
      <w:r>
        <w:t>Evaluation position</w:t>
      </w:r>
    </w:p>
    <w:p w14:paraId="20462E18" w14:textId="77777777" w:rsidR="00570780" w:rsidRDefault="00000000">
      <w:pPr>
        <w:keepLines/>
      </w:pPr>
      <w:r>
        <w:t xml:space="preserve">Carry Stealth forward on architectural merit. Require a supported deployment design, current platform matrix and roadmap, installation/upgrade evidence, key and membership lifecycle controls, loss-of-control-plane behavior, inspection placement, and cross-domain telemetry. Separate those implementation and support risks from the merits of the isolation model.</w:t>
      </w:r>
    </w:p>
    <w:p w14:paraId="3F631827" w14:textId="77777777" w:rsidR="00570780" w:rsidRDefault="00000000">
      <w:pPr>
        <w:keepLines/>
      </w:pPr>
      <w:r>
        <w:t>Do not infer product withdrawal from old public release announcements or website availability. Equally, do not treat historical capability announcements as proof of present support. A written support and delivery commitment is a decision gate, not a substitute for technical testing.</w:t>
      </w:r>
    </w:p>
    <w:p>
      <w:pPr>
        <w:keepLines/>
      </w:pPr>
      <w:r>
        <w:t xml:space="preserve">For the due-diligence record: the last Stealth release Unisys has publicly announced is 6.0 (November 2020) (</w:t>
      </w:r>
      <w:hyperlink r:id="rId901" w:history="1">
        <w:r>
          <w:rPr>
            <w:color w:val="222222"/>
            <w:u w:val="single"/>
          </w:rPr>
          <w:t xml:space="preserve">Unisys Stealth 6.0 release</w:t>
        </w:r>
      </w:hyperlink>
      <w:hyperlink w:anchor="reference_32" w:history="1">
        <w:r>
          <w:rPr>
            <w:sz w:val="18"/>
            <w:szCs w:val="18"/>
          </w:rPr>
          <w:t xml:space="preserve"> [32]</w:t>
        </w:r>
      </w:hyperlink>
      <w:r>
        <w:t xml:space="preserve">), and Unisys’s dedicated Stealth offerings page did not resolve when checked in September 2026. Neither fact establishes withdrawal; both are reasons the written support and roadmap commitment is a gate.</w:t>
      </w:r>
    </w:p>
    <w:p w14:paraId="57A25AF2" w14:textId="77777777" w:rsidR="00570780" w:rsidRDefault="00000000">
      <w:pPr>
        <w:pStyle w:val="Heading1"/>
        <w:keepLines/>
        <w:pageBreakBefore/>
      </w:pPr>
      <w:bookmarkStart w:id="7" w:name="section_7"/>
      <w:r>
        <w:lastRenderedPageBreak/>
        <w:t>SOFTWARE-IDENTITY ENFORCEMENT: ZSCALER'S EDGEWISE APPROACH</w:t>
      </w:r>
      <w:bookmarkEnd w:id="7"/>
    </w:p>
    <w:p w14:paraId="0A87DA66" w14:textId="77777777" w:rsidR="00570780" w:rsidRDefault="00000000">
      <w:pPr>
        <w:pStyle w:val="Heading2"/>
        <w:keepLines/>
      </w:pPr>
      <w:r>
        <w:t>Distinct from Zscaler proxy and ZTNA services</w:t>
      </w:r>
    </w:p>
    <w:p w14:paraId="18D21E6C" w14:textId="77777777" w:rsidR="00570780" w:rsidRDefault="00000000">
      <w:pPr>
        <w:keepLines/>
      </w:pPr>
      <w:r>
        <w:t>Zscaler's Edgewise acquisition announcement describes verification of application software, service, and process identities for application-to-application communication across cloud and data-center environments (</w:t>
      </w:r>
      <w:hyperlink r:id="rId12" w:history="1">
        <w:r>
          <w:rPr>
            <w:color w:val="222222"/>
            <w:u w:val="single"/>
          </w:rPr>
          <w:t>Zscaler Edgewise acquisition</w:t>
        </w:r>
      </w:hyperlink>
      <w:hyperlink w:anchor="reference_5" w:history="1">
        <w:r>
          <w:rPr>
            <w:sz w:val="18"/>
            <w:szCs w:val="18"/>
          </w:rPr>
          <w:t xml:space="preserve"> [5]</w:t>
        </w:r>
      </w:hyperlink>
      <w:r>
        <w:t>). Its workload-segmentation explanation describes real-time verification of communicating software using device/software properties, including binary hashes and subprocess identity (</w:t>
      </w:r>
      <w:hyperlink r:id="rId13" w:history="1">
        <w:r>
          <w:rPr>
            <w:color w:val="222222"/>
            <w:u w:val="single"/>
          </w:rPr>
          <w:t>Zscaler identity-based segmentation</w:t>
        </w:r>
      </w:hyperlink>
      <w:hyperlink w:anchor="reference_6" w:history="1">
        <w:r>
          <w:rPr>
            <w:sz w:val="18"/>
            <w:szCs w:val="18"/>
          </w:rPr>
          <w:t xml:space="preserve"> [6]</w:t>
        </w:r>
      </w:hyperlink>
      <w:r>
        <w:t>).</w:t>
      </w:r>
    </w:p>
    <w:p w14:paraId="4FE5E4E2" w14:textId="77777777" w:rsidR="00570780" w:rsidRDefault="00000000">
      <w:pPr>
        <w:keepLines/>
      </w:pPr>
      <w:r>
        <w:t>That is a materially different proposition from forwarding client web traffic or brokering a user connection to a private application. The current Microsegmentation product page describes a local, agent-based enforcement architecture; the exact supported mapping from the Edgewise approach to current releases and entitlements remains a procurement and technical-validation item (</w:t>
      </w:r>
      <w:hyperlink r:id="rId14" w:history="1">
        <w:r>
          <w:rPr>
            <w:color w:val="222222"/>
            <w:u w:val="single"/>
          </w:rPr>
          <w:t>Zscaler Microsegmentation</w:t>
        </w:r>
      </w:hyperlink>
      <w:hyperlink w:anchor="reference_7" w:history="1">
        <w:r>
          <w:rPr>
            <w:sz w:val="18"/>
            <w:szCs w:val="18"/>
          </w:rPr>
          <w:t xml:space="preserve"> [7]</w:t>
        </w:r>
      </w:hyperlink>
      <w:r>
        <w:t>).</w:t>
      </w:r>
    </w:p>
    <w:p>
      <w:pPr>
        <w:keepLines/>
      </w:pPr>
      <w:r>
        <w:t xml:space="preserve">The most recent announced extension of the current product is host-based microsegmentation for Google Kubernetes Engine (</w:t>
      </w:r>
      <w:hyperlink r:id="rId902" w:history="1">
        <w:r>
          <w:rPr>
            <w:color w:val="222222"/>
            <w:u w:val="single"/>
          </w:rPr>
          <w:t xml:space="preserve">Zscaler Zenith Live 2026</w:t>
        </w:r>
      </w:hyperlink>
      <w:hyperlink w:anchor="reference_31" w:history="1">
        <w:r>
          <w:rPr>
            <w:sz w:val="18"/>
            <w:szCs w:val="18"/>
          </w:rPr>
          <w:t xml:space="preserve"> [31]</w:t>
        </w:r>
      </w:hyperlink>
      <w:r>
        <w:t xml:space="preserve">). Zscaler Microsegmentation is not among the vendors announced as Leaders in the Forrester Wave for microsegmentation (Q3 2024 or Q3 2026); analyst position is not fit evidence, but it bears on the depth of on-premises validation available.</w:t>
      </w:r>
    </w:p>
    <w:p w14:paraId="418A8F2A" w14:textId="77777777" w:rsidR="00570780" w:rsidRDefault="00000000">
      <w:pPr>
        <w:pStyle w:val="Heading2"/>
        <w:keepLines/>
      </w:pPr>
      <w:r>
        <w:t>Client and server coverage is central</w:t>
      </w:r>
    </w:p>
    <w:p w14:paraId="7BA308A9" w14:textId="77777777" w:rsidR="00570780" w:rsidRDefault="00000000">
      <w:pPr>
        <w:keepLines/>
      </w:pPr>
      <w:r>
        <w:t>For the intended end-to-end software-identity design, coverage must include initiating clients and receiving workloads, or an explicitly validated equivalent identity mechanism. Here “client” includes a server calling another server, a Citrix-hosted application, or a containerized service. Server-only enforcement may still restrict reachability, but it must not be credited with verified initiating-process identity without evidence.</w:t>
      </w:r>
    </w:p>
    <w:p w14:paraId="38902365" w14:textId="77777777" w:rsidR="00570780" w:rsidRDefault="00000000">
      <w:pPr>
        <w:keepLines/>
      </w:pPr>
      <w:r>
        <w:t>The existing Zscaler Client Connector rollout is not proof that this segmentation functionality is installed. Confirm the exact component, platform support, interoperability, policy scope, and failure behavior. Where an initiator cannot be instrumented, state whether the policy falls back to an IP, gateway, group, or other identity and assess the resulting reduction in assurance.</w:t>
      </w:r>
    </w:p>
    <w:p w14:paraId="0CAAB808" w14:textId="77777777" w:rsidR="00570780" w:rsidRDefault="00000000">
      <w:pPr>
        <w:pStyle w:val="Heading2"/>
        <w:keepLines/>
      </w:pPr>
      <w:r>
        <w:t>Evaluation position</w:t>
      </w:r>
    </w:p>
    <w:p w14:paraId="0C62B252" w14:textId="77777777" w:rsidR="00570780" w:rsidRDefault="00000000">
      <w:pPr>
        <w:keepLines/>
      </w:pPr>
      <w:r>
        <w:t xml:space="preserve">Carry Edgewise's software-identity approach as a credible candidate alongside Stealth and the existing host-firewall approach. Test binary and application updates, interpreters and scripts, shared hosts, identity tampering, allowed-process abuse, and connection behavior after identity changes. Discovery and learned communications must be reviewed against intended dependencies before becoming allow rules.</w:t>
      </w:r>
    </w:p>
    <w:p w14:paraId="415FBC18" w14:textId="77777777" w:rsidR="00570780" w:rsidRDefault="00000000">
      <w:pPr>
        <w:keepLines/>
      </w:pPr>
      <w:r>
        <w:t>Software identity can make authorization more specific without proving that authorized software is uncompromised or every transaction is safe. The product's identity claims therefore do not remove the need for egress inspection or behavioral detection. No public marketing assertion is treated as proof that all permitted-path abuse is prevented.</w:t>
      </w:r>
    </w:p>
    <w:p w14:paraId="10BFC96D" w14:textId="77777777" w:rsidR="00570780" w:rsidRDefault="00000000">
      <w:pPr>
        <w:pStyle w:val="Heading1"/>
        <w:keepLines/>
      </w:pPr>
      <w:bookmarkStart w:id="8" w:name="section_8"/>
      <w:r>
        <w:lastRenderedPageBreak/>
        <w:t>HOST-BASED AND REMOTE FIREWALL APPROACHES</w:t>
      </w:r>
      <w:bookmarkEnd w:id="8"/>
    </w:p>
    <w:p w14:paraId="289F12DF" w14:textId="77777777" w:rsidR="00570780" w:rsidRDefault="00000000">
      <w:pPr>
        <w:pStyle w:val="Heading2"/>
        <w:keepLines/>
      </w:pPr>
      <w:r>
        <w:t>Illumio: the incumbent preventive baseline</w:t>
      </w:r>
    </w:p>
    <w:p w14:paraId="79A3B84B" w14:textId="77777777" w:rsidR="00570780" w:rsidRDefault="00000000">
      <w:pPr>
        <w:keepLines/>
      </w:pPr>
      <w:r>
        <w:t xml:space="preserve">The engineering account establishes Illumio on P1 applications, used largely for OS-level stateful firewall enforcement. The right baseline question is what those deployed policies actually restrict, not whether the estate has any segmentation at all. Extension beyond P1 is an option to evaluate, not a predetermined recommendation.</w:t>
      </w:r>
    </w:p>
    <w:p w14:paraId="18E219CC" w14:textId="77777777" w:rsidR="00570780" w:rsidRDefault="00000000">
      <w:pPr>
        <w:keepLines/>
      </w:pPr>
      <w:r>
        <w:t>Illumio documents policy labels for role, application, environment, and location, and dynamic mapping of workload labels/IP addresses into Palo Alto Dynamic Address Groups (</w:t>
      </w:r>
      <w:hyperlink r:id="rId15" w:history="1">
        <w:r>
          <w:rPr>
            <w:color w:val="222222"/>
            <w:u w:val="single"/>
          </w:rPr>
          <w:t>Illumio policy objects</w:t>
        </w:r>
      </w:hyperlink>
      <w:hyperlink w:anchor="reference_8" w:history="1">
        <w:r>
          <w:rPr>
            <w:sz w:val="18"/>
            <w:szCs w:val="18"/>
          </w:rPr>
          <w:t xml:space="preserve"> [8]</w:t>
        </w:r>
      </w:hyperlink>
      <w:r>
        <w:t xml:space="preserve">, </w:t>
      </w:r>
      <w:hyperlink r:id="rId16" w:history="1">
        <w:r>
          <w:rPr>
            <w:color w:val="222222"/>
            <w:u w:val="single"/>
          </w:rPr>
          <w:t>Illumio–Palo Alto integration</w:t>
        </w:r>
      </w:hyperlink>
      <w:hyperlink w:anchor="reference_9" w:history="1">
        <w:r>
          <w:rPr>
            <w:sz w:val="18"/>
            <w:szCs w:val="18"/>
          </w:rPr>
          <w:t xml:space="preserve"> [9]</w:t>
        </w:r>
      </w:hyperlink>
      <w:r>
        <w:t>). Those features support application-oriented policy even where VM addresses are static; they do not establish collision-safe downstream attribution by themselves.</w:t>
      </w:r>
    </w:p>
    <w:p w14:paraId="35046706" w14:textId="77777777" w:rsidR="00570780" w:rsidRDefault="00000000">
      <w:pPr>
        <w:keepLines/>
      </w:pPr>
      <w:r>
        <w:t>Evaluate current policy granularity, permitted shared services, agent/interface coverage, rule drift, staged enforcement, and event exports. Distinguish the richness of the policy/control plane from the information used by the local packet filter. Test duplicate addresses in separate routing domains rather than declaring the central map necessarily broken.</w:t>
      </w:r>
    </w:p>
    <w:p w14:paraId="04F128B3" w14:textId="77777777" w:rsidR="00570780" w:rsidRDefault="00000000">
      <w:pPr>
        <w:pStyle w:val="Heading2"/>
        <w:keepLines/>
      </w:pPr>
      <w:r>
        <w:t>Akamai Guardicore: host enforcement and adjunct deception</w:t>
      </w:r>
    </w:p>
    <w:p w14:paraId="32B31480" w14:textId="77777777" w:rsidR="00570780" w:rsidRDefault="00000000">
      <w:pPr>
        <w:keepLines/>
      </w:pPr>
      <w:r>
        <w:t xml:space="preserve">Akamai describes a host-based enforcement agent with process/service visibility and deception that redirects blocked or failed sessions for further analysis; it also documents Kubernetes enforcement through translated NetworkPolicy and the cluster CNI (</w:t>
      </w:r>
      <w:hyperlink r:id="rId17" w:history="1">
        <w:r>
          <w:rPr>
            <w:color w:val="222222"/>
            <w:u w:val="single"/>
          </w:rPr>
          <w:t>Akamai segmentation comparison brief</w:t>
        </w:r>
      </w:hyperlink>
      <w:hyperlink w:anchor="reference_10" w:history="1">
        <w:r>
          <w:rPr>
            <w:sz w:val="18"/>
            <w:szCs w:val="18"/>
          </w:rPr>
          <w:t xml:space="preserve"> [10]</w:t>
        </w:r>
      </w:hyperlink>
      <w:r>
        <w:t xml:space="preserve">, </w:t>
      </w:r>
      <w:hyperlink r:id="rId18" w:history="1">
        <w:r>
          <w:rPr>
            <w:color w:val="222222"/>
            <w:u w:val="single"/>
          </w:rPr>
          <w:t>Akamai Kubernetes enforcement</w:t>
        </w:r>
      </w:hyperlink>
      <w:hyperlink w:anchor="reference_11" w:history="1">
        <w:r>
          <w:rPr>
            <w:sz w:val="18"/>
            <w:szCs w:val="18"/>
          </w:rPr>
          <w:t xml:space="preserve"> [11]</w:t>
        </w:r>
      </w:hyperlink>
      <w:r>
        <w:t>). The comparison brief is vendor-authored and is not independent proof of superiority over other products.</w:t>
      </w:r>
    </w:p>
    <w:p w14:paraId="1B263231" w14:textId="77777777" w:rsidR="00570780" w:rsidRDefault="00000000">
      <w:pPr>
        <w:keepLines/>
      </w:pPr>
      <w:r>
        <w:t>Guardicore is relevant where a demonstrated enforcement, platform, or deception requirement is not met by the current deployment. Evaluate the specific agent/version, update compatibility, and the actual operational coverage of any purchased detection functions. Do not describe all other segmentation platforms as incapable of detection merely because this model includes deception.</w:t>
      </w:r>
    </w:p>
    <w:p w14:paraId="2360446A" w14:textId="77777777" w:rsidR="00570780" w:rsidRDefault="00000000">
      <w:pPr>
        <w:pStyle w:val="Heading2"/>
        <w:keepLines/>
      </w:pPr>
      <w:r>
        <w:t>ColorTokens and Cisco Secure Workload</w:t>
      </w:r>
    </w:p>
    <w:p w14:paraId="3F2D5C57" w14:textId="6FA86800" w:rsidR="00570780" w:rsidRDefault="00000000">
      <w:pPr>
        <w:keepLines/>
      </w:pPr>
      <w:r>
        <w:t>ColorTokens documents host OS firewalls, Kubernetes service-mesh sidecar enforcement, and gateway enforcement for agent-incapable or legacy systems (</w:t>
      </w:r>
      <w:hyperlink r:id="rId19" w:history="1">
        <w:r>
          <w:rPr>
            <w:color w:val="222222"/>
            <w:u w:val="single"/>
          </w:rPr>
          <w:t>ColorTokens Xshield brief</w:t>
        </w:r>
      </w:hyperlink>
      <w:hyperlink w:anchor="reference_12" w:history="1">
        <w:r>
          <w:rPr>
            <w:sz w:val="18"/>
            <w:szCs w:val="18"/>
          </w:rPr>
          <w:t xml:space="preserve"> [12]</w:t>
        </w:r>
      </w:hyperlink>
      <w:r>
        <w:t xml:space="preserve">). Its evaluation should identify which mechanism applies to each population, especially where a gateway changes the traffic path or aggregate’s identity.</w:t>
      </w:r>
    </w:p>
    <w:p w14:paraId="4A3C5A89" w14:textId="77777777" w:rsidR="00570780" w:rsidRDefault="00000000">
      <w:pPr>
        <w:keepLines/>
      </w:pPr>
      <w:r>
        <w:t>Cisco documents OS-level agent enforcement and alternative enforcement through infrastructure, cloud security groups, and integrations, with policy attributes including process, user, FQDN, tags, and vulnerability information (</w:t>
      </w:r>
      <w:hyperlink r:id="rId20" w:history="1">
        <w:r>
          <w:rPr>
            <w:color w:val="222222"/>
            <w:u w:val="single"/>
          </w:rPr>
          <w:t>Cisco Secure Workload datasheet</w:t>
        </w:r>
      </w:hyperlink>
      <w:hyperlink w:anchor="reference_13" w:history="1">
        <w:r>
          <w:rPr>
            <w:sz w:val="18"/>
            <w:szCs w:val="18"/>
          </w:rPr>
          <w:t xml:space="preserve"> [13]</w:t>
        </w:r>
      </w:hyperlink>
      <w:r>
        <w:t>). Confirm the actual integration path to the Palo Alto estate and the selected deployment model rather than infer incompatibility from Cisco branding.</w:t>
      </w:r>
    </w:p>
    <w:p w14:paraId="086A06F3" w14:textId="77777777" w:rsidR="00570780" w:rsidRDefault="00000000">
      <w:pPr>
        <w:keepLines/>
      </w:pPr>
      <w:r>
        <w:lastRenderedPageBreak/>
        <w:t>These are credible alternatives where they resolve a defined requirement. Neither an additional agent nor a broader feature list is sufficient justification for adding another policy system. Require a measurable advantage in coverage, administration, or enforceable isolation over the incumbent baseline.</w:t>
      </w:r>
    </w:p>
    <w:p w14:paraId="66994F33" w14:textId="77777777" w:rsidR="00570780" w:rsidRDefault="00000000">
      <w:pPr>
        <w:pStyle w:val="Heading2"/>
        <w:keepLines/>
      </w:pPr>
      <w:r>
        <w:t>Zero Networks: remote host-firewall orchestration</w:t>
      </w:r>
    </w:p>
    <w:p w14:paraId="228036D7" w14:textId="77777777" w:rsidR="00570780" w:rsidRDefault="00000000">
      <w:pPr>
        <w:keepLines/>
      </w:pPr>
      <w:r>
        <w:t>The published ESG technical validation describes agentless host-firewall rule management, deterministic inbound/outbound restrictions, and just-in-time MFA for privileged access (</w:t>
      </w:r>
      <w:hyperlink r:id="rId21" w:history="1">
        <w:r>
          <w:rPr>
            <w:color w:val="222222"/>
            <w:u w:val="single"/>
          </w:rPr>
          <w:t>Zero Networks technical validation</w:t>
        </w:r>
      </w:hyperlink>
      <w:hyperlink w:anchor="reference_14" w:history="1">
        <w:r>
          <w:rPr>
            <w:sz w:val="18"/>
            <w:szCs w:val="18"/>
          </w:rPr>
          <w:t xml:space="preserve"> [14]</w:t>
        </w:r>
      </w:hyperlink>
      <w:r>
        <w:t>). The report supports the model distinction; its publication date and tested configuration should not be mistaken for the current supported matrix.</w:t>
      </w:r>
    </w:p>
    <w:p w14:paraId="2BC48B62" w14:textId="77777777" w:rsidR="00570780" w:rsidRDefault="00000000">
      <w:pPr>
        <w:keepLines/>
      </w:pPr>
      <w:r>
        <w:t>The attraction is reduced resident-agent dependency for suitable hosts and explicit control over privileged access. The tradeoff to evaluate is management-plane reachability, credential protection, platform coverage, local drift, and accurate scoping of address-based rules. “Agentless” does not mean deployment-free, credential-free, or independent of the enforcement substrate.</w:t>
      </w:r>
    </w:p>
    <w:p w14:paraId="2E23E7B3" w14:textId="77777777" w:rsidR="00570780" w:rsidRDefault="00000000">
      <w:pPr>
        <w:pStyle w:val="Heading1"/>
        <w:keepLines/>
      </w:pPr>
      <w:bookmarkStart w:id="9" w:name="section_9"/>
      <w:r>
        <w:t>INFRASTRUCTURE, NAC, AND BROKERED-ACCESS APPROACHES</w:t>
      </w:r>
      <w:bookmarkEnd w:id="9"/>
    </w:p>
    <w:p w14:paraId="327C813D" w14:textId="77777777" w:rsidR="00570780" w:rsidRDefault="00000000">
      <w:pPr>
        <w:pStyle w:val="Heading2"/>
        <w:keepLines/>
      </w:pPr>
      <w:r>
        <w:t xml:space="preserve">Elisity and switch-enforced policy</w:t>
      </w:r>
    </w:p>
    <w:p w14:paraId="6D76D860" w14:textId="77777777" w:rsidR="00570780" w:rsidRDefault="00000000">
      <w:pPr>
        <w:keepLines/>
      </w:pPr>
      <w:r>
        <w:t xml:space="preserve">Elisity's Cisco onboarding documentation describes IP/tag mappings, policy ACLs, CTS commands, and SXP peering at Virtual Edge Nodes, with explicit platform and management requirements (</w:t>
        <w:fldChar w:fldCharType="begin"/>
        <w:instrText>HYPERLINK "https://support.elisity.com/hc/en-us/articles/15541796673300-Onboarding-Cisco-Switches-as-Virtual-Edge-Nodes"</w:instrText>
        <w:fldChar w:fldCharType="separate"/>
      </w:r>
      <w:r>
        <w:rPr>
          <w:color w:val="222222"/>
          <w:u w:val="single"/>
        </w:rPr>
        <w:t xml:space="preserve">Elisity Cisco enforcement documentation</w:t>
      </w:r>
      <w:r>
        <w:fldChar w:fldCharType="end"/>
      </w:r>
      <w:hyperlink w:anchor="reference_15" w:history="1">
        <w:r>
          <w:rPr>
            <w:sz w:val="18"/>
            <w:szCs w:val="18"/>
          </w:rPr>
          <w:t xml:space="preserve"> [15]</w:t>
        </w:r>
      </w:hyperlink>
      <w:r>
        <w:t>). This is an infrastructure enforcement model, not a host-process identity model.</w:t>
      </w:r>
    </w:p>
    <w:p>
      <w:pPr>
        <w:keepLines/>
      </w:pPr>
      <w:r>
        <w:t xml:space="preserve">Network Security Engineering states that SGT/TrustSec adoption is not planned. Adopting the documented Cisco pattern would introduce those constructs, which limits fit on Cisco access switches. Evaluate the actual switch estate and whether intra-host, overlay and cross-cloud traffic traverse the proposed enforcement points before counting coverage.</w:t>
      </w:r>
    </w:p>
    <w:p w14:paraId="593505C6" w14:textId="77777777" w:rsidR="00570780" w:rsidRDefault="00000000">
      <w:pPr>
        <w:pStyle w:val="Heading2"/>
        <w:keepLines/>
      </w:pPr>
      <w:r>
        <w:t>Forescout, MDM, and Claroty: the current device-admission approach</w:t>
      </w:r>
    </w:p>
    <w:p w14:paraId="622B6B5F" w14:textId="77777777" w:rsidR="00570780" w:rsidRDefault="00000000">
      <w:pPr>
        <w:keepLines/>
      </w:pPr>
      <w:r>
        <w:t>Forescout with MAB, using MDM and Claroty as sources of truth, is the current approach for device admission and for IoT and agent-incapable devices, as Illumio is for P1 application servers. Unlike Illumio, it is not yet operational: Forescout MAB is in development and the Claroty integration has not been implemented. The evaluation question is therefore how the approach is completed and where it should extend, not whether to adopt it. Device recognition, management status, and classification are relevant inputs, but the assessment should not equate admission with authenticated application or user entitlement. Define authority, freshness, disagreement handling, and the enforcement domain for every exported decision.</w:t>
      </w:r>
    </w:p>
    <w:p w14:paraId="36C311AD" w14:textId="77777777" w:rsidR="00570780" w:rsidRDefault="00000000">
      <w:pPr>
        <w:keepLines/>
      </w:pPr>
      <w:r>
        <w:t>Forescout documents sharing device context and dynamically assigning endpoints to Palo Alto address groups, including reassignment when compliance changes (</w:t>
      </w:r>
      <w:hyperlink r:id="rId22" w:history="1">
        <w:r>
          <w:rPr>
            <w:color w:val="222222"/>
            <w:u w:val="single"/>
          </w:rPr>
          <w:t>Forescout Palo Alto integration</w:t>
        </w:r>
      </w:hyperlink>
      <w:hyperlink w:anchor="reference_16" w:history="1">
        <w:r>
          <w:rPr>
            <w:sz w:val="18"/>
            <w:szCs w:val="18"/>
          </w:rPr>
          <w:t xml:space="preserve"> [16]</w:t>
        </w:r>
      </w:hyperlink>
      <w:r>
        <w:t>). Because the documented integration includes IP-to-identity mapping, the implementation must preserve scope when overlapping addresses reach a downstream firewall or SIEM.</w:t>
      </w:r>
    </w:p>
    <w:p w14:paraId="7489DE7B" w14:textId="77777777" w:rsidR="00570780" w:rsidRDefault="00000000">
      <w:pPr>
        <w:keepLines/>
      </w:pPr>
      <w:r>
        <w:t xml:space="preserve">The marketplace Claroty xDome/Medigate Connect App is listed as community-contributed and not supported by Forescout Customer Support (</w:t>
      </w:r>
      <w:hyperlink r:id="rId23" w:history="1">
        <w:r>
          <w:rPr>
            <w:color w:val="222222"/>
            <w:u w:val="single"/>
          </w:rPr>
          <w:t>Forescout Claroty connector listing</w:t>
        </w:r>
      </w:hyperlink>
      <w:hyperlink w:anchor="reference_17" w:history="1">
        <w:r>
          <w:rPr>
            <w:sz w:val="18"/>
            <w:szCs w:val="18"/>
          </w:rPr>
          <w:t xml:space="preserve"> [17]</w:t>
        </w:r>
      </w:hyperlink>
      <w:r>
        <w:t>). This is a fact about that listed connector, not proof that every possible Claroty/Forescout integration is unsupported; the Claroty–Forescout integration has not yet been implemented, so select the integration path and confirm its support arrangement before relying on it.</w:t>
      </w:r>
    </w:p>
    <w:p w14:paraId="6828FD35" w14:textId="77777777" w:rsidR="00570780" w:rsidRDefault="00000000">
      <w:pPr>
        <w:pStyle w:val="Heading2"/>
        <w:keepLines/>
      </w:pPr>
      <w:r>
        <w:lastRenderedPageBreak/>
        <w:t>ZPA and Airgap are separate models</w:t>
      </w:r>
    </w:p>
    <w:p w14:paraId="0786C315" w14:textId="77777777" w:rsidR="00570780" w:rsidRDefault="00000000">
      <w:pPr>
        <w:keepLines/>
      </w:pPr>
      <w:r>
        <w:t>Zscaler's Universal ZTNA guide describes Client Connector, App Connectors, and local controls that prevent alternative access paths; it also discusses infrastructure connectors for non-user devices (</w:t>
      </w:r>
      <w:hyperlink r:id="rId24" w:history="1">
        <w:r>
          <w:rPr>
            <w:color w:val="222222"/>
            <w:u w:val="single"/>
          </w:rPr>
          <w:t>Zscaler Universal ZTNA guide</w:t>
        </w:r>
      </w:hyperlink>
      <w:hyperlink w:anchor="reference_18" w:history="1">
        <w:r>
          <w:rPr>
            <w:sz w:val="18"/>
            <w:szCs w:val="18"/>
          </w:rPr>
          <w:t xml:space="preserve"> [18]</w:t>
        </w:r>
      </w:hyperlink>
      <w:r>
        <w:t>). Brokered application access should therefore be evaluated with bypass-prevention controls, not treated as blanket segmentation of every local or server-to-server path.</w:t>
      </w:r>
    </w:p>
    <w:p w14:paraId="57F6B486" w14:textId="77777777" w:rsidR="00570780" w:rsidRDefault="00000000">
      <w:pPr>
        <w:keepLines/>
      </w:pPr>
      <w:r>
        <w:t xml:space="preserve">Airgap's documented model is agentless, DHCP-proxy-based per-device isolation with a gateway-mediated “network of one,” distinct from Edgewise's software-identity approach (</w:t>
      </w:r>
      <w:hyperlink r:id="rId25" w:history="1">
        <w:r>
          <w:rPr>
            <w:color w:val="222222"/>
            <w:u w:val="single"/>
          </w:rPr>
          <w:t>Zscaler Airgap acquisition</w:t>
        </w:r>
      </w:hyperlink>
      <w:hyperlink w:anchor="reference_19" w:history="1">
        <w:r>
          <w:rPr>
            <w:sz w:val="18"/>
            <w:szCs w:val="18"/>
          </w:rPr>
          <w:t xml:space="preserve"> [19]</w:t>
        </w:r>
      </w:hyperlink>
      <w:r>
        <w:t>). It may be relevant to agent-incapable LAN populations, but it is not a reason to collapse Zscaler's different enforcement architectures into one survey row.</w:t>
      </w:r>
    </w:p>
    <w:p w14:paraId="2E7865DA" w14:textId="77777777" w:rsidR="00570780" w:rsidRDefault="00000000">
      <w:pPr>
        <w:pStyle w:val="Heading1"/>
        <w:keepLines/>
      </w:pPr>
      <w:bookmarkStart w:id="10" w:name="section_10"/>
      <w:r>
        <w:t>CONTAINERS, SHARED ENVOY ENVIRONMENTS, AND SERVERLESS</w:t>
      </w:r>
      <w:bookmarkEnd w:id="10"/>
    </w:p>
    <w:p w14:paraId="5BE8289F" w14:textId="77777777" w:rsidR="00570780" w:rsidRDefault="00000000">
      <w:pPr>
        <w:pStyle w:val="Heading2"/>
        <w:keepLines/>
      </w:pPr>
      <w:r>
        <w:t>Put enforcement into the delivery model</w:t>
      </w:r>
    </w:p>
    <w:p w14:paraId="746B4016" w14:textId="77777777" w:rsidR="00570780" w:rsidRDefault="00000000">
      <w:pPr>
        <w:keepLines/>
      </w:pPr>
      <w:r>
        <w:t>For ephemeral applications, the preferred starting point is declarative policy delivered with the workload: service identity, network policy, namespace/tenant boundaries, and approved external dependencies. The traditional tiered-server problem does not disappear, but the natural control point changes. A separate host-agent overlay must demonstrate an incremental benefit rather than be presumed necessary.</w:t>
      </w:r>
    </w:p>
    <w:p w14:paraId="51869483" w14:textId="77777777" w:rsidR="00570780" w:rsidRDefault="00000000">
      <w:pPr>
        <w:keepLines/>
      </w:pPr>
      <w:r>
        <w:t xml:space="preserve">Kubernetes NetworkPolicy supplies selector-based L3/L4 controls, requires a supporting enforcement implementation, and allows ingress and egress by default where no applicable policies select the pods (</w:t>
      </w:r>
      <w:hyperlink r:id="rId26" w:history="1">
        <w:r>
          <w:rPr>
            <w:color w:val="222222"/>
            <w:u w:val="single"/>
          </w:rPr>
          <w:t xml:space="preserve">Kubernetes NetworkPolicy</w:t>
        </w:r>
      </w:hyperlink>
      <w:hyperlink w:anchor="reference_20" w:history="1">
        <w:r>
          <w:rPr>
            <w:sz w:val="18"/>
            <w:szCs w:val="18"/>
          </w:rPr>
          <w:t xml:space="preserve"> [20]</w:t>
        </w:r>
      </w:hyperlink>
      <w:r>
        <w:t>). Thus “built into the platform” means that a suitable mechanism can be part of delivery, not that every container deployment arrives with effective least privilege.</w:t>
      </w:r>
    </w:p>
    <w:p w14:paraId="32FC3DA2" w14:textId="77777777" w:rsidR="00570780" w:rsidRDefault="00000000">
      <w:pPr>
        <w:keepLines/>
      </w:pPr>
      <w:r>
        <w:t xml:space="preserve">The review did not establish the actual cluster-by-cluster policy state. Version 1.1's blanket statement that container-native segmentation is not deployed is not carried forward as a verified fact. Isovalent remains a candidate direction from the earlier survey, not a confirmed deployment commitment.</w:t>
      </w:r>
    </w:p>
    <w:p w14:paraId="11D533BD" w14:textId="77777777" w:rsidR="00570780" w:rsidRDefault="00000000">
      <w:pPr>
        <w:pStyle w:val="Heading2"/>
        <w:keepLines/>
      </w:pPr>
      <w:r>
        <w:t>Envoy is an enforcement context, not a tenant identity</w:t>
      </w:r>
    </w:p>
    <w:p w14:paraId="3B2EA2DE" w14:textId="77777777" w:rsidR="00570780" w:rsidRDefault="00000000">
      <w:pPr>
        <w:keepLines/>
      </w:pPr>
      <w:r>
        <w:t>For the described multi-tenant Envoy/Kubernetes environment, evaluate the authenticated caller, tenant binding, destination service, and permitted operation at the point where that context exists. A shared proxy's IP or service identity is not sufficient evidence of the tenant on whose behalf it acts. Header values must not be treated as trusted identity without an authenticated provenance and validation design.</w:t>
      </w:r>
    </w:p>
    <w:p w14:paraId="072AE3E3" w14:textId="77777777" w:rsidR="00570780" w:rsidRDefault="00000000">
      <w:pPr>
        <w:keepLines/>
      </w:pPr>
      <w:r>
        <w:t>Acceptance tests should include cross-tenant requests through the same proxy, direct pod/service bypass, alternate egress routes, and loss or forgery of forwarded identity. Preserve the originating workload/tenant in event correlation while minimizing sensitive request data. Host or node segmentation is a supporting boundary, not proof of application-layer tenant authorization.</w:t>
      </w:r>
    </w:p>
    <w:p w14:paraId="137528A6" w14:textId="77777777" w:rsidR="00570780" w:rsidRDefault="00000000">
      <w:pPr>
        <w:pStyle w:val="Heading2"/>
        <w:keepLines/>
      </w:pPr>
      <w:r>
        <w:lastRenderedPageBreak/>
        <w:t>Cilium, runtime security, and inspection</w:t>
      </w:r>
    </w:p>
    <w:p w14:paraId="10A53017" w14:textId="77777777" w:rsidR="00570780" w:rsidRDefault="00000000">
      <w:pPr>
        <w:keepLines/>
      </w:pPr>
      <w:r>
        <w:t>Cilium documents policy-selected TLS termination and re-origination through Envoy, requiring appropriate certificates and client trust; the example also produces L7 visibility (</w:t>
      </w:r>
      <w:hyperlink r:id="rId27" w:history="1">
        <w:r>
          <w:rPr>
            <w:color w:val="222222"/>
            <w:u w:val="single"/>
          </w:rPr>
          <w:t>Cilium TLS visibility</w:t>
        </w:r>
      </w:hyperlink>
      <w:hyperlink w:anchor="reference_21" w:history="1">
        <w:r>
          <w:rPr>
            <w:sz w:val="18"/>
            <w:szCs w:val="18"/>
          </w:rPr>
          <w:t xml:space="preserve"> [21]</w:t>
        </w:r>
      </w:hyperlink>
      <w:r>
        <w:t>). That capability must not be confused with a demonstrated malware-signature or DLP service for every flow.</w:t>
      </w:r>
    </w:p>
    <w:p>
      <w:pPr>
        <w:keepLines/>
      </w:pPr>
      <w:r>
        <w:t xml:space="preserve">Tetragon separately documents runtime observation and enforcement of process execution, system calls, and network/file activity with Kubernetes context (</w:t>
      </w:r>
      <w:hyperlink r:id="rId917" w:history="1">
        <w:r>
          <w:rPr>
            <w:color w:val="222222"/>
            <w:u w:val="single"/>
          </w:rPr>
          <w:t xml:space="preserve">Tetragon overview</w:t>
        </w:r>
      </w:hyperlink>
      <w:hyperlink w:anchor="reference_22" w:history="1">
        <w:r>
          <w:rPr>
            <w:sz w:val="18"/>
            <w:szCs w:val="18"/>
          </w:rPr>
          <w:t xml:space="preserve"> [22]</w:t>
        </w:r>
      </w:hyperlink>
      <w:r>
        <w:t xml:space="preserve">). Cilium itself includes no IDS/IPS or DLP engine; a request for native IDS/IPS was closed as not planned (</w:t>
      </w:r>
      <w:hyperlink r:id="rId903" w:history="1">
        <w:r>
          <w:rPr>
            <w:color w:val="222222"/>
            <w:u w:val="single"/>
          </w:rPr>
          <w:t xml:space="preserve">Cilium issue #27308</w:t>
        </w:r>
      </w:hyperlink>
      <w:hyperlink w:anchor="reference_30" w:history="1">
        <w:r>
          <w:rPr>
            <w:sz w:val="18"/>
            <w:szCs w:val="18"/>
          </w:rPr>
          <w:t xml:space="preserve"> [30]</w:t>
        </w:r>
      </w:hyperlink>
      <w:r>
        <w:t xml:space="preserve">). Runtime detection therefore comes from a separate component, and the survey does not assume it is enabled merely because Cilium networking is present.</w:t>
      </w:r>
    </w:p>
    <w:p w14:paraId="2BBC1D47" w14:textId="77777777" w:rsidR="00570780" w:rsidRDefault="00000000">
      <w:pPr>
        <w:keepLines/>
      </w:pPr>
      <w:r>
        <w:t xml:space="preserve">For container egress requiring content inspection, evaluate a controlled egress gateway or other supported inspection boundary and prove that platform policy prevents bypass. Preserve workload context before NAT or shared proxies obscure it. Avoid unnecessary central hairpinning where an equivalent local boundary meets the same policy, evidence, and operational requirements.</w:t>
      </w:r>
    </w:p>
    <w:p w14:paraId="6ABBED74" w14:textId="77777777" w:rsidR="00570780" w:rsidRDefault="00000000">
      <w:pPr>
        <w:pStyle w:val="Heading2"/>
        <w:keepLines/>
      </w:pPr>
      <w:r>
        <w:t>Serverless requires its own boundary analysis</w:t>
      </w:r>
    </w:p>
    <w:p w14:paraId="469171FA" w14:textId="77777777" w:rsidR="00570780" w:rsidRDefault="00000000">
      <w:pPr>
        <w:keepLines/>
      </w:pPr>
      <w:r>
        <w:t>AWS Lambda distinguishes execution-role permissions to other AWS resources from VPC networking and security-group controls (</w:t>
      </w:r>
      <w:hyperlink r:id="rId29" w:history="1">
        <w:r>
          <w:rPr>
            <w:color w:val="222222"/>
            <w:u w:val="single"/>
          </w:rPr>
          <w:t>Lambda permissions</w:t>
        </w:r>
      </w:hyperlink>
      <w:hyperlink w:anchor="reference_23" w:history="1">
        <w:r>
          <w:rPr>
            <w:sz w:val="18"/>
            <w:szCs w:val="18"/>
          </w:rPr>
          <w:t xml:space="preserve"> [23]</w:t>
        </w:r>
      </w:hyperlink>
      <w:r>
        <w:t xml:space="preserve">, </w:t>
      </w:r>
      <w:hyperlink r:id="rId30" w:history="1">
        <w:r>
          <w:rPr>
            <w:color w:val="222222"/>
            <w:u w:val="single"/>
          </w:rPr>
          <w:t>Lambda VPC configuration</w:t>
        </w:r>
      </w:hyperlink>
      <w:hyperlink w:anchor="reference_24" w:history="1">
        <w:r>
          <w:rPr>
            <w:sz w:val="18"/>
            <w:szCs w:val="18"/>
          </w:rPr>
          <w:t xml:space="preserve"> [24]</w:t>
        </w:r>
      </w:hyperlink>
      <w:r>
        <w:t>). Those are examples of native control surfaces, not proof that a function is appropriately restricted.</w:t>
      </w:r>
    </w:p>
    <w:p w14:paraId="54CE60CE" w14:textId="77777777" w:rsidR="00570780" w:rsidRDefault="00000000">
      <w:pPr>
        <w:keepLines/>
      </w:pPr>
      <w:r>
        <w:t>Evaluate invocation rights, function/service identity, resource access, outbound destinations, event/audit coverage, and any VPC attachment. Ephemerality must not be used to waive lateral-access or exfiltration analysis. The survey should compare outcomes across hosts and functions without forcing them to share an identical enforcement mechanism.</w:t>
      </w:r>
    </w:p>
    <w:p w14:paraId="0C64A8A3" w14:textId="77777777" w:rsidR="00570780" w:rsidRDefault="00000000">
      <w:pPr>
        <w:pStyle w:val="Heading1"/>
        <w:keepLines/>
      </w:pPr>
      <w:bookmarkStart w:id="11" w:name="section_11"/>
      <w:r>
        <w:t>DETECTION, INSPECTION, AND EVIDENCE AFTER ENCRYPTION</w:t>
      </w:r>
      <w:bookmarkEnd w:id="11"/>
    </w:p>
    <w:p w14:paraId="0CA63AFA" w14:textId="77777777" w:rsidR="00570780" w:rsidRDefault="00000000">
      <w:pPr>
        <w:pStyle w:val="Heading2"/>
        <w:keepLines/>
      </w:pPr>
      <w:r>
        <w:t>Egress as an observation surface</w:t>
      </w:r>
    </w:p>
    <w:p w14:paraId="6031406A" w14:textId="77777777" w:rsidR="00570780" w:rsidRDefault="00000000">
      <w:pPr>
        <w:keepLines/>
      </w:pPr>
      <w:r>
        <w:t>The threat model should test a permitted ingress transaction followed by unexpected outbound activity: a new destination, unapproved dependency, unusual transfer, or disallowed service access. Whether the activity is caught by a signature, behavioral analytic, runtime rule, or preventive deny is a separate test outcome. Do not count an inspection bypass as successful detection simply because a connection was logged.</w:t>
      </w:r>
    </w:p>
    <w:p w14:paraId="5C811A2B" w14:textId="77777777" w:rsidR="00570780" w:rsidRDefault="00000000">
      <w:pPr>
        <w:keepLines/>
      </w:pPr>
      <w:r>
        <w:t>NIST recognizes metadata collection and analysis even when encryption prevents deep inspection (</w:t>
      </w:r>
      <w:hyperlink r:id="rId31" w:history="1">
        <w:r>
          <w:rPr>
            <w:color w:val="222222"/>
            <w:u w:val="single"/>
          </w:rPr>
          <w:t>NIST SP 800-207</w:t>
        </w:r>
      </w:hyperlink>
      <w:hyperlink w:anchor="reference_1" w:history="1">
        <w:r>
          <w:rPr>
            <w:sz w:val="18"/>
            <w:szCs w:val="18"/>
          </w:rPr>
          <w:t xml:space="preserve"> [1]</w:t>
        </w:r>
      </w:hyperlink>
      <w:r>
        <w:t>). Such evidence can complement Falcon and application telemetry, but the architecture must specify the actual collector, analytic, alert owner, and response before describing it as coverage.</w:t>
      </w:r>
    </w:p>
    <w:p w14:paraId="5FD5C088" w14:textId="77777777" w:rsidR="00570780" w:rsidRDefault="00000000">
      <w:pPr>
        <w:pStyle w:val="Heading2"/>
        <w:keepLines/>
      </w:pPr>
      <w:r>
        <w:lastRenderedPageBreak/>
        <w:t>Avoid universal claims about visible metadata</w:t>
      </w:r>
    </w:p>
    <w:p w14:paraId="2648043D" w14:textId="77777777" w:rsidR="00570780" w:rsidRDefault="00000000">
      <w:pPr>
        <w:keepLines/>
      </w:pPr>
      <w:r>
        <w:t>Do not assume certificates, names, or DNS lookups are always visible to a passive network observer. PAN-OS documentation notes that TLS 1.3 encrypts certificate information, limiting no-decryption certificate checks (</w:t>
      </w:r>
      <w:hyperlink r:id="rId32" w:history="1">
        <w:r>
          <w:rPr>
            <w:color w:val="222222"/>
            <w:u w:val="single"/>
          </w:rPr>
          <w:t>Palo Alto decryption profiles</w:t>
        </w:r>
      </w:hyperlink>
      <w:hyperlink w:anchor="reference_2" w:history="1">
        <w:r>
          <w:rPr>
            <w:sz w:val="18"/>
            <w:szCs w:val="18"/>
          </w:rPr>
          <w:t xml:space="preserve"> [2]</w:t>
        </w:r>
      </w:hyperlink>
      <w:r>
        <w:t>). For the evaluated flow, record which metadata is available from the endpoint, resolver, proxy, firewall, or application rather than infer it from protocol labels.</w:t>
      </w:r>
    </w:p>
    <w:p w14:paraId="33D7620A" w14:textId="77777777" w:rsidR="00570780" w:rsidRDefault="00000000">
      <w:pPr>
        <w:keepLines/>
      </w:pPr>
      <w:r>
        <w:t>Network metadata alone should not be credited with identifying the exact sensitive content in an opaque channel. Content-level evidence may instead come from an approved termination point, application/data control, or endpoint instrumentation. Data minimization, tokenization, and field protection are alternative design considerations, not reasons to assume exfiltration risk or audit scope vanishes.</w:t>
      </w:r>
    </w:p>
    <w:p w14:paraId="68D8F737" w14:textId="77777777" w:rsidR="00570780" w:rsidRDefault="00000000">
      <w:pPr>
        <w:pStyle w:val="Heading2"/>
        <w:keepLines/>
      </w:pPr>
      <w:r>
        <w:t>Logging must retain identity and context</w:t>
      </w:r>
    </w:p>
    <w:p w14:paraId="6690F429" w14:textId="77777777" w:rsidR="00570780" w:rsidRDefault="00000000">
      <w:pPr>
        <w:keepLines/>
      </w:pPr>
      <w:r>
        <w:t>The target event record should include stable source/destination identity where available, application and role, environment, tenant/session where relevant, routing domain, observed tuple, translated tuple, enforcement point, rule and action, inspection result, and timestamp. This is a target evidence contract, not a claim that every platform currently exports every field.</w:t>
      </w:r>
    </w:p>
    <w:p w14:paraId="61F3BA69" w14:textId="77777777" w:rsidR="00570780" w:rsidRDefault="00000000">
      <w:pPr>
        <w:keepLines/>
      </w:pPr>
      <w:r>
        <w:t>Test the full path from local decision to SOC action using deliberately duplicated addresses. A successful local block and an ambiguous central alert are different outcomes. An automated response must identify the intended asset and enforcement domain and demonstrate that an unrelated same-IP asset was unaffected.</w:t>
      </w:r>
    </w:p>
    <w:p w14:paraId="5E432F1A" w14:textId="77777777" w:rsidR="00570780" w:rsidRDefault="00000000">
      <w:pPr>
        <w:pStyle w:val="Heading2"/>
        <w:keepLines/>
      </w:pPr>
      <w:r>
        <w:t>Compliance and policy ownership</w:t>
      </w:r>
    </w:p>
    <w:p w14:paraId="5272D3EF" w14:textId="77777777" w:rsidR="00570780" w:rsidRDefault="00000000">
      <w:pPr>
        <w:keepLines/>
      </w:pPr>
      <w:r>
        <w:t>This survey does not assert a universal regulatory obligation to decrypt all traffic or claim that a particular product makes an environment compliant. The compliance program must identify the applicable requirement, data scope, evidence obligation, and acceptable treatment for opaque traffic. Proposed controls should not be called formal compensating controls without the relevant program's approval.</w:t>
      </w:r>
    </w:p>
    <w:p>
      <w:pPr>
        <w:keepLines/>
      </w:pPr>
      <w:r>
        <w:t xml:space="preserve">Inspection exceptions should record the affected application and data, reason, residual risk, alternate evidence, accountable owner, and expiry or review trigger. This keeps a technical limitation from becoming an undocumented permanent bypass.</w:t>
      </w:r>
    </w:p>
    <w:p>
      <w:pPr>
        <w:keepLines/>
      </w:pPr>
      <w:r>
        <w:t xml:space="preserve">For reference, the principal texts do not require network-layer decryption. PCI DSS v4.0.1 is the only active version since v4.0 was retired on 31 December 2024 (</w:t>
      </w:r>
      <w:hyperlink r:id="rId904" w:history="1">
        <w:r>
          <w:rPr>
            <w:color w:val="222222"/>
            <w:u w:val="single"/>
          </w:rPr>
          <w:t xml:space="preserve">PCI SSC</w:t>
        </w:r>
      </w:hyperlink>
      <w:hyperlink w:anchor="reference_25" w:history="1">
        <w:r>
          <w:rPr>
            <w:sz w:val="18"/>
            <w:szCs w:val="18"/>
          </w:rPr>
          <w:t xml:space="preserve"> [25]</w:t>
        </w:r>
      </w:hyperlink>
      <w:r>
        <w:t xml:space="preserve">). Requirement 4.2.1 requires strong cryptography for PAN over open, public networks and 4.2.1.1 an inventory of trusted keys and certificates. Requirement 11.5.1 requires intrusion-detection and/or intrusion-prevention techniques at the CDE perimeter and critical points; 11.5.1.1, an additional requirement for service providers only and mandatory after 31 March 2025, extends them to covert malware communication channels, and its guidance lists real-time endpoint scanning, egress filtering, allow-listing and data loss prevention alongside IDS/IPS, with DNS as a key data source (</w:t>
      </w:r>
      <w:hyperlink r:id="rId905" w:history="1">
        <w:r>
          <w:rPr>
            <w:color w:val="222222"/>
            <w:u w:val="single"/>
          </w:rPr>
          <w:t xml:space="preserve">Requirement 11.5.1.1</w:t>
        </w:r>
      </w:hyperlink>
      <w:hyperlink w:anchor="reference_26" w:history="1">
        <w:r>
          <w:rPr>
            <w:sz w:val="18"/>
            <w:szCs w:val="18"/>
          </w:rPr>
          <w:t xml:space="preserve"> [26]</w:t>
        </w:r>
      </w:hyperlink>
      <w:r>
        <w:t xml:space="preserve">). Whether 11.5.1.1 applies to CVS service-provider entities should be confirmed with the PCI program.</w:t>
      </w:r>
    </w:p>
    <w:p>
      <w:pPr>
        <w:keepLines/>
      </w:pPr>
      <w:r>
        <w:t xml:space="preserve">The current HIPAA Security Rule contains no decryption mandate. The Security Rule NPRM of 6 January 2025 would require encryption of ePHI at rest and in transit, with limited exceptions, and would require network segmentation (</w:t>
      </w:r>
      <w:hyperlink r:id="rId906" w:history="1">
        <w:r>
          <w:rPr>
            <w:color w:val="222222"/>
            <w:u w:val="single"/>
          </w:rPr>
          <w:t xml:space="preserve">HHS NPRM fact sheet</w:t>
        </w:r>
      </w:hyperlink>
      <w:hyperlink w:anchor="reference_27" w:history="1">
        <w:r>
          <w:rPr>
            <w:sz w:val="18"/>
            <w:szCs w:val="18"/>
          </w:rPr>
          <w:t xml:space="preserve"> [27]</w:t>
        </w:r>
      </w:hyperlink>
      <w:r>
        <w:t xml:space="preserve">, </w:t>
      </w:r>
      <w:hyperlink r:id="rId907" w:history="1">
        <w:r>
          <w:rPr>
            <w:color w:val="222222"/>
            <w:u w:val="single"/>
          </w:rPr>
          <w:t xml:space="preserve">90 FR 898</w:t>
        </w:r>
      </w:hyperlink>
      <w:hyperlink w:anchor="reference_28" w:history="1">
        <w:r>
          <w:rPr>
            <w:sz w:val="18"/>
            <w:szCs w:val="18"/>
          </w:rPr>
          <w:t xml:space="preserve"> [28]</w:t>
        </w:r>
      </w:hyperlink>
      <w:r>
        <w:t xml:space="preserve">). It is not final: the mid-2026 Unified Agenda update moved it to long-term actions with final action expected in July 2027, as reported in July 2026 (</w:t>
      </w:r>
      <w:hyperlink r:id="rId908" w:history="1">
        <w:r>
          <w:rPr>
            <w:color w:val="222222"/>
            <w:u w:val="single"/>
          </w:rPr>
          <w:t xml:space="preserve">Clark Hill</w:t>
        </w:r>
      </w:hyperlink>
      <w:hyperlink w:anchor="reference_29" w:history="1">
        <w:r>
          <w:rPr>
            <w:sz w:val="18"/>
            <w:szCs w:val="18"/>
          </w:rPr>
          <w:t xml:space="preserve"> [29]</w:t>
        </w:r>
      </w:hyperlink>
      <w:r>
        <w:t xml:space="preserve">). If finalized as proposed, segmentation becomes an explicit requirement, and mandatory encryption increases the importance of evidence that does not depend on decryption.</w:t>
      </w:r>
    </w:p>
    <w:p>
      <w:pPr>
        <w:keepLines/>
      </w:pPr>
      <w:r>
        <w:t xml:space="preserve">Decryption in this estate is therefore a compensating-control design choice (App-ID, Content-ID and DLP need it to function), not an external mandate, and in practice it is also list-scoped. The remediation path for “our chosen control depends on decryption” differs from the path for “the regulation requires decryption”; conflating them forecloses available options.</w:t>
      </w:r>
    </w:p>
    <w:p w14:paraId="22BFA6C9" w14:textId="77777777" w:rsidR="00570780" w:rsidRDefault="00000000">
      <w:pPr>
        <w:pStyle w:val="Heading1"/>
        <w:keepLines/>
      </w:pPr>
      <w:bookmarkStart w:id="12" w:name="section_12"/>
      <w:r>
        <w:lastRenderedPageBreak/>
        <w:t>COMPARATIVE CONCLUSIONS AND DECISION POSTURE</w:t>
      </w:r>
      <w:bookmarkEnd w:id="12"/>
    </w:p>
    <w:p w14:paraId="2D6E437D" w14:textId="77777777" w:rsidR="00570780" w:rsidRDefault="00000000">
      <w:pPr>
        <w:keepNext/>
        <w:keepLines/>
      </w:pPr>
      <w:r>
        <w:t>The estate needs complementary controls, not a single universal winner. The following positions are survey recommendations for further evaluation; they do not constitute approved procurement or migration decisions.</w:t>
      </w:r>
    </w:p>
    <w:p w14:paraId="7A1FDD69" w14:textId="77777777" w:rsidR="00570780" w:rsidRDefault="00000000">
      <w:pPr>
        <w:keepNext/>
        <w:keepLines/>
        <w:spacing w:before="120" w:after="80"/>
        <w:jc w:val="center"/>
      </w:pPr>
      <w:r>
        <w:rPr>
          <w:i/>
          <w:iCs/>
          <w:sz w:val="20"/>
          <w:szCs w:val="20"/>
        </w:rPr>
        <w:t>Table 4. Comparative conclusions and implementation conditions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340B5BE3"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337DFE88" w14:textId="77777777" w:rsidR="00570780" w:rsidRDefault="00000000">
            <w:pPr>
              <w:keepNext/>
              <w:keepLines/>
              <w:spacing w:after="0" w:line="230" w:lineRule="auto"/>
              <w:jc w:val="left"/>
            </w:pPr>
            <w:r>
              <w:rPr>
                <w:b/>
                <w:bCs/>
                <w:sz w:val="19"/>
                <w:szCs w:val="19"/>
              </w:rPr>
              <w:t>Decision area</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039A64C7" w14:textId="77777777" w:rsidR="00570780" w:rsidRDefault="00000000">
            <w:pPr>
              <w:keepNext/>
              <w:keepLines/>
              <w:spacing w:after="0" w:line="230" w:lineRule="auto"/>
              <w:jc w:val="left"/>
            </w:pPr>
            <w:r>
              <w:rPr>
                <w:b/>
                <w:bCs/>
                <w:sz w:val="19"/>
                <w:szCs w:val="19"/>
              </w:rPr>
              <w:t>Survey position</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5518D0B4" w14:textId="77777777" w:rsidR="00570780" w:rsidRDefault="00000000">
            <w:pPr>
              <w:keepNext/>
              <w:keepLines/>
              <w:spacing w:after="0" w:line="230" w:lineRule="auto"/>
              <w:jc w:val="left"/>
            </w:pPr>
            <w:r>
              <w:rPr>
                <w:b/>
                <w:bCs/>
                <w:sz w:val="19"/>
                <w:szCs w:val="19"/>
              </w:rPr>
              <w:t>Condition before implementation credit</w:t>
            </w:r>
          </w:p>
        </w:tc>
      </w:tr>
      <w:tr w:rsidR="00570780" w14:paraId="35DA9CB5"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2D0ECC8" w14:textId="77777777" w:rsidR="00570780" w:rsidRDefault="00000000">
            <w:pPr>
              <w:keepNext/>
              <w:keepLines/>
              <w:spacing w:after="0" w:line="230" w:lineRule="auto"/>
              <w:jc w:val="left"/>
            </w:pPr>
            <w:r>
              <w:rPr>
                <w:sz w:val="19"/>
                <w:szCs w:val="19"/>
              </w:rPr>
              <w:t>Server-side egress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4187BEB" w14:textId="77777777" w:rsidR="00570780" w:rsidRDefault="00000000">
            <w:pPr>
              <w:keepNext/>
              <w:keepLines/>
              <w:spacing w:after="0" w:line="230" w:lineRule="auto"/>
              <w:jc w:val="left"/>
            </w:pPr>
            <w:r>
              <w:rPr>
                <w:sz w:val="19"/>
                <w:szCs w:val="19"/>
              </w:rPr>
              <w:t>Continue evaluating mandatory inline Palo Alto enforcement with application-specific policies; assess any retained proxy paths on actual behavior.</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A568FE3" w14:textId="77777777" w:rsidR="00570780" w:rsidRDefault="00000000">
            <w:pPr>
              <w:keepNext/>
              <w:keepLines/>
              <w:spacing w:after="0" w:line="230" w:lineRule="auto"/>
              <w:jc w:val="left"/>
            </w:pPr>
            <w:r>
              <w:rPr>
                <w:sz w:val="19"/>
                <w:szCs w:val="19"/>
              </w:rPr>
              <w:t>Proven coverage, required-inspection success, failure handling, and workload attribution.</w:t>
            </w:r>
          </w:p>
        </w:tc>
      </w:tr>
      <w:tr w:rsidR="00570780" w14:paraId="15E0FC7F"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EBA89CC" w14:textId="77777777" w:rsidR="00570780" w:rsidRDefault="00000000">
            <w:pPr>
              <w:keepNext/>
              <w:keepLines/>
              <w:spacing w:after="0" w:line="230" w:lineRule="auto"/>
              <w:jc w:val="left"/>
            </w:pPr>
            <w:r>
              <w:rPr>
                <w:sz w:val="19"/>
                <w:szCs w:val="19"/>
              </w:rPr>
              <w:t>Unisys Stealth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54519DE" w14:textId="77777777" w:rsidR="00570780" w:rsidRDefault="00000000">
            <w:pPr>
              <w:keepNext/>
              <w:keepLines/>
              <w:spacing w:after="0" w:line="230" w:lineRule="auto"/>
              <w:jc w:val="left"/>
            </w:pPr>
            <w:r>
              <w:rPr>
                <w:sz w:val="19"/>
                <w:szCs w:val="19"/>
              </w:rPr>
              <w:t>Strong architectural candidate for preventive isolation of distributed traditional applications.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6FE53C7" w14:textId="77777777" w:rsidR="00570780" w:rsidRDefault="00000000">
            <w:pPr>
              <w:keepNext/>
              <w:keepLines/>
              <w:spacing w:after="0" w:line="230" w:lineRule="auto"/>
              <w:jc w:val="left"/>
            </w:pPr>
            <w:r>
              <w:rPr>
                <w:sz w:val="19"/>
                <w:szCs w:val="19"/>
              </w:rPr>
              <w:t>Supported implementation, precise membership/routing behavior, inspection boundaries, and operational evidence.</w:t>
            </w:r>
          </w:p>
        </w:tc>
      </w:tr>
      <w:tr w:rsidR="00570780" w14:paraId="6535CF2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34349B5" w14:textId="77777777" w:rsidR="00570780" w:rsidRDefault="00000000">
            <w:pPr>
              <w:keepNext/>
              <w:keepLines/>
              <w:spacing w:after="0" w:line="230" w:lineRule="auto"/>
              <w:jc w:val="left"/>
            </w:pPr>
            <w:r>
              <w:rPr>
                <w:sz w:val="19"/>
                <w:szCs w:val="19"/>
              </w:rPr>
              <w:t>Edgewise approach</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76FA015" w14:textId="77777777" w:rsidR="00570780" w:rsidRDefault="00000000">
            <w:pPr>
              <w:keepNext/>
              <w:keepLines/>
              <w:spacing w:after="0" w:line="230" w:lineRule="auto"/>
              <w:jc w:val="left"/>
            </w:pPr>
            <w:r>
              <w:rPr>
                <w:sz w:val="19"/>
                <w:szCs w:val="19"/>
              </w:rPr>
              <w:t>Attractive software-identity alternative; separate from Zscaler proxy/ZTNA.</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05D453C" w14:textId="77777777" w:rsidR="00570780" w:rsidRDefault="00000000">
            <w:pPr>
              <w:keepNext/>
              <w:keepLines/>
              <w:spacing w:after="0" w:line="230" w:lineRule="auto"/>
              <w:jc w:val="left"/>
            </w:pPr>
            <w:r>
              <w:rPr>
                <w:sz w:val="19"/>
                <w:szCs w:val="19"/>
              </w:rPr>
              <w:t xml:space="preserve">Initiator and destination identity coverage, supported components, and explicit treatment of uninstrumented peers.</w:t>
            </w:r>
          </w:p>
        </w:tc>
      </w:tr>
      <w:tr w:rsidR="00570780" w14:paraId="5232C750"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C5932DB" w14:textId="77777777" w:rsidR="00570780" w:rsidRDefault="00000000">
            <w:pPr>
              <w:keepNext/>
              <w:keepLines/>
              <w:spacing w:after="0" w:line="230" w:lineRule="auto"/>
              <w:jc w:val="left"/>
            </w:pPr>
            <w:r>
              <w:rPr>
                <w:sz w:val="19"/>
                <w:szCs w:val="19"/>
              </w:rPr>
              <w:t>Illumio P1 baseline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500E907" w14:textId="77777777" w:rsidR="00570780" w:rsidRDefault="00000000">
            <w:pPr>
              <w:keepNext/>
              <w:keepLines/>
              <w:spacing w:after="0" w:line="230" w:lineRule="auto"/>
              <w:jc w:val="left"/>
            </w:pPr>
            <w:r>
              <w:rPr>
                <w:sz w:val="19"/>
                <w:szCs w:val="19"/>
              </w:rPr>
              <w:t>Measure and retain effective current controls while considering extension or replacement.</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EF899D7" w14:textId="77777777" w:rsidR="00570780" w:rsidRDefault="00000000">
            <w:pPr>
              <w:keepNext/>
              <w:keepLines/>
              <w:spacing w:after="0" w:line="230" w:lineRule="auto"/>
              <w:jc w:val="left"/>
            </w:pPr>
            <w:r>
              <w:rPr>
                <w:sz w:val="19"/>
                <w:szCs w:val="19"/>
              </w:rPr>
              <w:t>Actual dependency restrictions, overlap-safe exports, and incremental benefit of proposed changes.</w:t>
            </w:r>
          </w:p>
        </w:tc>
      </w:tr>
      <w:tr w:rsidR="00570780"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textId="77777777" w:rsidR="00570780" w:rsidRDefault="00000000">
            <w:pPr>
              <w:keepNext/>
              <w:keepLines/>
              <w:spacing w:after="0" w:line="230" w:lineRule="auto"/>
              <w:jc w:val="left"/>
            </w:pPr>
            <w:r>
              <w:rPr>
                <w:sz w:val="19"/>
                <w:szCs w:val="19"/>
              </w:rPr>
              <w:t xml:space="preserve">Forescout / MDM / Claroty baseline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textId="77777777" w:rsidR="00570780" w:rsidRDefault="00000000">
            <w:pPr>
              <w:keepNext/>
              <w:keepLines/>
              <w:spacing w:after="0" w:line="230" w:lineRule="auto"/>
              <w:jc w:val="left"/>
            </w:pPr>
            <w:r>
              <w:rPr>
                <w:sz w:val="19"/>
                <w:szCs w:val="19"/>
              </w:rPr>
              <w:t xml:space="preserve">Current approach for device admission and IoT/agent-incapable enforcement; Forescout MAB in development and Claroty integration not yet implemented.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textId="77777777" w:rsidR="00570780" w:rsidRDefault="00000000">
            <w:pPr>
              <w:keepNext/>
              <w:keepLines/>
              <w:spacing w:after="0" w:line="230" w:lineRule="auto"/>
              <w:jc w:val="left"/>
            </w:pPr>
            <w:r>
              <w:rPr>
                <w:sz w:val="19"/>
                <w:szCs w:val="19"/>
              </w:rPr>
              <w:t xml:space="preserve">Completed MAB deployment, Claroty integration path and support, actual enforcement scope, and overlap-safe context exported to Palo Alto and SIEM.</w:t>
            </w:r>
          </w:p>
        </w:tc>
      </w:tr>
      <w:tr w:rsidR="00570780" w14:paraId="56D1C36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1152BCC" w14:textId="77777777" w:rsidR="00570780" w:rsidRDefault="00000000">
            <w:pPr>
              <w:keepNext/>
              <w:keepLines/>
              <w:spacing w:after="0" w:line="230" w:lineRule="auto"/>
              <w:jc w:val="left"/>
            </w:pPr>
            <w:r>
              <w:rPr>
                <w:sz w:val="19"/>
                <w:szCs w:val="19"/>
              </w:rPr>
              <w:t>Other host/infrastructure models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43DDB85" w14:textId="77777777" w:rsidR="00570780" w:rsidRDefault="00000000">
            <w:pPr>
              <w:keepNext/>
              <w:keepLines/>
              <w:spacing w:after="0" w:line="230" w:lineRule="auto"/>
              <w:jc w:val="left"/>
            </w:pPr>
            <w:r>
              <w:rPr>
                <w:sz w:val="19"/>
                <w:szCs w:val="19"/>
              </w:rPr>
              <w:t>Retain where a specific coverage or operational requirement justifies evaluation.</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41B4FD0" w14:textId="77777777" w:rsidR="00570780" w:rsidRDefault="00000000">
            <w:pPr>
              <w:keepNext/>
              <w:keepLines/>
              <w:spacing w:after="0" w:line="230" w:lineRule="auto"/>
              <w:jc w:val="left"/>
            </w:pPr>
            <w:r>
              <w:rPr>
                <w:sz w:val="19"/>
                <w:szCs w:val="19"/>
              </w:rPr>
              <w:t>Demonstrated advantage and manageable coexistence, not feature-count superiority.</w:t>
            </w:r>
          </w:p>
        </w:tc>
      </w:tr>
      <w:tr w:rsidR="00570780" w14:paraId="57CEB372"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841362E" w14:textId="77777777" w:rsidR="00570780" w:rsidRDefault="00000000">
            <w:pPr>
              <w:keepNext/>
              <w:keepLines/>
              <w:spacing w:after="0" w:line="230" w:lineRule="auto"/>
              <w:jc w:val="left"/>
            </w:pPr>
            <w:r>
              <w:rPr>
                <w:sz w:val="19"/>
                <w:szCs w:val="19"/>
              </w:rPr>
              <w:t>Containers and serverless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8C869AB" w14:textId="77777777" w:rsidR="00570780" w:rsidRDefault="00000000">
            <w:pPr>
              <w:keepNext/>
              <w:keepLines/>
              <w:spacing w:after="0" w:line="230" w:lineRule="auto"/>
              <w:jc w:val="left"/>
            </w:pPr>
            <w:r>
              <w:rPr>
                <w:sz w:val="19"/>
                <w:szCs w:val="19"/>
              </w:rPr>
              <w:t>Start with native delivery/runtime controls and explicit egress boundaries.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B8A6844" w14:textId="77777777" w:rsidR="00570780" w:rsidRDefault="00000000">
            <w:pPr>
              <w:keepNext/>
              <w:keepLines/>
              <w:spacing w:after="0" w:line="230" w:lineRule="auto"/>
              <w:jc w:val="left"/>
            </w:pPr>
            <w:r>
              <w:rPr>
                <w:sz w:val="19"/>
                <w:szCs w:val="19"/>
              </w:rPr>
              <w:t>Enforced default posture, tenant separation, lifecycle correctness, and working detection/evidence.</w:t>
            </w:r>
          </w:p>
        </w:tc>
      </w:tr>
      <w:tr w:rsidR="00570780" w14:paraId="6706FD0B"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FC705D7" w14:textId="77777777" w:rsidR="00570780" w:rsidRDefault="00000000">
            <w:pPr>
              <w:keepLines/>
              <w:spacing w:after="0" w:line="230" w:lineRule="auto"/>
              <w:jc w:val="left"/>
            </w:pPr>
            <w:r>
              <w:rPr>
                <w:sz w:val="19"/>
                <w:szCs w:val="19"/>
              </w:rPr>
              <w:t>Detection and SOC</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0137D264" w14:textId="77777777" w:rsidR="00570780" w:rsidRDefault="00000000">
            <w:pPr>
              <w:keepLines/>
              <w:spacing w:after="0" w:line="230" w:lineRule="auto"/>
              <w:jc w:val="left"/>
            </w:pPr>
            <w:r>
              <w:rPr>
                <w:sz w:val="19"/>
                <w:szCs w:val="19"/>
              </w:rPr>
              <w:t>Treat Falcon as the identified current anchor, not proof of estate-wide coverage.</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558EEC2A" w14:textId="77777777" w:rsidR="00570780" w:rsidRDefault="00000000">
            <w:pPr>
              <w:keepLines/>
              <w:spacing w:after="0" w:line="230" w:lineRule="auto"/>
              <w:jc w:val="left"/>
            </w:pPr>
            <w:r>
              <w:rPr>
                <w:sz w:val="19"/>
                <w:szCs w:val="19"/>
              </w:rPr>
              <w:t>Explicit coverage map and tested supplemental detection/response for gaps.</w:t>
            </w:r>
          </w:p>
        </w:tc>
      </w:tr>
    </w:tbl>
    <w:p w14:paraId="122688FC" w14:textId="77777777" w:rsidR="00570780" w:rsidRDefault="00570780">
      <w:pPr>
        <w:spacing w:after="80" w:line="80" w:lineRule="auto"/>
      </w:pPr>
    </w:p>
    <w:p w14:paraId="6B61D3EE" w14:textId="77777777" w:rsidR="00570780" w:rsidRDefault="00000000">
      <w:pPr>
        <w:keepLines/>
      </w:pPr>
      <w:r>
        <w:t>The missing comprehensive architecture remains a transition risk. It does not invalidate this survey, but it prevents the recommendations from being represented as an integrated operating design. Each program must state what it supplies, what it consumes from another program, and what remains unimplemented.</w:t>
      </w:r>
    </w:p>
    <w:p w14:paraId="230C4DFE" w14:textId="77777777" w:rsidR="00570780" w:rsidRDefault="00000000">
      <w:pPr>
        <w:pStyle w:val="Heading1"/>
        <w:keepLines/>
      </w:pPr>
      <w:bookmarkStart w:id="13" w:name="section_13"/>
      <w:r>
        <w:lastRenderedPageBreak/>
        <w:t>VALIDATION GATES FOR A REPRESENTATIVE PILOT</w:t>
      </w:r>
      <w:bookmarkEnd w:id="13"/>
    </w:p>
    <w:p w14:paraId="2A18DEEB" w14:textId="77777777" w:rsidR="00570780" w:rsidRDefault="00000000">
      <w:pPr>
        <w:keepNext/>
        <w:keepLines/>
      </w:pPr>
      <w:r>
        <w:t>Use a small representative application set rather than another inventory-only exercise: a distributed P1 tiered application, a Citrix-to-backend path, a tenant-shared Envoy/Kubernetes application, and an agent-incapable or managed-service dependency. Include duplicate address space and at least one inspected external dependency. Safe synthetic tests should run under approved change and incident-response procedures.</w:t>
      </w:r>
    </w:p>
    <w:p w14:paraId="172CA874" w14:textId="77777777" w:rsidR="00570780" w:rsidRDefault="00000000">
      <w:pPr>
        <w:keepNext/>
        <w:keepLines/>
        <w:spacing w:before="120" w:after="80"/>
        <w:jc w:val="center"/>
      </w:pPr>
      <w:r>
        <w:rPr>
          <w:i/>
          <w:iCs/>
          <w:sz w:val="20"/>
          <w:szCs w:val="20"/>
        </w:rPr>
        <w:t>Table 5. Pilot validation gates</w:t>
      </w:r>
    </w:p>
    <w:tbl>
      <w:tblPr>
        <w:tblW w:w="892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3414"/>
        <w:gridCol w:w="3414"/>
      </w:tblGrid>
      <w:tr w:rsidR="00570780" w14:paraId="0186E02C" w14:textId="77777777">
        <w:tblPrEx>
          <w:tblCellMar>
            <w:top w:w="0" w:type="dxa"/>
            <w:bottom w:w="0" w:type="dxa"/>
          </w:tblCellMar>
        </w:tblPrEx>
        <w:trPr>
          <w:cantSplit/>
          <w:tblHeader/>
        </w:trPr>
        <w:tc>
          <w:tcPr>
            <w:tcW w:w="2100"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27471DC5" w14:textId="77777777" w:rsidR="00570780" w:rsidRDefault="00000000">
            <w:pPr>
              <w:keepNext/>
              <w:keepLines/>
              <w:spacing w:after="0" w:line="230" w:lineRule="auto"/>
              <w:jc w:val="left"/>
            </w:pPr>
            <w:r>
              <w:rPr>
                <w:b/>
                <w:bCs/>
                <w:sz w:val="19"/>
                <w:szCs w:val="19"/>
              </w:rPr>
              <w:t>Gate</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6E4DC7CF" w14:textId="77777777" w:rsidR="00570780" w:rsidRDefault="00000000">
            <w:pPr>
              <w:keepNext/>
              <w:keepLines/>
              <w:spacing w:after="0" w:line="230" w:lineRule="auto"/>
              <w:jc w:val="left"/>
            </w:pPr>
            <w:r>
              <w:rPr>
                <w:b/>
                <w:bCs/>
                <w:sz w:val="19"/>
                <w:szCs w:val="19"/>
              </w:rPr>
              <w:t>Demonstration required</w:t>
            </w:r>
          </w:p>
        </w:tc>
        <w:tc>
          <w:tcPr>
            <w:tcW w:w="3414" w:type="dxa"/>
            <w:tcBorders>
              <w:top w:val="single" w:sz="12" w:space="0" w:color="000000"/>
              <w:left w:val="none" w:sz="0" w:space="0" w:color="FFFFFF"/>
              <w:bottom w:val="single" w:sz="6" w:space="0" w:color="000000"/>
              <w:right w:val="none" w:sz="0" w:space="0" w:color="FFFFFF"/>
            </w:tcBorders>
            <w:tcMar>
              <w:top w:w="65" w:type="dxa"/>
              <w:left w:w="85" w:type="dxa"/>
              <w:bottom w:w="65" w:type="dxa"/>
              <w:right w:w="85" w:type="dxa"/>
            </w:tcMar>
          </w:tcPr>
          <w:p w14:paraId="38F747B6" w14:textId="77777777" w:rsidR="00570780" w:rsidRDefault="00000000">
            <w:pPr>
              <w:keepNext/>
              <w:keepLines/>
              <w:spacing w:after="0" w:line="230" w:lineRule="auto"/>
              <w:jc w:val="left"/>
            </w:pPr>
            <w:r>
              <w:rPr>
                <w:b/>
                <w:bCs/>
                <w:sz w:val="19"/>
                <w:szCs w:val="19"/>
              </w:rPr>
              <w:t>Evidence owner and decision</w:t>
            </w:r>
          </w:p>
        </w:tc>
      </w:tr>
      <w:tr w:rsidR="00570780" w14:paraId="4062CABB"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E529D4D" w14:textId="77777777" w:rsidR="00570780" w:rsidRDefault="00000000">
            <w:pPr>
              <w:keepNext/>
              <w:keepLines/>
              <w:spacing w:after="0" w:line="230" w:lineRule="auto"/>
              <w:jc w:val="left"/>
            </w:pPr>
            <w:r>
              <w:rPr>
                <w:sz w:val="19"/>
                <w:szCs w:val="19"/>
              </w:rPr>
              <w:t>Identity and scope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26957FC" w14:textId="77777777" w:rsidR="00570780" w:rsidRDefault="00000000">
            <w:pPr>
              <w:keepNext/>
              <w:keepLines/>
              <w:spacing w:after="0" w:line="230" w:lineRule="auto"/>
              <w:jc w:val="left"/>
            </w:pPr>
            <w:r>
              <w:rPr>
                <w:sz w:val="19"/>
                <w:szCs w:val="19"/>
              </w:rPr>
              <w:t>Distinguish same-IP assets, application roles, environments, and tenant/session subjects where required.</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E6128B1" w14:textId="77777777" w:rsidR="00570780" w:rsidRDefault="00000000">
            <w:pPr>
              <w:keepNext/>
              <w:keepLines/>
              <w:spacing w:after="0" w:line="230" w:lineRule="auto"/>
              <w:jc w:val="left"/>
            </w:pPr>
            <w:r>
              <w:rPr>
                <w:sz w:val="19"/>
                <w:szCs w:val="19"/>
              </w:rPr>
              <w:t>Architecture/application owners accept the identity and dependency model.</w:t>
            </w:r>
          </w:p>
        </w:tc>
      </w:tr>
      <w:tr w:rsidR="00570780" w14:paraId="123CE6D1"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29084183" w14:textId="77777777" w:rsidR="00570780" w:rsidRDefault="00000000">
            <w:pPr>
              <w:keepNext/>
              <w:keepLines/>
              <w:spacing w:after="0" w:line="230" w:lineRule="auto"/>
              <w:jc w:val="left"/>
            </w:pPr>
            <w:r>
              <w:rPr>
                <w:sz w:val="19"/>
                <w:szCs w:val="19"/>
              </w:rPr>
              <w:t>Preventive boundary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3CC60B04" w14:textId="77777777" w:rsidR="00570780" w:rsidRDefault="00000000">
            <w:pPr>
              <w:keepNext/>
              <w:keepLines/>
              <w:spacing w:after="0" w:line="230" w:lineRule="auto"/>
              <w:jc w:val="left"/>
            </w:pPr>
            <w:r>
              <w:rPr>
                <w:sz w:val="19"/>
                <w:szCs w:val="19"/>
              </w:rPr>
              <w:t>Block unauthorized cross-tier, cross-community, and cross-tenant paths while preserving approved dependencies.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4A17CC9" w14:textId="77777777" w:rsidR="00570780" w:rsidRDefault="00000000">
            <w:pPr>
              <w:keepNext/>
              <w:keepLines/>
              <w:spacing w:after="0" w:line="230" w:lineRule="auto"/>
              <w:jc w:val="left"/>
            </w:pPr>
            <w:r>
              <w:rPr>
                <w:sz w:val="19"/>
                <w:szCs w:val="19"/>
              </w:rPr>
              <w:t>Segmentation/platform team demonstrates effective rules and negative tests.</w:t>
            </w:r>
          </w:p>
        </w:tc>
      </w:tr>
      <w:tr w:rsidR="00570780" w14:paraId="58A86F5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56F9174" w14:textId="77777777" w:rsidR="00570780" w:rsidRDefault="00000000">
            <w:pPr>
              <w:keepNext/>
              <w:keepLines/>
              <w:spacing w:after="0" w:line="230" w:lineRule="auto"/>
              <w:jc w:val="left"/>
            </w:pPr>
            <w:r>
              <w:rPr>
                <w:sz w:val="19"/>
                <w:szCs w:val="19"/>
              </w:rPr>
              <w:t>Allowed-path abuse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42BEB73" w14:textId="77777777" w:rsidR="00570780" w:rsidRDefault="00000000">
            <w:pPr>
              <w:keepNext/>
              <w:keepLines/>
              <w:spacing w:after="0" w:line="230" w:lineRule="auto"/>
              <w:jc w:val="left"/>
            </w:pPr>
            <w:r>
              <w:rPr>
                <w:sz w:val="19"/>
                <w:szCs w:val="19"/>
              </w:rPr>
              <w:t xml:space="preserve">Exercise a safe test over an authorized path and show which detector identifies it, or document the detection gap.</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3F49297" w14:textId="77777777" w:rsidR="00570780" w:rsidRDefault="00000000">
            <w:pPr>
              <w:keepNext/>
              <w:keepLines/>
              <w:spacing w:after="0" w:line="230" w:lineRule="auto"/>
              <w:jc w:val="left"/>
            </w:pPr>
            <w:r>
              <w:rPr>
                <w:sz w:val="19"/>
                <w:szCs w:val="19"/>
              </w:rPr>
              <w:t>SOC and application security accept coverage and residual risk.</w:t>
            </w:r>
          </w:p>
        </w:tc>
      </w:tr>
      <w:tr w:rsidR="00570780" w14:paraId="0D7C7DDC"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50C43731" w14:textId="77777777" w:rsidR="00570780" w:rsidRDefault="00000000">
            <w:pPr>
              <w:keepNext/>
              <w:keepLines/>
              <w:spacing w:after="0" w:line="230" w:lineRule="auto"/>
              <w:jc w:val="left"/>
            </w:pPr>
            <w:r>
              <w:rPr>
                <w:sz w:val="19"/>
                <w:szCs w:val="19"/>
              </w:rPr>
              <w:t>Egress and TLS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28643CC" w14:textId="77777777" w:rsidR="00570780" w:rsidRDefault="00000000">
            <w:pPr>
              <w:keepNext/>
              <w:keepLines/>
              <w:spacing w:after="0" w:line="230" w:lineRule="auto"/>
              <w:jc w:val="left"/>
            </w:pPr>
            <w:r>
              <w:rPr>
                <w:sz w:val="19"/>
                <w:szCs w:val="19"/>
              </w:rPr>
              <w:t xml:space="preserve">Demonstrate mandatory routing, successful required inspection, and explicit unsupported/pinned/mTLS handling.</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3E3994A" w14:textId="77777777" w:rsidR="00570780" w:rsidRDefault="00000000">
            <w:pPr>
              <w:keepNext/>
              <w:keepLines/>
              <w:spacing w:after="0" w:line="230" w:lineRule="auto"/>
              <w:jc w:val="left"/>
            </w:pPr>
            <w:r>
              <w:rPr>
                <w:sz w:val="19"/>
                <w:szCs w:val="19"/>
              </w:rPr>
              <w:t>Network security accepts the inspection and exception evidence.</w:t>
            </w:r>
          </w:p>
        </w:tc>
      </w:tr>
      <w:tr w:rsidR="00570780" w14:paraId="707293FD"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BF50974" w14:textId="77777777" w:rsidR="00570780" w:rsidRDefault="00000000">
            <w:pPr>
              <w:keepNext/>
              <w:keepLines/>
              <w:spacing w:after="0" w:line="230" w:lineRule="auto"/>
              <w:jc w:val="left"/>
            </w:pPr>
            <w:r>
              <w:rPr>
                <w:sz w:val="19"/>
                <w:szCs w:val="19"/>
              </w:rPr>
              <w:t>Trust change</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0278B19D" w14:textId="77777777" w:rsidR="00570780" w:rsidRDefault="00000000">
            <w:pPr>
              <w:keepNext/>
              <w:keepLines/>
              <w:spacing w:after="0" w:line="230" w:lineRule="auto"/>
              <w:jc w:val="left"/>
            </w:pPr>
            <w:r>
              <w:rPr>
                <w:sz w:val="19"/>
                <w:szCs w:val="19"/>
              </w:rPr>
              <w:t>Change a relevant posture, identity, or membership condition and test new and established sessions.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6B427AEC" w14:textId="77777777" w:rsidR="00570780" w:rsidRDefault="00000000">
            <w:pPr>
              <w:keepNext/>
              <w:keepLines/>
              <w:spacing w:after="0" w:line="230" w:lineRule="auto"/>
              <w:jc w:val="left"/>
            </w:pPr>
            <w:r>
              <w:rPr>
                <w:sz w:val="19"/>
                <w:szCs w:val="19"/>
              </w:rPr>
              <w:t>IAM/endpoint/platform owners accept measured revocation behavior.</w:t>
            </w:r>
          </w:p>
        </w:tc>
      </w:tr>
      <w:tr w:rsidR="00570780" w14:paraId="467F7D37"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76A4432C" w14:textId="77777777" w:rsidR="00570780" w:rsidRDefault="00000000">
            <w:pPr>
              <w:keepNext/>
              <w:keepLines/>
              <w:spacing w:after="0" w:line="230" w:lineRule="auto"/>
              <w:jc w:val="left"/>
            </w:pPr>
            <w:r>
              <w:rPr>
                <w:sz w:val="19"/>
                <w:szCs w:val="19"/>
              </w:rPr>
              <w:t>Failure and recovery</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16B1EF57" w14:textId="77777777" w:rsidR="00570780" w:rsidRDefault="00000000">
            <w:pPr>
              <w:keepNext/>
              <w:keepLines/>
              <w:spacing w:after="0" w:line="230" w:lineRule="auto"/>
              <w:jc w:val="left"/>
            </w:pPr>
            <w:r>
              <w:rPr>
                <w:sz w:val="19"/>
                <w:szCs w:val="19"/>
              </w:rPr>
              <w:t>Test control-plane loss, agent/gateway failure, capacity pressure, failover, policy rollback, and break-glass access.</w:t>
            </w:r>
          </w:p>
        </w:tc>
        <w:tc>
          <w:tcPr>
            <w:tcW w:w="3414" w:type="dxa"/>
            <w:tcBorders>
              <w:top w:val="none" w:sz="0" w:space="0" w:color="FFFFFF"/>
              <w:left w:val="none" w:sz="0" w:space="0" w:color="FFFFFF"/>
              <w:bottom w:val="none" w:sz="0" w:space="0" w:color="FFFFFF"/>
              <w:right w:val="none" w:sz="0" w:space="0" w:color="FFFFFF"/>
            </w:tcBorders>
            <w:tcMar>
              <w:top w:w="65" w:type="dxa"/>
              <w:left w:w="85" w:type="dxa"/>
              <w:bottom w:w="65" w:type="dxa"/>
              <w:right w:w="85" w:type="dxa"/>
            </w:tcMar>
          </w:tcPr>
          <w:p w14:paraId="433795ED" w14:textId="77777777" w:rsidR="00570780" w:rsidRDefault="00000000">
            <w:pPr>
              <w:keepNext/>
              <w:keepLines/>
              <w:spacing w:after="0" w:line="230" w:lineRule="auto"/>
              <w:jc w:val="left"/>
            </w:pPr>
            <w:r>
              <w:rPr>
                <w:sz w:val="19"/>
                <w:szCs w:val="19"/>
              </w:rPr>
              <w:t xml:space="preserve">Operations accepts availability and recovery behavior.</w:t>
            </w:r>
          </w:p>
        </w:tc>
      </w:tr>
      <w:tr w:rsidR="00570780" w14:paraId="380A2726" w14:textId="77777777">
        <w:tblPrEx>
          <w:tblCellMar>
            <w:top w:w="0" w:type="dxa"/>
            <w:bottom w:w="0" w:type="dxa"/>
          </w:tblCellMar>
        </w:tblPrEx>
        <w:trPr>
          <w:cantSplit/>
        </w:trPr>
        <w:tc>
          <w:tcPr>
            <w:tcW w:w="2100"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23F371D6" w14:textId="77777777" w:rsidR="00570780" w:rsidRDefault="00000000">
            <w:pPr>
              <w:keepLines/>
              <w:spacing w:after="0" w:line="230" w:lineRule="auto"/>
              <w:jc w:val="left"/>
            </w:pPr>
            <w:r>
              <w:rPr>
                <w:sz w:val="19"/>
                <w:szCs w:val="19"/>
              </w:rPr>
              <w:t>Attribution and response</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4D62E3D3" w14:textId="77777777" w:rsidR="00570780" w:rsidRDefault="00000000">
            <w:pPr>
              <w:keepLines/>
              <w:spacing w:after="0" w:line="230" w:lineRule="auto"/>
              <w:jc w:val="left"/>
            </w:pPr>
            <w:r>
              <w:rPr>
                <w:sz w:val="19"/>
                <w:szCs w:val="19"/>
              </w:rPr>
              <w:t>Alert and contain the intended asset without affecting another asset sharing its IP.</w:t>
            </w:r>
          </w:p>
        </w:tc>
        <w:tc>
          <w:tcPr>
            <w:tcW w:w="3414" w:type="dxa"/>
            <w:tcBorders>
              <w:top w:val="none" w:sz="0" w:space="0" w:color="FFFFFF"/>
              <w:left w:val="none" w:sz="0" w:space="0" w:color="FFFFFF"/>
              <w:bottom w:val="single" w:sz="12" w:space="0" w:color="000000"/>
              <w:right w:val="none" w:sz="0" w:space="0" w:color="FFFFFF"/>
            </w:tcBorders>
            <w:tcMar>
              <w:top w:w="65" w:type="dxa"/>
              <w:left w:w="85" w:type="dxa"/>
              <w:bottom w:w="65" w:type="dxa"/>
              <w:right w:w="85" w:type="dxa"/>
            </w:tcMar>
          </w:tcPr>
          <w:p w14:paraId="65CB019F" w14:textId="77777777" w:rsidR="00570780" w:rsidRDefault="00000000">
            <w:pPr>
              <w:keepLines/>
              <w:spacing w:after="0" w:line="230" w:lineRule="auto"/>
              <w:jc w:val="left"/>
            </w:pPr>
            <w:r>
              <w:rPr>
                <w:sz w:val="19"/>
                <w:szCs w:val="19"/>
              </w:rPr>
              <w:t>SOC and enforcement owners accept end-to-end targeting evidence.</w:t>
            </w:r>
          </w:p>
        </w:tc>
      </w:tr>
    </w:tbl>
    <w:p w14:paraId="788CB657" w14:textId="77777777" w:rsidR="00570780" w:rsidRDefault="00570780">
      <w:pPr>
        <w:spacing w:after="80" w:line="80" w:lineRule="auto"/>
      </w:pPr>
    </w:p>
    <w:p w14:paraId="493C2A21" w14:textId="77777777" w:rsidR="00570780" w:rsidRDefault="00000000">
      <w:pPr>
        <w:keepLines/>
      </w:pPr>
      <w:r>
        <w:t>Set acceptance thresholds before execution, including maximum acceptable policy/revocation propagation, allowable outage, and mandatory event fields. No numerical thresholds are invented in this survey. Unmet gates remain explicit limitations rather than being averaged away by a feature score.</w:t>
      </w:r>
    </w:p>
    <w:p w14:paraId="24291E04" w14:textId="77777777" w:rsidR="00570780" w:rsidRDefault="00000000">
      <w:pPr>
        <w:pStyle w:val="Heading1"/>
        <w:keepLines/>
        <w:pageBreakBefore/>
      </w:pPr>
      <w:bookmarkStart w:id="14" w:name="section_14"/>
      <w:r>
        <w:lastRenderedPageBreak/>
        <w:t>APPENDIX: SUPPLIED EVIDENCE AND INTERPRETATION LIMITS</w:t>
      </w:r>
      <w:bookmarkEnd w:id="14"/>
    </w:p>
    <w:p w14:paraId="587133C0" w14:textId="77777777" w:rsidR="00570780" w:rsidRDefault="00000000">
      <w:pPr>
        <w:pStyle w:val="Heading2"/>
        <w:keepLines/>
      </w:pPr>
      <w:r>
        <w:t xml:space="preserve">Direct evidence register</w:t>
      </w:r>
    </w:p>
    <w:p w14:paraId="09DB44B7" w14:textId="77777777" w:rsidR="00570780" w:rsidRDefault="00000000">
      <w:pPr>
        <w:pStyle w:val="ListParagraph"/>
        <w:keepLines/>
        <w:numPr>
          <w:ilvl w:val="0"/>
          <w:numId w:val="2"/>
        </w:numPr>
        <w:spacing w:after="90"/>
      </w:pPr>
      <w:r>
        <w:rPr>
          <w:b/>
          <w:bCs/>
        </w:rPr>
        <w:t>Original survey v1.1:</w:t>
      </w:r>
      <w:r>
        <w:t xml:space="preserve"> Establishes prior structure, claims, and inherited configuration findings. Its configuration findings were re-examined against the raw exports for version 2.2; see the proxy and firewall evidence register.</w:t>
      </w:r>
    </w:p>
    <w:p w14:paraId="3BE7CC8A" w14:textId="77777777" w:rsidR="00570780" w:rsidRDefault="00000000">
      <w:pPr>
        <w:pStyle w:val="ListParagraph"/>
        <w:keepLines/>
        <w:numPr>
          <w:ilvl w:val="0"/>
          <w:numId w:val="2"/>
        </w:numPr>
        <w:spacing w:after="90"/>
      </w:pPr>
      <w:r>
        <w:rPr>
          <w:b/>
          <w:bCs/>
        </w:rPr>
        <w:t>Zscaler policy export, 27 May 2026:</w:t>
      </w:r>
      <w:r>
        <w:t xml:space="preserve"> Direct evidence of SSL/TLS rule order, actions, scopes, and settings in the supplied snapshot. Pages 121–123 and 130 are the principal inspection references.</w:t>
      </w:r>
    </w:p>
    <w:p w14:paraId="469E9C7B" w14:textId="77777777" w:rsidR="00570780" w:rsidRDefault="00000000">
      <w:pPr>
        <w:pStyle w:val="ListParagraph"/>
        <w:keepLines/>
        <w:numPr>
          <w:ilvl w:val="0"/>
          <w:numId w:val="2"/>
        </w:numPr>
        <w:spacing w:after="90"/>
      </w:pPr>
      <w:r>
        <w:rPr>
          <w:b/>
          <w:bCs/>
        </w:rPr>
        <w:t xml:space="preserve">Domain blocklist:</w:t>
      </w:r>
      <w:r>
        <w:t xml:space="preserve"> Destination-control artifact. No inference of transaction inspection or detection coverage is made from its size or contents.</w:t>
      </w:r>
    </w:p>
    <w:p w14:paraId="4DE5E610" w14:textId="77777777" w:rsidR="00570780" w:rsidRDefault="00000000">
      <w:pPr>
        <w:pStyle w:val="ListParagraph"/>
        <w:keepLines/>
        <w:numPr>
          <w:ilvl w:val="0"/>
          <w:numId w:val="2"/>
        </w:numPr>
        <w:spacing w:after="90"/>
      </w:pPr>
      <w:r>
        <w:rPr>
          <w:b/>
          <w:bCs/>
        </w:rPr>
        <w:t>Retail NAT pattern and store addressing workbook:</w:t>
      </w:r>
      <w:r>
        <w:t xml:space="preserve"> Evidence of naming/address-role patterns and inventory assignments. They do not establish live NAT session mappings.</w:t>
      </w:r>
    </w:p>
    <w:p w14:paraId="07B7C351" w14:textId="77777777" w:rsidR="00570780" w:rsidRDefault="00000000">
      <w:pPr>
        <w:pStyle w:val="ListParagraph"/>
        <w:keepLines/>
        <w:numPr>
          <w:ilvl w:val="0"/>
          <w:numId w:val="2"/>
        </w:numPr>
        <w:spacing w:after="90"/>
      </w:pPr>
      <w:r>
        <w:rPr>
          <w:b/>
          <w:bCs/>
        </w:rPr>
        <w:t>Enterprise overlap dataset, 26 September 2026:</w:t>
      </w:r>
      <w:r>
        <w:t xml:space="preserve"> Evidence of overlap relationships with confidence and host-evidence fields. Records must retain their inferred/candidate/authoritative distinctions.</w:t>
      </w:r>
    </w:p>
    <w:p w14:paraId="2FCCA330" w14:textId="77777777" w:rsidR="00570780" w:rsidRDefault="00000000">
      <w:pPr>
        <w:pStyle w:val="ListParagraph"/>
        <w:keepLines/>
        <w:numPr>
          <w:ilvl w:val="0"/>
          <w:numId w:val="2"/>
        </w:numPr>
        <w:spacing w:after="90"/>
      </w:pPr>
      <w:r>
        <w:rPr>
          <w:b/>
          <w:bCs/>
        </w:rPr>
        <w:t>IoT shared-IP dataset, 26 September 2026:</w:t>
      </w:r>
      <w:r>
        <w:t xml:space="preserve"> Evidence of inventory collisions across device classes and locations. Missing last-seen and full routing/identity fields prevent a claim of concurrent live duplicates from this file alone.</w:t>
      </w:r>
    </w:p>
    <w:p w14:paraId="589D3B15" w14:textId="77777777" w:rsidR="00570780" w:rsidRDefault="00000000">
      <w:pPr>
        <w:pStyle w:val="ListParagraph"/>
        <w:keepLines/>
        <w:numPr>
          <w:ilvl w:val="0"/>
          <w:numId w:val="2"/>
        </w:numPr>
        <w:spacing w:after="90"/>
      </w:pPr>
      <w:r>
        <w:rPr>
          <w:b/>
          <w:bCs/>
        </w:rPr>
        <w:t>Cloud application/subnet workbook, 25 September 2026:</w:t>
      </w:r>
      <w:r>
        <w:t xml:space="preserve"> Evidence of distributed APM-to-host/subnet associations. Notes distinguish direct from unconfirmed parent-subnet evidence; location enrichment is not independent endpoint attestation.</w:t>
      </w:r>
    </w:p>
    <w:p w14:paraId="22F07BE2" w14:textId="77777777" w:rsidR="00570780" w:rsidRDefault="00000000">
      <w:pPr>
        <w:pStyle w:val="ListParagraph"/>
        <w:keepLines/>
        <w:numPr>
          <w:ilvl w:val="0"/>
          <w:numId w:val="2"/>
        </w:numPr>
        <w:spacing w:after="90"/>
      </w:pPr>
      <w:r>
        <w:rPr>
          <w:b/>
          <w:bCs/>
        </w:rPr>
        <w:t>Engineering clarifications, 26 September 2026:</w:t>
      </w:r>
      <w:r>
        <w:t xml:space="preserve"> Scope, objectives, incumbent P1 Illumio use, explicit routing, IP-anchored SOC analysis, Falcon detection dependency, execution-environment diversity, and concurrent transformations.</w:t>
      </w:r>
    </w:p>
    <w:p w14:paraId="7ECD4C1D" w14:textId="77777777" w:rsidR="00570780" w:rsidRDefault="00000000">
      <w:pPr>
        <w:pStyle w:val="Heading2"/>
        <w:keepLines/>
      </w:pPr>
      <w:r>
        <w:t>Representative record locators</w:t>
      </w:r>
    </w:p>
    <w:p w14:paraId="24EDEB86" w14:textId="77777777" w:rsidR="00570780" w:rsidRDefault="00000000">
      <w:pPr>
        <w:keepLines/>
      </w:pPr>
      <w:r>
        <w:t>ACIS evidence is in APM-Cloud-Hosts row 23 and APM-ON_Prem-Hosts rows 2, 5, and 8. ServiceNow Discovery cloud examples appear at rows 7672, 7675, 7686, and 7707, with on-premises examples beginning at row 14541. These locators identify the supplied workbook snapshot and are not permanent application identifiers.</w:t>
      </w:r>
    </w:p>
    <w:p w14:paraId="5671383D" w14:textId="77777777" w:rsidR="00570780" w:rsidRDefault="00000000">
      <w:pPr>
        <w:keepLines/>
      </w:pPr>
      <w:r>
        <w:t>The enterprise overlap examples are OVERLAP-01377 and OVERLAP-01157. The IoT examples are identified by the IP together with both endpoint descriptions, not by IP alone. This locator convention illustrates the very attribution problem the survey seeks to avoid.</w:t>
      </w:r>
    </w:p>
    <w:p w14:paraId="50875DB7" w14:textId="77777777" w:rsidR="00570780" w:rsidRDefault="00000000">
      <w:pPr>
        <w:pStyle w:val="Heading1"/>
        <w:keepLines/>
        <w:pageBreakBefore/>
      </w:pPr>
      <w:bookmarkStart w:id="15" w:name="section_15"/>
      <w:r>
        <w:lastRenderedPageBreak/>
        <w:t>APPENDIX: PROXY AND FIREWALL EVIDENCE REGISTER</w:t>
      </w:r>
      <w:bookmarkEnd w:id="15"/>
    </w:p>
    <w:p>
      <w:pPr>
        <w:keepLines/>
      </w:pPr>
      <w:r>
        <w:t xml:space="preserve">The following artifacts were examined for version 2.2. Each is a configuration snapshot; none attests runtime traffic outcomes.</w:t>
      </w:r>
    </w:p>
    <w:p>
      <w:pPr>
        <w:pStyle w:val="ListParagraph"/>
        <w:keepLines/>
        <w:numPr>
          <w:ilvl w:val="0"/>
          <w:numId w:val="2"/>
        </w:numPr>
        <w:spacing w:after="90"/>
      </w:pPr>
      <w:r>
        <w:rPr>
          <w:b/>
          <w:bCs/>
        </w:rPr>
        <w:t xml:space="preserve">Skyhigh MWG backups:</w:t>
      </w:r>
      <w:r>
        <w:t xml:space="preserve"> CVS RI cluster (cldp-proxy-001 to 008, snapshot 3 June 2026) and Aetna Middletown cluster (snapshot 17 July 2026). Establish rule order, enablement, decrypt gating, certificate, DLP and ICAP configuration. Shea and Windsor share these policies per Network Security Engineering; their node-level files were not examined.</w:t>
      </w:r>
    </w:p>
    <w:p>
      <w:pPr>
        <w:pStyle w:val="ListParagraph"/>
        <w:keepLines/>
        <w:numPr>
          <w:ilvl w:val="0"/>
          <w:numId w:val="2"/>
        </w:numPr>
        <w:spacing w:after="90"/>
      </w:pPr>
      <w:r>
        <w:rPr>
          <w:b/>
          <w:bCs/>
        </w:rPr>
        <w:t xml:space="preserve">Proxy-console list exports:</w:t>
      </w:r>
      <w:r>
        <w:t xml:space="preserve"> ProdSSLinspect (654 domains, identical in both estate exports), ProdVontuSSL, AllowCerts and related lists. The CVS HTTPS opt-in lists, deny lists and tenant-restriction lists were not available.</w:t>
      </w:r>
    </w:p>
    <w:p>
      <w:pPr>
        <w:pStyle w:val="ListParagraph"/>
        <w:keepLines/>
        <w:numPr>
          <w:ilvl w:val="0"/>
          <w:numId w:val="2"/>
        </w:numPr>
        <w:spacing w:after="90"/>
      </w:pPr>
      <w:r>
        <w:rPr>
          <w:b/>
          <w:bCs/>
        </w:rPr>
        <w:t xml:space="preserve">WCCP redirect access list and bypass groups:</w:t>
      </w:r>
      <w:r>
        <w:t xml:space="preserve"> 89 lines of wccp_95 and 59 object groups (1,288 members). The ASA WCCP running configuration and service-group port contents were not available.</w:t>
      </w:r>
    </w:p>
    <w:p>
      <w:pPr>
        <w:pStyle w:val="ListParagraph"/>
        <w:keepLines/>
        <w:numPr>
          <w:ilvl w:val="0"/>
          <w:numId w:val="2"/>
        </w:numPr>
        <w:spacing w:after="90"/>
      </w:pPr>
      <w:r>
        <w:rPr>
          <w:b/>
          <w:bCs/>
        </w:rPr>
        <w:t xml:space="preserve">Panorama running-configuration pull, 31 August 2026:</w:t>
      </w:r>
      <w:r>
        <w:t xml:space="preserve"> decryption rulebases for all four Panorama managers and security-profile-group contents and reference counts.</w:t>
      </w:r>
    </w:p>
    <w:p>
      <w:pPr>
        <w:pStyle w:val="ListParagraph"/>
        <w:keepLines/>
        <w:numPr>
          <w:ilvl w:val="0"/>
          <w:numId w:val="2"/>
        </w:numPr>
        <w:spacing w:after="90"/>
      </w:pPr>
      <w:r>
        <w:rPr>
          <w:b/>
          <w:bCs/>
        </w:rPr>
        <w:t xml:space="preserve">Egress web-rule extract:</w:t>
      </w:r>
      <w:r>
        <w:t xml:space="preserve"> 466 egress rules on web ports across both estates. The extract omits URL-category and non-web-port rules; “application any” does not by itself prove absence of threat profiles or destination restrictions, which are documented separately.</w:t>
      </w:r>
    </w:p>
    <w:p w14:paraId="2A53CAEC" w14:textId="77777777" w:rsidR="00570780" w:rsidRDefault="00000000">
      <w:pPr>
        <w:pStyle w:val="Heading1"/>
        <w:keepLines/>
        <w:pageBreakBefore/>
      </w:pPr>
      <w:bookmarkStart w:id="16" w:name="section_16"/>
      <w:r>
        <w:lastRenderedPageBreak/>
        <w:t>APPENDIX: MATERIAL CHANGES FROM VERSION 1.1</w:t>
      </w:r>
      <w:bookmarkEnd w:id="16"/>
    </w:p>
    <w:p>
      <w:pPr>
        <w:pStyle w:val="Heading2"/>
        <w:keepNext/>
        <w:keepLines/>
      </w:pPr>
      <w:r>
        <w:t xml:space="preserve">Version 2.2 corrections to version 2.1</w:t>
      </w:r>
    </w:p>
    <w:p>
      <w:pPr>
        <w:pStyle w:val="ListParagraph"/>
        <w:keepLines/>
        <w:numPr>
          <w:ilvl w:val="0"/>
          <w:numId w:val="2"/>
        </w:numPr>
        <w:spacing w:after="90"/>
      </w:pPr>
      <w:r>
        <w:rPr>
          <w:b/>
          <w:bCs/>
        </w:rPr>
        <w:t xml:space="preserve">Version string:</w:t>
      </w:r>
      <w:r>
        <w:t xml:space="preserve"> cover, running header and document properties aligned to 2.2 (2.1 showed 2.0 in all three).</w:t>
      </w:r>
    </w:p>
    <w:p>
      <w:pPr>
        <w:pStyle w:val="ListParagraph"/>
        <w:keepLines/>
        <w:numPr>
          <w:ilvl w:val="0"/>
          <w:numId w:val="2"/>
        </w:numPr>
        <w:spacing w:after="90"/>
      </w:pPr>
      <w:r>
        <w:rPr>
          <w:b/>
          <w:bCs/>
        </w:rPr>
        <w:t xml:space="preserve">Proxy and firewall evidence restored to the body:</w:t>
      </w:r>
      <w:r>
        <w:t xml:space="preserve"> re-examined against the raw exports with rule identifiers; the inherited-findings appendix is replaced by an evidence register.</w:t>
      </w:r>
    </w:p>
    <w:p>
      <w:pPr>
        <w:pStyle w:val="ListParagraph"/>
        <w:keepLines/>
        <w:numPr>
          <w:ilvl w:val="0"/>
          <w:numId w:val="2"/>
        </w:numPr>
        <w:spacing w:after="90"/>
      </w:pPr>
      <w:r>
        <w:rPr>
          <w:b/>
          <w:bCs/>
        </w:rPr>
        <w:t xml:space="preserve">Combined path added:</w:t>
      </w:r>
      <w:r>
        <w:t xml:space="preserve"> segmentation dependency data as the input to application-crafted Palo Alto traffic, threat and decryption policy.</w:t>
      </w:r>
    </w:p>
    <w:p>
      <w:pPr>
        <w:pStyle w:val="ListParagraph"/>
        <w:keepLines/>
        <w:numPr>
          <w:ilvl w:val="0"/>
          <w:numId w:val="2"/>
        </w:numPr>
        <w:spacing w:after="90"/>
      </w:pPr>
      <w:r>
        <w:rPr>
          <w:b/>
          <w:bCs/>
        </w:rPr>
        <w:t xml:space="preserve">Engineering account reinstated:</w:t>
      </w:r>
      <w:r>
        <w:t xml:space="preserve"> Zscaler’s lack of server/API egress inspection and the per-routing-domain instance requirement, SGT/TrustSec not planned, Forescout/MAB with MDM and Claroty identified as the current device-admission approach (as Illumio is for P1), with Forescout MAB in development and the Claroty integration not yet implemented, and the workstation MAB/MDM admission and Palo Alto dynamic egress ACL, stated as Network Security Engineering statements rather than corrected claims; a Forescout/MDM/Claroty baseline row added to the comparative conclusions.</w:t>
      </w:r>
    </w:p>
    <w:p>
      <w:pPr>
        <w:pStyle w:val="ListParagraph"/>
        <w:keepLines/>
        <w:numPr>
          <w:ilvl w:val="0"/>
          <w:numId w:val="2"/>
        </w:numPr>
        <w:spacing w:after="90"/>
      </w:pPr>
      <w:r>
        <w:rPr>
          <w:b/>
          <w:bCs/>
        </w:rPr>
        <w:t xml:space="preserve">Regulatory text restored:</w:t>
      </w:r>
      <w:r>
        <w:t xml:space="preserve"> PCI DSS v4.0.1 requirement citations and the HIPAA NPRM’s encryption and segmentation proposals with their current status.</w:t>
      </w:r>
    </w:p>
    <w:p>
      <w:pPr>
        <w:pStyle w:val="ListParagraph"/>
        <w:keepLines/>
        <w:numPr>
          <w:ilvl w:val="0"/>
          <w:numId w:val="2"/>
        </w:numPr>
        <w:spacing w:after="90"/>
      </w:pPr>
      <w:r>
        <w:rPr>
          <w:b/>
          <w:bCs/>
        </w:rPr>
        <w:t xml:space="preserve">Detection:</w:t>
      </w:r>
      <w:r>
        <w:t xml:space="preserve"> Palo Alto alert-mode threat profiles noted, with SOC consumption stated as unestablished.</w:t>
      </w:r>
    </w:p>
    <w:p>
      <w:pPr>
        <w:pStyle w:val="ListParagraph"/>
        <w:keepLines/>
        <w:numPr>
          <w:ilvl w:val="0"/>
          <w:numId w:val="2"/>
        </w:numPr>
        <w:spacing w:after="90"/>
      </w:pPr>
      <w:r>
        <w:rPr>
          <w:b/>
          <w:bCs/>
        </w:rPr>
        <w:t xml:space="preserve">Stealth and Edgewise:</w:t>
      </w:r>
      <w:r>
        <w:t xml:space="preserve"> Stealth release and offerings-page facts added to due diligence; the Zscaler GKE announcement and analyst position noted; the Tetragon paragraph corrected (the prior survey did not characterize the ecosystem as having no detection).</w:t>
      </w:r>
    </w:p>
    <w:p>
      <w:pPr>
        <w:pStyle w:val="Heading2"/>
        <w:keepNext/>
        <w:keepLines/>
      </w:pPr>
      <w:r>
        <w:t xml:space="preserve">Version 2.1 changes from version 1.1</w:t>
      </w:r>
    </w:p>
    <w:p w14:paraId="6B9C7DD9" w14:textId="77777777" w:rsidR="00570780" w:rsidRDefault="00000000">
      <w:pPr>
        <w:pStyle w:val="ListParagraph"/>
        <w:keepLines/>
        <w:numPr>
          <w:ilvl w:val="0"/>
          <w:numId w:val="2"/>
        </w:numPr>
        <w:spacing w:after="90"/>
      </w:pPr>
      <w:r>
        <w:rPr>
          <w:b/>
          <w:bCs/>
        </w:rPr>
        <w:t>Scope restored:</w:t>
      </w:r>
      <w:r>
        <w:t xml:space="preserve"> Reframes the document as a survey of server-side egress security and microsegmentation, not a substitute enterprise architecture.</w:t>
      </w:r>
    </w:p>
    <w:p w14:paraId="6D94DDEC" w14:textId="77777777" w:rsidR="00570780" w:rsidRDefault="00000000">
      <w:pPr>
        <w:pStyle w:val="ListParagraph"/>
        <w:keepLines/>
        <w:numPr>
          <w:ilvl w:val="0"/>
          <w:numId w:val="2"/>
        </w:numPr>
        <w:spacing w:after="90"/>
      </w:pPr>
      <w:r>
        <w:rPr>
          <w:b/>
          <w:bCs/>
        </w:rPr>
        <w:t>Control functions separated:</w:t>
      </w:r>
      <w:r>
        <w:t xml:space="preserve"> Distinguishes connection trust, preventive containment, content inspection, behavioral detection, and response.</w:t>
      </w:r>
    </w:p>
    <w:p w14:paraId="03129CC0" w14:textId="77777777" w:rsidR="00570780" w:rsidRDefault="00000000">
      <w:pPr>
        <w:pStyle w:val="ListParagraph"/>
        <w:keepLines/>
        <w:numPr>
          <w:ilvl w:val="0"/>
          <w:numId w:val="2"/>
        </w:numPr>
        <w:spacing w:after="90"/>
      </w:pPr>
      <w:r>
        <w:rPr>
          <w:b/>
          <w:bCs/>
        </w:rPr>
        <w:t>Threat model clarified:</w:t>
      </w:r>
      <w:r>
        <w:t xml:space="preserve"> Emphasizes workload-originated evidence after permitted ingress without asserting that detection almost never occurs at ingress.</w:t>
      </w:r>
    </w:p>
    <w:p w14:paraId="7C142885" w14:textId="77777777" w:rsidR="00570780" w:rsidRDefault="00000000">
      <w:pPr>
        <w:pStyle w:val="ListParagraph"/>
        <w:keepLines/>
        <w:numPr>
          <w:ilvl w:val="0"/>
          <w:numId w:val="2"/>
        </w:numPr>
        <w:spacing w:after="90"/>
      </w:pPr>
      <w:r>
        <w:rPr>
          <w:b/>
          <w:bCs/>
        </w:rPr>
        <w:t>Current versus target state corrected:</w:t>
      </w:r>
      <w:r>
        <w:t xml:space="preserve"> Identifies the concurrent transformations, actual P1 Illumio baseline, and unimplemented context-aware SOC correlation.</w:t>
      </w:r>
    </w:p>
    <w:p w14:paraId="2C636E0E" w14:textId="77777777" w:rsidR="00570780" w:rsidRDefault="00000000">
      <w:pPr>
        <w:pStyle w:val="ListParagraph"/>
        <w:keepLines/>
        <w:numPr>
          <w:ilvl w:val="0"/>
          <w:numId w:val="2"/>
        </w:numPr>
        <w:spacing w:after="90"/>
      </w:pPr>
      <w:r>
        <w:rPr>
          <w:b/>
          <w:bCs/>
        </w:rPr>
        <w:t>Zscaler claims corrected:</w:t>
      </w:r>
      <w:r>
        <w:t xml:space="preserve"> Uses snapshot-specific cloud bypass evidence instead of claiming that Zscaler cannot inspect server/API traffic or requires a separate instance for every routing domain.</w:t>
      </w:r>
    </w:p>
    <w:p w14:paraId="7D81E3AD" w14:textId="77777777" w:rsidR="00570780" w:rsidRDefault="00000000">
      <w:pPr>
        <w:pStyle w:val="ListParagraph"/>
        <w:keepLines/>
        <w:numPr>
          <w:ilvl w:val="0"/>
          <w:numId w:val="2"/>
        </w:numPr>
        <w:spacing w:after="90"/>
      </w:pPr>
      <w:r>
        <w:rPr>
          <w:b/>
          <w:bCs/>
        </w:rPr>
        <w:t>Edgewise separated:</w:t>
      </w:r>
      <w:r>
        <w:t xml:space="preserve"> Gives software-identity segmentation its own assessment, including initiating-client coverage; does not equate Client Connector with segmentation deployment.</w:t>
      </w:r>
    </w:p>
    <w:p w14:paraId="7B0866D2" w14:textId="77777777" w:rsidR="00570780" w:rsidRDefault="00000000">
      <w:pPr>
        <w:pStyle w:val="ListParagraph"/>
        <w:keepLines/>
        <w:numPr>
          <w:ilvl w:val="0"/>
          <w:numId w:val="2"/>
        </w:numPr>
        <w:spacing w:after="90"/>
      </w:pPr>
      <w:r>
        <w:rPr>
          <w:b/>
          <w:bCs/>
        </w:rPr>
        <w:t>Stealth rationale strengthened and bounded:</w:t>
      </w:r>
      <w:r>
        <w:t xml:space="preserve"> Retains its preventive architectural appeal while removing claims of unique immunity to overlap or invisibility to an already authorized compromised member.</w:t>
      </w:r>
    </w:p>
    <w:p w14:paraId="0C5D739D" w14:textId="77777777" w:rsidR="00570780" w:rsidRDefault="00000000">
      <w:pPr>
        <w:pStyle w:val="ListParagraph"/>
        <w:keepLines/>
        <w:numPr>
          <w:ilvl w:val="0"/>
          <w:numId w:val="2"/>
        </w:numPr>
        <w:spacing w:after="90"/>
      </w:pPr>
      <w:r>
        <w:rPr>
          <w:b/>
          <w:bCs/>
        </w:rPr>
        <w:t>Host models assessed fairly:</w:t>
      </w:r>
      <w:r>
        <w:t xml:space="preserve"> Separates local enforcement from management/identity capabilities; restores the value of labels for static, distributed applications.</w:t>
      </w:r>
    </w:p>
    <w:p w14:paraId="7829021B" w14:textId="77777777" w:rsidR="00570780" w:rsidRDefault="00000000">
      <w:pPr>
        <w:pStyle w:val="ListParagraph"/>
        <w:keepLines/>
        <w:numPr>
          <w:ilvl w:val="0"/>
          <w:numId w:val="2"/>
        </w:numPr>
        <w:spacing w:after="90"/>
      </w:pPr>
      <w:r>
        <w:rPr>
          <w:b/>
          <w:bCs/>
        </w:rPr>
        <w:t>Cloud execution models separated:</w:t>
      </w:r>
      <w:r>
        <w:t xml:space="preserve"> Distinguishes Citrix, traditional hosts, containers, shared Envoy/Kubernetes, and serverless.</w:t>
      </w:r>
    </w:p>
    <w:p w14:paraId="5842CF3A" w14:textId="77777777" w:rsidR="00570780" w:rsidRDefault="00000000">
      <w:pPr>
        <w:pStyle w:val="ListParagraph"/>
        <w:keepLines/>
        <w:numPr>
          <w:ilvl w:val="0"/>
          <w:numId w:val="2"/>
        </w:numPr>
        <w:spacing w:after="90"/>
      </w:pPr>
      <w:r>
        <w:rPr>
          <w:b/>
          <w:bCs/>
        </w:rPr>
        <w:t>Native controls qualified:</w:t>
      </w:r>
      <w:r>
        <w:t xml:space="preserve"> Treats platform-provided segmentation mechanisms as capabilities requiring policy and enforcement, not automatic security outcomes.</w:t>
      </w:r>
    </w:p>
    <w:p w14:paraId="1614C302" w14:textId="77777777" w:rsidR="00570780" w:rsidRDefault="00000000">
      <w:pPr>
        <w:pStyle w:val="ListParagraph"/>
        <w:keepLines/>
        <w:numPr>
          <w:ilvl w:val="0"/>
          <w:numId w:val="2"/>
        </w:numPr>
        <w:spacing w:after="90"/>
      </w:pPr>
      <w:r>
        <w:rPr>
          <w:b/>
          <w:bCs/>
        </w:rPr>
        <w:t>Detection claims corrected:</w:t>
      </w:r>
      <w:r>
        <w:t xml:space="preserve"> Does not treat telemetry as detection, or assume product capabilities are deployed; distinguishes Cilium networking from additional runtime-security components.</w:t>
      </w:r>
    </w:p>
    <w:p w14:paraId="3589DC86" w14:textId="77777777" w:rsidR="00570780" w:rsidRDefault="00000000">
      <w:pPr>
        <w:pStyle w:val="ListParagraph"/>
        <w:keepLines/>
        <w:numPr>
          <w:ilvl w:val="0"/>
          <w:numId w:val="2"/>
        </w:numPr>
        <w:spacing w:after="90"/>
      </w:pPr>
      <w:r>
        <w:rPr>
          <w:b/>
          <w:bCs/>
        </w:rPr>
        <w:t>Unsupported assertions removed:</w:t>
      </w:r>
      <w:r>
        <w:t xml:space="preserve"> Omits stale release-status conclusions, analyst rankings as fit evidence, regulatory forecasts, and unverified implementation-specific limits.</w:t>
      </w:r>
    </w:p>
    <w:p w14:paraId="04DDCE62" w14:textId="77777777" w:rsidR="00570780" w:rsidRDefault="00000000">
      <w:pPr>
        <w:pStyle w:val="ListParagraph"/>
        <w:keepLines/>
        <w:numPr>
          <w:ilvl w:val="0"/>
          <w:numId w:val="2"/>
        </w:numPr>
        <w:spacing w:after="90"/>
      </w:pPr>
      <w:r>
        <w:rPr>
          <w:b/>
          <w:bCs/>
        </w:rPr>
        <w:t>Evidence provenance improved:</w:t>
      </w:r>
      <w:r>
        <w:t xml:space="preserve"> Separates supplied snapshots, engineering statements, vendor documentation, survey judgments, and inherited findings.</w:t>
      </w:r>
    </w:p>
    <w:p w14:paraId="4C4346F0" w14:textId="77777777" w:rsidR="00570780" w:rsidRDefault="00000000">
      <w:pPr>
        <w:keepLines/>
      </w:pPr>
      <w:r>
        <w:t>The resulting survey supports a defensible comparison of approaches without crediting planned controls as operational or presenting containment as a solution to every detection and inspection problem. Its central conclusion is that workload egress security and lateral-movement containment are complementary, and that their implementation must follow the application's execution model and preserve identity through enforcement and investigation.</w:t>
      </w:r>
    </w:p>
    <w:p w14:paraId="4C054E03" w14:textId="77777777" w:rsidR="00570780" w:rsidRDefault="00000000">
      <w:pPr>
        <w:pStyle w:val="Heading1"/>
        <w:pageBreakBefore/>
      </w:pPr>
      <w:bookmarkStart w:id="17" w:name="section_17"/>
      <w:r>
        <w:lastRenderedPageBreak/>
        <w:t>REFERENCES</w:t>
      </w:r>
      <w:bookmarkEnd w:id="17"/>
    </w:p>
    <w:p w14:paraId="028EA75B" w14:textId="77777777" w:rsidR="00570780" w:rsidRDefault="00000000">
      <w:pPr>
        <w:keepLines/>
      </w:pPr>
      <w:r>
        <w:t>Public sources cited in the survey. All sources were accessed on 26 or 27 September 2026; supplied internal evidence is described in the evidence appendix.</w:t>
      </w:r>
    </w:p>
    <w:p w14:paraId="35B6EE81" w14:textId="77777777" w:rsidR="00570780" w:rsidRDefault="00000000">
      <w:pPr>
        <w:keepLines/>
        <w:spacing w:after="180" w:line="260" w:lineRule="auto"/>
        <w:ind w:left="420" w:hanging="420"/>
        <w:jc w:val="left"/>
      </w:pPr>
      <w:bookmarkStart w:id="18" w:name="reference_1"/>
      <w:r>
        <w:rPr>
          <w:sz w:val="20"/>
          <w:szCs w:val="20"/>
        </w:rPr>
        <w:t>[1]  NIST SP 800-207.</w:t>
      </w:r>
      <w:bookmarkEnd w:id="18"/>
      <w:r>
        <w:rPr>
          <w:sz w:val="20"/>
          <w:szCs w:val="20"/>
        </w:rPr>
        <w:t xml:space="preserve"> </w:t>
      </w:r>
      <w:hyperlink r:id="rId33" w:history="1">
        <w:r>
          <w:rPr>
            <w:color w:val="222222"/>
            <w:sz w:val="20"/>
            <w:szCs w:val="20"/>
          </w:rPr>
          <w:t>https://nvlpubs.nist.gov/nistpubs/specialpublications/NIST.SP.800-207.pdf</w:t>
        </w:r>
      </w:hyperlink>
    </w:p>
    <w:p w14:paraId="45E8974B" w14:textId="77777777" w:rsidR="00570780" w:rsidRDefault="00000000">
      <w:pPr>
        <w:keepLines/>
        <w:spacing w:after="180" w:line="260" w:lineRule="auto"/>
        <w:ind w:left="420" w:hanging="420"/>
        <w:jc w:val="left"/>
      </w:pPr>
      <w:bookmarkStart w:id="19" w:name="reference_2"/>
      <w:r>
        <w:rPr>
          <w:sz w:val="20"/>
          <w:szCs w:val="20"/>
        </w:rPr>
        <w:t>[2]  Palo Alto decryption profiles.</w:t>
      </w:r>
      <w:bookmarkEnd w:id="19"/>
      <w:r>
        <w:rPr>
          <w:sz w:val="20"/>
          <w:szCs w:val="20"/>
        </w:rPr>
        <w:t xml:space="preserve"> </w:t>
      </w:r>
      <w:hyperlink r:id="rId34" w:history="1">
        <w:r>
          <w:rPr>
            <w:color w:val="222222"/>
            <w:sz w:val="20"/>
            <w:szCs w:val="20"/>
          </w:rPr>
          <w:t>https://docs.paloaltonetworks.com/network-security/decryption/administration/decryption-overview/decryption-profiles</w:t>
        </w:r>
      </w:hyperlink>
    </w:p>
    <w:p w14:paraId="0700ED38" w14:textId="77777777" w:rsidR="00570780" w:rsidRDefault="00000000">
      <w:pPr>
        <w:keepLines/>
        <w:spacing w:after="180" w:line="260" w:lineRule="auto"/>
        <w:ind w:left="420" w:hanging="420"/>
        <w:jc w:val="left"/>
      </w:pPr>
      <w:bookmarkStart w:id="20" w:name="reference_3"/>
      <w:r>
        <w:rPr>
          <w:sz w:val="20"/>
          <w:szCs w:val="20"/>
        </w:rPr>
        <w:t>[3]  Unisys Stealth product brief.</w:t>
      </w:r>
      <w:bookmarkEnd w:id="20"/>
      <w:r>
        <w:rPr>
          <w:sz w:val="20"/>
          <w:szCs w:val="20"/>
        </w:rPr>
        <w:t xml:space="preserve"> </w:t>
      </w:r>
      <w:hyperlink r:id="rId35" w:history="1">
        <w:r>
          <w:rPr>
            <w:color w:val="222222"/>
            <w:sz w:val="20"/>
            <w:szCs w:val="20"/>
          </w:rPr>
          <w:t>https://www.unisys.com/siteassets/collateral/executive-brief/ex_200553_stealthproductsandservices.pdf</w:t>
        </w:r>
      </w:hyperlink>
    </w:p>
    <w:p w14:paraId="49993012" w14:textId="77777777" w:rsidR="00570780" w:rsidRDefault="00000000">
      <w:pPr>
        <w:keepLines/>
        <w:spacing w:after="180" w:line="260" w:lineRule="auto"/>
        <w:ind w:left="420" w:hanging="420"/>
        <w:jc w:val="left"/>
      </w:pPr>
      <w:bookmarkStart w:id="21" w:name="reference_4"/>
      <w:r>
        <w:rPr>
          <w:sz w:val="20"/>
          <w:szCs w:val="20"/>
        </w:rPr>
        <w:t>[4]  Unisys Stealth 4.0 announcement.</w:t>
      </w:r>
      <w:bookmarkEnd w:id="21"/>
      <w:r>
        <w:rPr>
          <w:sz w:val="20"/>
          <w:szCs w:val="20"/>
        </w:rPr>
        <w:t xml:space="preserve"> </w:t>
      </w:r>
      <w:hyperlink r:id="rId36" w:history="1">
        <w:r>
          <w:rPr>
            <w:color w:val="222222"/>
            <w:sz w:val="20"/>
            <w:szCs w:val="20"/>
          </w:rPr>
          <w:t>https://www.unisys.com/news-release/unisys-announces-availability-of-unisys-stealth-four-security-software/</w:t>
        </w:r>
      </w:hyperlink>
    </w:p>
    <w:p w14:paraId="14D5FB42" w14:textId="77777777" w:rsidR="00570780" w:rsidRDefault="00000000">
      <w:pPr>
        <w:keepLines/>
        <w:spacing w:after="180" w:line="260" w:lineRule="auto"/>
        <w:ind w:left="420" w:hanging="420"/>
        <w:jc w:val="left"/>
      </w:pPr>
      <w:bookmarkStart w:id="22" w:name="reference_5"/>
      <w:r>
        <w:rPr>
          <w:sz w:val="20"/>
          <w:szCs w:val="20"/>
        </w:rPr>
        <w:t>[5]  Zscaler Edgewise acquisition.</w:t>
      </w:r>
      <w:bookmarkEnd w:id="22"/>
      <w:r>
        <w:rPr>
          <w:sz w:val="20"/>
          <w:szCs w:val="20"/>
        </w:rPr>
        <w:t xml:space="preserve"> </w:t>
      </w:r>
      <w:hyperlink r:id="rId37" w:history="1">
        <w:r>
          <w:rPr>
            <w:color w:val="222222"/>
            <w:sz w:val="20"/>
            <w:szCs w:val="20"/>
          </w:rPr>
          <w:t>https://ir.zscaler.com/news-releases/news-release-details/zscaler-acquires-edgewise-networks</w:t>
        </w:r>
      </w:hyperlink>
    </w:p>
    <w:p w14:paraId="7014C8D9" w14:textId="77777777" w:rsidR="00570780" w:rsidRDefault="00000000">
      <w:pPr>
        <w:keepLines/>
        <w:spacing w:after="180" w:line="260" w:lineRule="auto"/>
        <w:ind w:left="420" w:hanging="420"/>
        <w:jc w:val="left"/>
      </w:pPr>
      <w:bookmarkStart w:id="23" w:name="reference_6"/>
      <w:r>
        <w:rPr>
          <w:sz w:val="20"/>
          <w:szCs w:val="20"/>
        </w:rPr>
        <w:t>[6]  Zscaler identity-based segmentation.</w:t>
      </w:r>
      <w:bookmarkEnd w:id="23"/>
      <w:r>
        <w:rPr>
          <w:sz w:val="20"/>
          <w:szCs w:val="20"/>
        </w:rPr>
        <w:t xml:space="preserve"> </w:t>
      </w:r>
      <w:hyperlink r:id="rId38" w:history="1">
        <w:r>
          <w:rPr>
            <w:color w:val="222222"/>
            <w:sz w:val="20"/>
            <w:szCs w:val="20"/>
          </w:rPr>
          <w:t>https://www.zscaler.com/blogs/product-insights/identity-based-microsegmentation-foundational-cloud-security-don-t-get</w:t>
        </w:r>
      </w:hyperlink>
    </w:p>
    <w:p w14:paraId="686A1DAC" w14:textId="77777777" w:rsidR="00570780" w:rsidRDefault="00000000">
      <w:pPr>
        <w:keepLines/>
        <w:spacing w:after="180" w:line="260" w:lineRule="auto"/>
        <w:ind w:left="420" w:hanging="420"/>
        <w:jc w:val="left"/>
      </w:pPr>
      <w:bookmarkStart w:id="24" w:name="reference_7"/>
      <w:r>
        <w:rPr>
          <w:sz w:val="20"/>
          <w:szCs w:val="20"/>
        </w:rPr>
        <w:t>[7]  Zscaler Microsegmentation.</w:t>
      </w:r>
      <w:bookmarkEnd w:id="24"/>
      <w:r>
        <w:rPr>
          <w:sz w:val="20"/>
          <w:szCs w:val="20"/>
        </w:rPr>
        <w:t xml:space="preserve"> </w:t>
      </w:r>
      <w:hyperlink r:id="rId39" w:history="1">
        <w:r>
          <w:rPr>
            <w:color w:val="222222"/>
            <w:sz w:val="20"/>
            <w:szCs w:val="20"/>
          </w:rPr>
          <w:t>https://www.zscaler.com/products-and-solutions/microsegmentation</w:t>
        </w:r>
      </w:hyperlink>
    </w:p>
    <w:p w14:paraId="4A013E9A" w14:textId="77777777" w:rsidR="00570780" w:rsidRDefault="00000000">
      <w:pPr>
        <w:keepLines/>
        <w:spacing w:after="180" w:line="260" w:lineRule="auto"/>
        <w:ind w:left="420" w:hanging="420"/>
        <w:jc w:val="left"/>
      </w:pPr>
      <w:bookmarkStart w:id="25" w:name="reference_8"/>
      <w:r>
        <w:rPr>
          <w:sz w:val="20"/>
          <w:szCs w:val="20"/>
        </w:rPr>
        <w:t>[8]  Illumio policy objects.</w:t>
      </w:r>
      <w:bookmarkEnd w:id="25"/>
      <w:r>
        <w:rPr>
          <w:sz w:val="20"/>
          <w:szCs w:val="20"/>
        </w:rPr>
        <w:t xml:space="preserve"> </w:t>
      </w:r>
      <w:hyperlink r:id="rId40" w:history="1">
        <w:r>
          <w:rPr>
            <w:color w:val="222222"/>
            <w:sz w:val="20"/>
            <w:szCs w:val="20"/>
          </w:rPr>
          <w:t>https://docs.illumio.com/asp/19.3/Content/Guides/introduction/policy-objects.htm</w:t>
        </w:r>
      </w:hyperlink>
    </w:p>
    <w:p w14:paraId="2CCB8219" w14:textId="77777777" w:rsidR="00570780" w:rsidRDefault="00000000">
      <w:pPr>
        <w:keepLines/>
        <w:spacing w:after="180" w:line="260" w:lineRule="auto"/>
        <w:ind w:left="420" w:hanging="420"/>
        <w:jc w:val="left"/>
      </w:pPr>
      <w:bookmarkStart w:id="26" w:name="reference_9"/>
      <w:r>
        <w:rPr>
          <w:sz w:val="20"/>
          <w:szCs w:val="20"/>
        </w:rPr>
        <w:t>[9]  Illumio–Palo Alto integration.</w:t>
      </w:r>
      <w:bookmarkEnd w:id="26"/>
      <w:r>
        <w:rPr>
          <w:sz w:val="20"/>
          <w:szCs w:val="20"/>
        </w:rPr>
        <w:t xml:space="preserve"> </w:t>
      </w:r>
      <w:hyperlink r:id="rId41" w:history="1">
        <w:r>
          <w:rPr>
            <w:color w:val="222222"/>
            <w:sz w:val="20"/>
            <w:szCs w:val="20"/>
          </w:rPr>
          <w:t>https://www.illumio.com/blog/palo-alto-networks-integration-deep-dive</w:t>
        </w:r>
      </w:hyperlink>
    </w:p>
    <w:p w14:paraId="164ABEFE" w14:textId="77777777" w:rsidR="00570780" w:rsidRDefault="00000000">
      <w:pPr>
        <w:keepLines/>
        <w:spacing w:after="180" w:line="260" w:lineRule="auto"/>
        <w:ind w:left="420" w:hanging="420"/>
        <w:jc w:val="left"/>
      </w:pPr>
      <w:bookmarkStart w:id="27" w:name="reference_10"/>
      <w:r>
        <w:rPr>
          <w:sz w:val="20"/>
          <w:szCs w:val="20"/>
        </w:rPr>
        <w:t>[10]  Akamai segmentation comparison brief.</w:t>
      </w:r>
      <w:bookmarkEnd w:id="27"/>
      <w:r>
        <w:rPr>
          <w:sz w:val="20"/>
          <w:szCs w:val="20"/>
        </w:rPr>
        <w:t xml:space="preserve"> </w:t>
      </w:r>
      <w:hyperlink r:id="rId42" w:history="1">
        <w:r>
          <w:rPr>
            <w:color w:val="222222"/>
            <w:sz w:val="20"/>
            <w:szCs w:val="20"/>
          </w:rPr>
          <w:t>https://www.akamai.com/site/en/documents/checklist/2023/akamai-guardicore-segmentation-vs-traditional-microsegmentation-solutions.pdf</w:t>
        </w:r>
      </w:hyperlink>
    </w:p>
    <w:p w14:paraId="4C8DDBCE" w14:textId="77777777" w:rsidR="00570780" w:rsidRDefault="00000000">
      <w:pPr>
        <w:keepLines/>
        <w:spacing w:after="180" w:line="260" w:lineRule="auto"/>
        <w:ind w:left="420" w:hanging="420"/>
        <w:jc w:val="left"/>
      </w:pPr>
      <w:bookmarkStart w:id="28" w:name="reference_11"/>
      <w:r>
        <w:rPr>
          <w:sz w:val="20"/>
          <w:szCs w:val="20"/>
        </w:rPr>
        <w:t>[11]  Akamai Kubernetes enforcement.</w:t>
      </w:r>
      <w:bookmarkEnd w:id="28"/>
      <w:r>
        <w:rPr>
          <w:sz w:val="20"/>
          <w:szCs w:val="20"/>
        </w:rPr>
        <w:t xml:space="preserve"> </w:t>
      </w:r>
      <w:hyperlink r:id="rId43" w:history="1">
        <w:r>
          <w:rPr>
            <w:color w:val="222222"/>
            <w:sz w:val="20"/>
            <w:szCs w:val="20"/>
          </w:rPr>
          <w:t>https://www.akamai.com/blog/security/feature-spotlight-kubernetes-enforcement</w:t>
        </w:r>
      </w:hyperlink>
    </w:p>
    <w:p w14:paraId="79365D40" w14:textId="77777777" w:rsidR="00570780" w:rsidRDefault="00000000">
      <w:pPr>
        <w:keepLines/>
        <w:spacing w:after="180" w:line="260" w:lineRule="auto"/>
        <w:ind w:left="420" w:hanging="420"/>
        <w:jc w:val="left"/>
      </w:pPr>
      <w:bookmarkStart w:id="29" w:name="reference_12"/>
      <w:r>
        <w:rPr>
          <w:sz w:val="20"/>
          <w:szCs w:val="20"/>
        </w:rPr>
        <w:t>[12]  ColorTokens Xshield brief.</w:t>
      </w:r>
      <w:bookmarkEnd w:id="29"/>
      <w:r>
        <w:rPr>
          <w:sz w:val="20"/>
          <w:szCs w:val="20"/>
        </w:rPr>
        <w:t xml:space="preserve"> </w:t>
      </w:r>
      <w:hyperlink r:id="rId44" w:history="1">
        <w:r>
          <w:rPr>
            <w:color w:val="222222"/>
            <w:sz w:val="20"/>
            <w:szCs w:val="20"/>
          </w:rPr>
          <w:t>https://colortokens.com/wp-content/uploads/ColorTokens_Xshield-Solution_Brief.pdf</w:t>
        </w:r>
      </w:hyperlink>
    </w:p>
    <w:p w14:paraId="35A46446" w14:textId="77777777" w:rsidR="00570780" w:rsidRDefault="00000000">
      <w:pPr>
        <w:keepNext/>
        <w:pageBreakBefore/>
        <w:spacing w:after="180"/>
      </w:pPr>
      <w:r>
        <w:rPr>
          <w:b/>
          <w:bCs/>
          <w:sz w:val="26"/>
          <w:szCs w:val="26"/>
        </w:rPr>
        <w:lastRenderedPageBreak/>
        <w:t>REFERENCES (CONTINUED)</w:t>
      </w:r>
    </w:p>
    <w:p w14:paraId="7EA7AD5D" w14:textId="77777777" w:rsidR="00570780" w:rsidRDefault="00000000">
      <w:pPr>
        <w:keepLines/>
        <w:spacing w:after="180" w:line="260" w:lineRule="auto"/>
        <w:ind w:left="420" w:hanging="420"/>
        <w:jc w:val="left"/>
      </w:pPr>
      <w:bookmarkStart w:id="30" w:name="reference_13"/>
      <w:r>
        <w:rPr>
          <w:sz w:val="20"/>
          <w:szCs w:val="20"/>
        </w:rPr>
        <w:t>[13]  Cisco Secure Workload datasheet.</w:t>
      </w:r>
      <w:bookmarkEnd w:id="30"/>
      <w:r>
        <w:rPr>
          <w:sz w:val="20"/>
          <w:szCs w:val="20"/>
        </w:rPr>
        <w:t xml:space="preserve"> </w:t>
      </w:r>
      <w:hyperlink r:id="rId45" w:history="1">
        <w:r>
          <w:rPr>
            <w:color w:val="222222"/>
            <w:sz w:val="20"/>
            <w:szCs w:val="20"/>
          </w:rPr>
          <w:t>https://www.cisco.com/c/en/us/products/collateral/data-center-analytics/tetration-analytics/cisco-secure-workload-dsv3a.html</w:t>
        </w:r>
      </w:hyperlink>
    </w:p>
    <w:p w14:paraId="01B2C41F" w14:textId="77777777" w:rsidR="00570780" w:rsidRDefault="00000000">
      <w:pPr>
        <w:keepLines/>
        <w:spacing w:after="180" w:line="260" w:lineRule="auto"/>
        <w:ind w:left="420" w:hanging="420"/>
        <w:jc w:val="left"/>
      </w:pPr>
      <w:bookmarkStart w:id="31" w:name="reference_14"/>
      <w:r>
        <w:rPr>
          <w:sz w:val="20"/>
          <w:szCs w:val="20"/>
        </w:rPr>
        <w:t>[14]  Zero Networks technical validation.</w:t>
      </w:r>
      <w:bookmarkEnd w:id="31"/>
      <w:r>
        <w:rPr>
          <w:sz w:val="20"/>
          <w:szCs w:val="20"/>
        </w:rPr>
        <w:t xml:space="preserve"> </w:t>
      </w:r>
      <w:hyperlink r:id="rId46" w:history="1">
        <w:r>
          <w:rPr>
            <w:color w:val="222222"/>
            <w:sz w:val="20"/>
            <w:szCs w:val="20"/>
          </w:rPr>
          <w:t>https://zeronetworks.com/files/white-papers/ESG-Technical-Validation-Zero-Networks-Jul-2024.pdf</w:t>
        </w:r>
      </w:hyperlink>
    </w:p>
    <w:p w14:paraId="421A8C23" w14:textId="77777777" w:rsidR="00570780" w:rsidRDefault="00000000">
      <w:pPr>
        <w:keepLines/>
        <w:spacing w:after="180" w:line="260" w:lineRule="auto"/>
        <w:ind w:left="420" w:hanging="420"/>
        <w:jc w:val="left"/>
      </w:pPr>
      <w:bookmarkStart w:id="32" w:name="reference_15"/>
      <w:r>
        <w:rPr>
          <w:sz w:val="20"/>
          <w:szCs w:val="20"/>
        </w:rPr>
        <w:t xml:space="preserve">[15]  Elisity Cisco enforcement documentation.</w:t>
      </w:r>
      <w:bookmarkEnd w:id="32"/>
      <w:r>
        <w:rPr>
          <w:sz w:val="20"/>
          <w:szCs w:val="20"/>
        </w:rPr>
        <w:t xml:space="preserve"> </w:t>
      </w:r>
      <w:hyperlink r:id="rId47" w:history="1">
        <w:r>
          <w:rPr>
            <w:color w:val="222222"/>
            <w:sz w:val="20"/>
            <w:szCs w:val="20"/>
          </w:rPr>
          <w:t>https://support.elisity.com/hc/en-us/articles/15541796673300-Onboarding-Cisco-Switches-as-Virtual-Edge-Nodes</w:t>
        </w:r>
      </w:hyperlink>
    </w:p>
    <w:p w14:paraId="0F7F015F" w14:textId="77777777" w:rsidR="00570780" w:rsidRDefault="00000000">
      <w:pPr>
        <w:keepLines/>
        <w:spacing w:after="180" w:line="260" w:lineRule="auto"/>
        <w:ind w:left="420" w:hanging="420"/>
        <w:jc w:val="left"/>
      </w:pPr>
      <w:bookmarkStart w:id="33" w:name="reference_16"/>
      <w:r>
        <w:rPr>
          <w:sz w:val="20"/>
          <w:szCs w:val="20"/>
        </w:rPr>
        <w:t>[16]  Forescout Palo Alto integration.</w:t>
      </w:r>
      <w:bookmarkEnd w:id="33"/>
      <w:r>
        <w:rPr>
          <w:sz w:val="20"/>
          <w:szCs w:val="20"/>
        </w:rPr>
        <w:t xml:space="preserve"> </w:t>
      </w:r>
      <w:hyperlink r:id="rId48" w:history="1">
        <w:r>
          <w:rPr>
            <w:color w:val="222222"/>
            <w:sz w:val="20"/>
            <w:szCs w:val="20"/>
          </w:rPr>
          <w:t>https://marketplace.forescout.com/apps/eyeextend-for-palo-alto-networks-ngfw/</w:t>
        </w:r>
      </w:hyperlink>
    </w:p>
    <w:p w14:paraId="16645E26" w14:textId="77777777" w:rsidR="00570780" w:rsidRDefault="00000000">
      <w:pPr>
        <w:keepLines/>
        <w:spacing w:after="180" w:line="260" w:lineRule="auto"/>
        <w:ind w:left="420" w:hanging="420"/>
        <w:jc w:val="left"/>
      </w:pPr>
      <w:bookmarkStart w:id="34" w:name="reference_17"/>
      <w:r>
        <w:rPr>
          <w:sz w:val="20"/>
          <w:szCs w:val="20"/>
        </w:rPr>
        <w:t>[17]  Forescout Claroty connector listing.</w:t>
      </w:r>
      <w:bookmarkEnd w:id="34"/>
      <w:r>
        <w:rPr>
          <w:sz w:val="20"/>
          <w:szCs w:val="20"/>
        </w:rPr>
        <w:t xml:space="preserve"> </w:t>
      </w:r>
      <w:hyperlink r:id="rId49" w:history="1">
        <w:r>
          <w:rPr>
            <w:color w:val="222222"/>
            <w:sz w:val="20"/>
            <w:szCs w:val="20"/>
          </w:rPr>
          <w:t>https://marketplace.forescout.com/apps/connect-app-for-claroty-xdome-and-medigate/</w:t>
        </w:r>
      </w:hyperlink>
    </w:p>
    <w:p w14:paraId="237C99F8" w14:textId="77777777" w:rsidR="00570780" w:rsidRDefault="00000000">
      <w:pPr>
        <w:keepLines/>
        <w:spacing w:after="180" w:line="260" w:lineRule="auto"/>
        <w:ind w:left="420" w:hanging="420"/>
        <w:jc w:val="left"/>
      </w:pPr>
      <w:bookmarkStart w:id="35" w:name="reference_18"/>
      <w:r>
        <w:rPr>
          <w:sz w:val="20"/>
          <w:szCs w:val="20"/>
        </w:rPr>
        <w:t>[18]  Zscaler Universal ZTNA guide.</w:t>
      </w:r>
      <w:bookmarkEnd w:id="35"/>
      <w:r>
        <w:rPr>
          <w:sz w:val="20"/>
          <w:szCs w:val="20"/>
        </w:rPr>
        <w:t xml:space="preserve"> </w:t>
      </w:r>
      <w:hyperlink r:id="rId50" w:history="1">
        <w:r>
          <w:rPr>
            <w:color w:val="222222"/>
            <w:sz w:val="20"/>
            <w:szCs w:val="20"/>
          </w:rPr>
          <w:t>https://www.zscaler.com/resources/white-papers/architects-guide-universal-ztna.pdf</w:t>
        </w:r>
      </w:hyperlink>
    </w:p>
    <w:p w14:paraId="7E2B817A" w14:textId="77777777" w:rsidR="00570780" w:rsidRDefault="00000000">
      <w:pPr>
        <w:keepLines/>
        <w:spacing w:after="180" w:line="260" w:lineRule="auto"/>
        <w:ind w:left="420" w:hanging="420"/>
        <w:jc w:val="left"/>
      </w:pPr>
      <w:bookmarkStart w:id="36" w:name="reference_19"/>
      <w:r>
        <w:rPr>
          <w:sz w:val="20"/>
          <w:szCs w:val="20"/>
        </w:rPr>
        <w:t>[19]  Zscaler Airgap acquisition.</w:t>
      </w:r>
      <w:bookmarkEnd w:id="36"/>
      <w:r>
        <w:rPr>
          <w:sz w:val="20"/>
          <w:szCs w:val="20"/>
        </w:rPr>
        <w:t xml:space="preserve"> </w:t>
      </w:r>
      <w:hyperlink r:id="rId51" w:history="1">
        <w:r>
          <w:rPr>
            <w:color w:val="222222"/>
            <w:sz w:val="20"/>
            <w:szCs w:val="20"/>
          </w:rPr>
          <w:t>https://www.zscaler.com/blogs/company-news/zscaler-acquires-airgap-networks-extends-zero-trust-sase</w:t>
        </w:r>
      </w:hyperlink>
    </w:p>
    <w:p w14:paraId="661322F9" w14:textId="77777777" w:rsidR="00570780" w:rsidRDefault="00000000">
      <w:pPr>
        <w:keepLines/>
        <w:spacing w:after="180" w:line="260" w:lineRule="auto"/>
        <w:ind w:left="420" w:hanging="420"/>
        <w:jc w:val="left"/>
      </w:pPr>
      <w:bookmarkStart w:id="37" w:name="reference_20"/>
      <w:r>
        <w:rPr>
          <w:sz w:val="20"/>
          <w:szCs w:val="20"/>
        </w:rPr>
        <w:t xml:space="preserve">[20]  Kubernetes NetworkPolicy.</w:t>
      </w:r>
      <w:bookmarkEnd w:id="37"/>
      <w:r>
        <w:rPr>
          <w:sz w:val="20"/>
          <w:szCs w:val="20"/>
        </w:rPr>
        <w:t xml:space="preserve"> </w:t>
      </w:r>
      <w:hyperlink r:id="rId52" w:history="1">
        <w:r>
          <w:rPr>
            <w:color w:val="222222"/>
            <w:sz w:val="20"/>
            <w:szCs w:val="20"/>
          </w:rPr>
          <w:t>https://kubernetes.io/docs/concepts/services-networking/network-policies/</w:t>
        </w:r>
      </w:hyperlink>
    </w:p>
    <w:p w14:paraId="07319BD4" w14:textId="77777777" w:rsidR="00570780" w:rsidRDefault="00000000">
      <w:pPr>
        <w:keepLines/>
        <w:spacing w:after="180" w:line="260" w:lineRule="auto"/>
        <w:ind w:left="420" w:hanging="420"/>
        <w:jc w:val="left"/>
      </w:pPr>
      <w:bookmarkStart w:id="38" w:name="reference_21"/>
      <w:r>
        <w:rPr>
          <w:sz w:val="20"/>
          <w:szCs w:val="20"/>
        </w:rPr>
        <w:t>[21]  Cilium TLS visibility.</w:t>
      </w:r>
      <w:bookmarkEnd w:id="38"/>
      <w:r>
        <w:rPr>
          <w:sz w:val="20"/>
          <w:szCs w:val="20"/>
        </w:rPr>
        <w:t xml:space="preserve"> </w:t>
      </w:r>
      <w:hyperlink r:id="rId53" w:history="1">
        <w:r>
          <w:rPr>
            <w:color w:val="222222"/>
            <w:sz w:val="20"/>
            <w:szCs w:val="20"/>
          </w:rPr>
          <w:t>https://docs.cilium.io/en/stable/security/tls-visibility/</w:t>
        </w:r>
      </w:hyperlink>
    </w:p>
    <w:p w14:paraId="1533C0AD" w14:textId="77777777" w:rsidR="00570780" w:rsidRDefault="00000000">
      <w:pPr>
        <w:keepLines/>
        <w:spacing w:after="180" w:line="260" w:lineRule="auto"/>
        <w:ind w:left="420" w:hanging="420"/>
        <w:jc w:val="left"/>
      </w:pPr>
      <w:bookmarkStart w:id="39" w:name="reference_22"/>
      <w:r>
        <w:rPr>
          <w:sz w:val="20"/>
          <w:szCs w:val="20"/>
        </w:rPr>
        <w:t>[22]  Tetragon overview.</w:t>
      </w:r>
      <w:bookmarkEnd w:id="39"/>
      <w:r>
        <w:rPr>
          <w:sz w:val="20"/>
          <w:szCs w:val="20"/>
        </w:rPr>
        <w:t xml:space="preserve"> </w:t>
      </w:r>
      <w:hyperlink r:id="rId54" w:history="1">
        <w:r>
          <w:rPr>
            <w:color w:val="222222"/>
            <w:sz w:val="20"/>
            <w:szCs w:val="20"/>
          </w:rPr>
          <w:t>https://tetragon.io/docs/overview/</w:t>
        </w:r>
      </w:hyperlink>
    </w:p>
    <w:p w14:paraId="7D736A36" w14:textId="77777777" w:rsidR="00570780" w:rsidRDefault="00000000">
      <w:pPr>
        <w:keepLines/>
        <w:spacing w:after="180" w:line="260" w:lineRule="auto"/>
        <w:ind w:left="420" w:hanging="420"/>
        <w:jc w:val="left"/>
      </w:pPr>
      <w:bookmarkStart w:id="40" w:name="reference_23"/>
      <w:r>
        <w:rPr>
          <w:sz w:val="20"/>
          <w:szCs w:val="20"/>
        </w:rPr>
        <w:t>[23]  Lambda permissions.</w:t>
      </w:r>
      <w:bookmarkEnd w:id="40"/>
      <w:r>
        <w:rPr>
          <w:sz w:val="20"/>
          <w:szCs w:val="20"/>
        </w:rPr>
        <w:t xml:space="preserve"> </w:t>
      </w:r>
      <w:hyperlink r:id="rId55" w:history="1">
        <w:r>
          <w:rPr>
            <w:color w:val="222222"/>
            <w:sz w:val="20"/>
            <w:szCs w:val="20"/>
          </w:rPr>
          <w:t>https://docs.aws.amazon.com/lambda/latest/dg/lambda-permissions.html</w:t>
        </w:r>
      </w:hyperlink>
    </w:p>
    <w:p w14:paraId="4FBE90C1" w14:textId="77777777" w:rsidR="00570780" w:rsidRDefault="00000000">
      <w:pPr>
        <w:keepLines/>
        <w:spacing w:after="180" w:line="260" w:lineRule="auto"/>
        <w:ind w:left="420" w:hanging="420"/>
        <w:jc w:val="left"/>
      </w:pPr>
      <w:bookmarkStart w:id="41" w:name="reference_24"/>
      <w:r>
        <w:rPr>
          <w:sz w:val="20"/>
          <w:szCs w:val="20"/>
        </w:rPr>
        <w:t>[24]  Lambda VPC configuration.</w:t>
      </w:r>
      <w:bookmarkEnd w:id="41"/>
      <w:r>
        <w:rPr>
          <w:sz w:val="20"/>
          <w:szCs w:val="20"/>
        </w:rPr>
        <w:t xml:space="preserve"> </w:t>
      </w:r>
      <w:hyperlink r:id="rId56" w:history="1">
        <w:r>
          <w:rPr>
            <w:color w:val="222222"/>
            <w:sz w:val="20"/>
            <w:szCs w:val="20"/>
          </w:rPr>
          <w:t>https://docs.aws.amazon.com/lambda/latest/dg/configuration-vpc.html</w:t>
        </w:r>
      </w:hyperlink>
    </w:p>
    <w:p>
      <w:pPr>
        <w:keepLines/>
        <w:spacing w:after="180" w:line="260" w:lineRule="auto"/>
        <w:ind w:left="420" w:hanging="420"/>
        <w:jc w:val="left"/>
      </w:pPr>
      <w:bookmarkStart w:id="201" w:name="reference_25"/>
      <w:r>
        <w:rPr>
          <w:sz w:val="20"/>
          <w:szCs w:val="20"/>
        </w:rPr>
        <w:t xml:space="preserve">[25]  PCI SSC, PCI DSS v4.0.1 publication and v4.0 retirement.</w:t>
      </w:r>
      <w:bookmarkEnd w:id="201"/>
      <w:r>
        <w:rPr>
          <w:sz w:val="20"/>
          <w:szCs w:val="20"/>
        </w:rPr>
        <w:t xml:space="preserve"> </w:t>
      </w:r>
      <w:hyperlink r:id="rId909" w:history="1">
        <w:r>
          <w:rPr>
            <w:color w:val="222222"/>
            <w:sz w:val="20"/>
            <w:szCs w:val="20"/>
          </w:rPr>
          <w:t xml:space="preserve">https://blog.pcisecuritystandards.org/just-published-pci-dss-v4-0-1</w:t>
        </w:r>
      </w:hyperlink>
    </w:p>
    <w:p>
      <w:pPr>
        <w:keepLines/>
        <w:spacing w:after="180" w:line="260" w:lineRule="auto"/>
        <w:ind w:left="420" w:hanging="420"/>
        <w:jc w:val="left"/>
      </w:pPr>
      <w:bookmarkStart w:id="202" w:name="reference_26"/>
      <w:r>
        <w:rPr>
          <w:sz w:val="20"/>
          <w:szCs w:val="20"/>
        </w:rPr>
        <w:t xml:space="preserve">[26]  PCI DSS v4.0 Requirement 11.5.1.1 text (third-party mirror; PCI SSC document server not reachable).</w:t>
      </w:r>
      <w:bookmarkEnd w:id="202"/>
      <w:r>
        <w:rPr>
          <w:sz w:val="20"/>
          <w:szCs w:val="20"/>
        </w:rPr>
        <w:t xml:space="preserve"> </w:t>
      </w:r>
      <w:hyperlink r:id="rId910" w:history="1">
        <w:r>
          <w:rPr>
            <w:color w:val="222222"/>
            <w:sz w:val="20"/>
            <w:szCs w:val="20"/>
          </w:rPr>
          <w:t xml:space="preserve">https://service.securitm.ru/docs/pci-dss-v4-0/requirement-11-5-1-1</w:t>
        </w:r>
      </w:hyperlink>
    </w:p>
    <w:p>
      <w:pPr>
        <w:keepLines/>
        <w:spacing w:after="180" w:line="260" w:lineRule="auto"/>
        <w:ind w:left="420" w:hanging="420"/>
        <w:jc w:val="left"/>
      </w:pPr>
      <w:bookmarkStart w:id="203" w:name="reference_27"/>
      <w:r>
        <w:rPr>
          <w:sz w:val="20"/>
          <w:szCs w:val="20"/>
        </w:rPr>
        <w:t xml:space="preserve">[27]  HHS, HIPAA Security Rule NPRM fact sheet.</w:t>
      </w:r>
      <w:bookmarkEnd w:id="203"/>
      <w:r>
        <w:rPr>
          <w:sz w:val="20"/>
          <w:szCs w:val="20"/>
        </w:rPr>
        <w:t xml:space="preserve"> </w:t>
      </w:r>
      <w:hyperlink r:id="rId911" w:history="1">
        <w:r>
          <w:rPr>
            <w:color w:val="222222"/>
            <w:sz w:val="20"/>
            <w:szCs w:val="20"/>
          </w:rPr>
          <w:t xml:space="preserve">https://hhs.gov/hipaa/for-professionals/security/hipaa-security-rule-nprm/factsheet</w:t>
        </w:r>
      </w:hyperlink>
    </w:p>
    <w:p>
      <w:pPr>
        <w:keepLines/>
        <w:spacing w:after="180" w:line="260" w:lineRule="auto"/>
        <w:ind w:left="420" w:hanging="420"/>
        <w:jc w:val="left"/>
      </w:pPr>
      <w:bookmarkStart w:id="204" w:name="reference_28"/>
      <w:r>
        <w:rPr>
          <w:sz w:val="20"/>
          <w:szCs w:val="20"/>
        </w:rPr>
        <w:t xml:space="preserve">[28]  Federal Register, 90 FR 898, HIPAA Security Rule NPRM, 6 January 2025.</w:t>
      </w:r>
      <w:bookmarkEnd w:id="204"/>
      <w:r>
        <w:rPr>
          <w:sz w:val="20"/>
          <w:szCs w:val="20"/>
        </w:rPr>
        <w:t xml:space="preserve"> </w:t>
      </w:r>
      <w:hyperlink r:id="rId912" w:history="1">
        <w:r>
          <w:rPr>
            <w:color w:val="222222"/>
            <w:sz w:val="20"/>
            <w:szCs w:val="20"/>
          </w:rPr>
          <w:t xml:space="preserve">https://www.federalregister.gov/documents/2025/01/06/2024-30983/hipaa-security-rule-to-strengthen-the-cybersecurity-of-electronic-protected-health-information</w:t>
        </w:r>
      </w:hyperlink>
    </w:p>
    <w:p>
      <w:pPr>
        <w:keepLines/>
        <w:spacing w:after="180" w:line="260" w:lineRule="auto"/>
        <w:ind w:left="420" w:hanging="420"/>
        <w:jc w:val="left"/>
      </w:pPr>
      <w:bookmarkStart w:id="205" w:name="reference_29"/>
      <w:r>
        <w:rPr>
          <w:sz w:val="20"/>
          <w:szCs w:val="20"/>
        </w:rPr>
        <w:t xml:space="preserve">[29]  Clark Hill, HIPAA Security Rule update delayed until 2027, July 2026.</w:t>
      </w:r>
      <w:bookmarkEnd w:id="205"/>
      <w:r>
        <w:rPr>
          <w:sz w:val="20"/>
          <w:szCs w:val="20"/>
        </w:rPr>
        <w:t xml:space="preserve"> </w:t>
      </w:r>
      <w:hyperlink r:id="rId913" w:history="1">
        <w:r>
          <w:rPr>
            <w:color w:val="222222"/>
            <w:sz w:val="20"/>
            <w:szCs w:val="20"/>
          </w:rPr>
          <w:t xml:space="preserve">https://www.clarkhill.com/news-events/news/hipaa-security-rule-update-delayed-until-2027/</w:t>
        </w:r>
      </w:hyperlink>
    </w:p>
    <w:p>
      <w:pPr>
        <w:keepLines/>
        <w:spacing w:after="180" w:line="260" w:lineRule="auto"/>
        <w:ind w:left="420" w:hanging="420"/>
        <w:jc w:val="left"/>
      </w:pPr>
      <w:bookmarkStart w:id="206" w:name="reference_30"/>
      <w:r>
        <w:rPr>
          <w:sz w:val="20"/>
          <w:szCs w:val="20"/>
        </w:rPr>
        <w:t xml:space="preserve">[30]  Cilium issue #27308, native IDS/IPS request (closed as not planned).</w:t>
      </w:r>
      <w:bookmarkEnd w:id="206"/>
      <w:r>
        <w:rPr>
          <w:sz w:val="20"/>
          <w:szCs w:val="20"/>
        </w:rPr>
        <w:t xml:space="preserve"> </w:t>
      </w:r>
      <w:hyperlink r:id="rId914" w:history="1">
        <w:r>
          <w:rPr>
            <w:color w:val="222222"/>
            <w:sz w:val="20"/>
            <w:szCs w:val="20"/>
          </w:rPr>
          <w:t xml:space="preserve">https://github.com/cilium/cilium/issues/27308</w:t>
        </w:r>
      </w:hyperlink>
    </w:p>
    <w:p>
      <w:pPr>
        <w:keepLines/>
        <w:spacing w:after="180" w:line="260" w:lineRule="auto"/>
        <w:ind w:left="420" w:hanging="420"/>
        <w:jc w:val="left"/>
      </w:pPr>
      <w:bookmarkStart w:id="207" w:name="reference_31"/>
      <w:r>
        <w:rPr>
          <w:sz w:val="20"/>
          <w:szCs w:val="20"/>
        </w:rPr>
        <w:t xml:space="preserve">[31]  Zscaler, Zenith Live 2026 workload security announcements, 5 June 2026.</w:t>
      </w:r>
      <w:bookmarkEnd w:id="207"/>
      <w:r>
        <w:rPr>
          <w:sz w:val="20"/>
          <w:szCs w:val="20"/>
        </w:rPr>
        <w:t xml:space="preserve"> </w:t>
      </w:r>
      <w:hyperlink r:id="rId915" w:history="1">
        <w:r>
          <w:rPr>
            <w:color w:val="222222"/>
            <w:sz w:val="20"/>
            <w:szCs w:val="20"/>
          </w:rPr>
          <w:t xml:space="preserve">https://www.zscaler.com/blogs/product-insights/zenith-live-2026-zero-trust-cloud-takes-workload-security-further</w:t>
        </w:r>
      </w:hyperlink>
    </w:p>
    <w:p>
      <w:pPr>
        <w:keepLines/>
        <w:spacing w:after="180" w:line="260" w:lineRule="auto"/>
        <w:ind w:left="420" w:hanging="420"/>
        <w:jc w:val="left"/>
      </w:pPr>
      <w:bookmarkStart w:id="208" w:name="reference_32"/>
      <w:r>
        <w:rPr>
          <w:sz w:val="20"/>
          <w:szCs w:val="20"/>
        </w:rPr>
        <w:t xml:space="preserve">[32]  Unisys, Stealth 6.0 release announcement, November 2020.</w:t>
      </w:r>
      <w:bookmarkEnd w:id="208"/>
      <w:r>
        <w:rPr>
          <w:sz w:val="20"/>
          <w:szCs w:val="20"/>
        </w:rPr>
        <w:t xml:space="preserve"> </w:t>
      </w:r>
      <w:hyperlink r:id="rId916" w:history="1">
        <w:r>
          <w:rPr>
            <w:color w:val="222222"/>
            <w:sz w:val="20"/>
            <w:szCs w:val="20"/>
          </w:rPr>
          <w:t xml:space="preserve">https://www.unisys.com/news-release/latest-version-of-unisys-stealth-features-new-automation-and-visualization-tools-to-accelerate-deployment-and-simplify-management/</w:t>
        </w:r>
      </w:hyperlink>
    </w:p>
    <w:sectPr w:rsidR="00570780">
      <w:headerReference w:type="default" r:id="rId57"/>
      <w:footerReference w:type="default" r:id="rId58"/>
      <w:pgSz w:w="12240" w:h="15840"/>
      <w:pgMar w:top="1440" w:right="1656" w:bottom="1440" w:left="1656"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9F164" w14:textId="77777777" w:rsidR="00AA7CEC" w:rsidRDefault="00AA7CEC">
      <w:pPr>
        <w:spacing w:after="0" w:line="240" w:lineRule="auto"/>
      </w:pPr>
      <w:r>
        <w:separator/>
      </w:r>
    </w:p>
  </w:endnote>
  <w:endnote w:type="continuationSeparator" w:id="0">
    <w:p w14:paraId="78410232" w14:textId="77777777" w:rsidR="00AA7CEC" w:rsidRDefault="00AA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63487" w14:textId="77777777" w:rsidR="00570780" w:rsidRDefault="00000000">
    <w:pPr>
      <w:jc w:val="center"/>
    </w:pPr>
    <w:r>
      <w:rPr>
        <w:color w:val="666666"/>
        <w:sz w:val="16"/>
        <w:szCs w:val="16"/>
      </w:rPr>
      <w:t>CVS Health | Network Security Engineering | Draft for Technical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653D8C" w14:textId="77777777" w:rsidR="00AA7CEC" w:rsidRDefault="00AA7CEC">
      <w:pPr>
        <w:spacing w:after="0" w:line="240" w:lineRule="auto"/>
      </w:pPr>
      <w:r>
        <w:separator/>
      </w:r>
    </w:p>
  </w:footnote>
  <w:footnote w:type="continuationSeparator" w:id="0">
    <w:p w14:paraId="5B2D9C2F" w14:textId="77777777" w:rsidR="00AA7CEC" w:rsidRDefault="00AA7C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BA912" w14:textId="77777777" w:rsidR="00570780" w:rsidRDefault="00000000">
    <w:pPr>
      <w:tabs>
        <w:tab w:val="right" w:pos="8928"/>
      </w:tabs>
      <w:jc w:val="left"/>
    </w:pPr>
    <w:r>
      <w:rPr>
        <w:i/>
        <w:iCs/>
        <w:color w:val="666666"/>
        <w:sz w:val="16"/>
        <w:szCs w:val="16"/>
      </w:rPr>
      <w:t>Server Egress &amp; Microsegmentation | v2.2</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8124F">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8124F">
      <w:rPr>
        <w:noProof/>
        <w:color w:val="666666"/>
        <w:sz w:val="16"/>
        <w:szCs w:val="16"/>
      </w:rPr>
      <w:t>2</w:t>
    </w:r>
    <w:r>
      <w:rPr>
        <w:color w:val="666666"/>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631875"/>
    <w:multiLevelType w:val="hybridMultilevel"/>
    <w:tmpl w:val="FFECA7B4"/>
    <w:lvl w:ilvl="0" w:tplc="479ED152">
      <w:start w:val="1"/>
      <w:numFmt w:val="bullet"/>
      <w:lvlText w:val="•"/>
      <w:lvlJc w:val="left"/>
      <w:pPr>
        <w:ind w:left="540" w:hanging="270"/>
      </w:pPr>
    </w:lvl>
    <w:lvl w:ilvl="1" w:tplc="D68423AA">
      <w:numFmt w:val="decimal"/>
      <w:lvlText w:val=""/>
      <w:lvlJc w:val="left"/>
    </w:lvl>
    <w:lvl w:ilvl="2" w:tplc="A62E9BC2">
      <w:numFmt w:val="decimal"/>
      <w:lvlText w:val=""/>
      <w:lvlJc w:val="left"/>
    </w:lvl>
    <w:lvl w:ilvl="3" w:tplc="D30284C4">
      <w:numFmt w:val="decimal"/>
      <w:lvlText w:val=""/>
      <w:lvlJc w:val="left"/>
    </w:lvl>
    <w:lvl w:ilvl="4" w:tplc="E31C6FA8">
      <w:numFmt w:val="decimal"/>
      <w:lvlText w:val=""/>
      <w:lvlJc w:val="left"/>
    </w:lvl>
    <w:lvl w:ilvl="5" w:tplc="0696F64E">
      <w:numFmt w:val="decimal"/>
      <w:lvlText w:val=""/>
      <w:lvlJc w:val="left"/>
    </w:lvl>
    <w:lvl w:ilvl="6" w:tplc="A69AEF04">
      <w:numFmt w:val="decimal"/>
      <w:lvlText w:val=""/>
      <w:lvlJc w:val="left"/>
    </w:lvl>
    <w:lvl w:ilvl="7" w:tplc="31A29F70">
      <w:numFmt w:val="decimal"/>
      <w:lvlText w:val=""/>
      <w:lvlJc w:val="left"/>
    </w:lvl>
    <w:lvl w:ilvl="8" w:tplc="09B0E6E6">
      <w:numFmt w:val="decimal"/>
      <w:lvlText w:val=""/>
      <w:lvlJc w:val="left"/>
    </w:lvl>
  </w:abstractNum>
  <w:abstractNum w:abstractNumId="1" w15:restartNumberingAfterBreak="0">
    <w:nsid w:val="6229055F"/>
    <w:multiLevelType w:val="hybridMultilevel"/>
    <w:tmpl w:val="8B967ED2"/>
    <w:lvl w:ilvl="0" w:tplc="BDDAD84A">
      <w:start w:val="1"/>
      <w:numFmt w:val="bullet"/>
      <w:lvlText w:val="●"/>
      <w:lvlJc w:val="left"/>
      <w:pPr>
        <w:ind w:left="720" w:hanging="360"/>
      </w:pPr>
    </w:lvl>
    <w:lvl w:ilvl="1" w:tplc="50F08856">
      <w:start w:val="1"/>
      <w:numFmt w:val="bullet"/>
      <w:lvlText w:val="○"/>
      <w:lvlJc w:val="left"/>
      <w:pPr>
        <w:ind w:left="1440" w:hanging="360"/>
      </w:pPr>
    </w:lvl>
    <w:lvl w:ilvl="2" w:tplc="B6A447CA">
      <w:start w:val="1"/>
      <w:numFmt w:val="bullet"/>
      <w:lvlText w:val="■"/>
      <w:lvlJc w:val="left"/>
      <w:pPr>
        <w:ind w:left="2160" w:hanging="360"/>
      </w:pPr>
    </w:lvl>
    <w:lvl w:ilvl="3" w:tplc="99C6C72E">
      <w:start w:val="1"/>
      <w:numFmt w:val="bullet"/>
      <w:lvlText w:val="●"/>
      <w:lvlJc w:val="left"/>
      <w:pPr>
        <w:ind w:left="2880" w:hanging="360"/>
      </w:pPr>
    </w:lvl>
    <w:lvl w:ilvl="4" w:tplc="BA1AF8C8">
      <w:start w:val="1"/>
      <w:numFmt w:val="bullet"/>
      <w:lvlText w:val="○"/>
      <w:lvlJc w:val="left"/>
      <w:pPr>
        <w:ind w:left="3600" w:hanging="360"/>
      </w:pPr>
    </w:lvl>
    <w:lvl w:ilvl="5" w:tplc="95EADAF8">
      <w:start w:val="1"/>
      <w:numFmt w:val="bullet"/>
      <w:lvlText w:val="■"/>
      <w:lvlJc w:val="left"/>
      <w:pPr>
        <w:ind w:left="4320" w:hanging="360"/>
      </w:pPr>
    </w:lvl>
    <w:lvl w:ilvl="6" w:tplc="D4F0802C">
      <w:start w:val="1"/>
      <w:numFmt w:val="bullet"/>
      <w:lvlText w:val="●"/>
      <w:lvlJc w:val="left"/>
      <w:pPr>
        <w:ind w:left="5040" w:hanging="360"/>
      </w:pPr>
    </w:lvl>
    <w:lvl w:ilvl="7" w:tplc="8A60FEA0">
      <w:start w:val="1"/>
      <w:numFmt w:val="bullet"/>
      <w:lvlText w:val="●"/>
      <w:lvlJc w:val="left"/>
      <w:pPr>
        <w:ind w:left="5760" w:hanging="360"/>
      </w:pPr>
    </w:lvl>
    <w:lvl w:ilvl="8" w:tplc="D310867E">
      <w:start w:val="1"/>
      <w:numFmt w:val="bullet"/>
      <w:lvlText w:val="●"/>
      <w:lvlJc w:val="left"/>
      <w:pPr>
        <w:ind w:left="6480" w:hanging="360"/>
      </w:pPr>
    </w:lvl>
  </w:abstractNum>
  <w:num w:numId="1" w16cid:durableId="1603411714">
    <w:abstractNumId w:val="1"/>
    <w:lvlOverride w:ilvl="0">
      <w:startOverride w:val="1"/>
    </w:lvlOverride>
  </w:num>
  <w:num w:numId="2" w16cid:durableId="13823673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780"/>
    <w:rsid w:val="00570780"/>
    <w:rsid w:val="0078124F"/>
    <w:rsid w:val="00A81729"/>
    <w:rsid w:val="00AA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5928C"/>
  <w15:docId w15:val="{2F732CDE-368E-8243-862A-58A4731D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jc w:val="left"/>
      <w:outlineLvl w:val="0"/>
    </w:pPr>
    <w:rPr>
      <w:b/>
      <w:bCs/>
      <w:sz w:val="26"/>
      <w:szCs w:val="26"/>
    </w:rPr>
  </w:style>
  <w:style w:type="paragraph" w:styleId="Heading2">
    <w:name w:val="heading 2"/>
    <w:uiPriority w:val="9"/>
    <w:unhideWhenUsed/>
    <w:qFormat/>
    <w:pPr>
      <w:keepNext/>
      <w:spacing w:before="25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pPr>
      <w:spacing w:after="60" w:line="220" w:lineRule="auto"/>
      <w:jc w:val="left"/>
    </w:pPr>
    <w:rPr>
      <w:sz w:val="18"/>
      <w:szCs w:val="18"/>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scaler.com/blogs/product-insights/identity-based-microsegmentation-foundational-cloud-security-don-t-get" TargetMode="External"/><Relationship Id="rId18" Type="http://schemas.openxmlformats.org/officeDocument/2006/relationships/hyperlink" Target="https://www.akamai.com/blog/security/feature-spotlight-kubernetes-enforcement" TargetMode="External"/><Relationship Id="rId26" Type="http://schemas.openxmlformats.org/officeDocument/2006/relationships/hyperlink" Target="https://kubernetes.io/docs/concepts/services-networking/network-policies/" TargetMode="External"/><Relationship Id="rId39" Type="http://schemas.openxmlformats.org/officeDocument/2006/relationships/hyperlink" Target="https://www.zscaler.com/products-and-solutions/microsegmentation" TargetMode="External"/><Relationship Id="rId21" Type="http://schemas.openxmlformats.org/officeDocument/2006/relationships/hyperlink" Target="https://zeronetworks.com/files/white-papers/ESG-Technical-Validation-Zero-Networks-Jul-2024.pdf" TargetMode="External"/><Relationship Id="rId34" Type="http://schemas.openxmlformats.org/officeDocument/2006/relationships/hyperlink" Target="https://docs.paloaltonetworks.com/network-security/decryption/administration/decryption-overview/decryption-profiles" TargetMode="External"/><Relationship Id="rId42" Type="http://schemas.openxmlformats.org/officeDocument/2006/relationships/hyperlink" Target="https://www.akamai.com/site/en/documents/checklist/2023/akamai-guardicore-segmentation-vs-traditional-microsegmentation-solutions.pdf" TargetMode="External"/><Relationship Id="rId47" Type="http://schemas.openxmlformats.org/officeDocument/2006/relationships/hyperlink" Target="https://support.elisity.com/hc/en-us/articles/15541796673300-Onboarding-Cisco-Switches-as-Virtual-Edge-Nodes" TargetMode="External"/><Relationship Id="rId50" Type="http://schemas.openxmlformats.org/officeDocument/2006/relationships/hyperlink" Target="https://www.zscaler.com/resources/white-papers/architects-guide-universal-ztna.pdf" TargetMode="External"/><Relationship Id="rId55" Type="http://schemas.openxmlformats.org/officeDocument/2006/relationships/hyperlink" Target="https://docs.aws.amazon.com/lambda/latest/dg/lambda-permissions.html" TargetMode="External"/><Relationship Id="rId7" Type="http://schemas.openxmlformats.org/officeDocument/2006/relationships/hyperlink" Target="https://nvlpubs.nist.gov/nistpubs/specialpublications/NIST.SP.800-207.pdf" TargetMode="External"/><Relationship Id="rId2" Type="http://schemas.openxmlformats.org/officeDocument/2006/relationships/styles" Target="styles.xml"/><Relationship Id="rId16" Type="http://schemas.openxmlformats.org/officeDocument/2006/relationships/hyperlink" Target="https://www.illumio.com/blog/palo-alto-networks-integration-deep-dive" TargetMode="External"/><Relationship Id="rId29" Type="http://schemas.openxmlformats.org/officeDocument/2006/relationships/hyperlink" Target="https://docs.aws.amazon.com/lambda/latest/dg/lambda-permissions.html" TargetMode="External"/><Relationship Id="rId11" Type="http://schemas.openxmlformats.org/officeDocument/2006/relationships/hyperlink" Target="https://www.unisys.com/news-release/unisys-announces-availability-of-unisys-stealth-four-security-software/" TargetMode="External"/><Relationship Id="rId24" Type="http://schemas.openxmlformats.org/officeDocument/2006/relationships/hyperlink" Target="https://www.zscaler.com/resources/white-papers/architects-guide-universal-ztna.pdf" TargetMode="External"/><Relationship Id="rId32" Type="http://schemas.openxmlformats.org/officeDocument/2006/relationships/hyperlink" Target="https://docs.paloaltonetworks.com/network-security/decryption/administration/decryption-overview/decryption-profiles" TargetMode="External"/><Relationship Id="rId37" Type="http://schemas.openxmlformats.org/officeDocument/2006/relationships/hyperlink" Target="https://ir.zscaler.com/news-releases/news-release-details/zscaler-acquires-edgewise-networks" TargetMode="External"/><Relationship Id="rId40" Type="http://schemas.openxmlformats.org/officeDocument/2006/relationships/hyperlink" Target="https://docs.illumio.com/asp/19.3/Content/Guides/introduction/policy-objects.htm" TargetMode="External"/><Relationship Id="rId45" Type="http://schemas.openxmlformats.org/officeDocument/2006/relationships/hyperlink" Target="https://www.cisco.com/c/en/us/products/collateral/data-center-analytics/tetration-analytics/cisco-secure-workload-dsv3a.html" TargetMode="External"/><Relationship Id="rId53" Type="http://schemas.openxmlformats.org/officeDocument/2006/relationships/hyperlink" Target="https://docs.cilium.io/en/stable/security/tls-visibility/" TargetMode="External"/><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hyperlink" Target="https://colortokens.com/wp-content/uploads/ColorTokens_Xshield-Solution_Brief.pdf" TargetMode="External"/><Relationship Id="rId4" Type="http://schemas.openxmlformats.org/officeDocument/2006/relationships/webSettings" Target="webSettings.xml"/><Relationship Id="rId9" Type="http://schemas.openxmlformats.org/officeDocument/2006/relationships/hyperlink" Target="https://docs.paloaltonetworks.com/network-security/decryption/administration/decryption-overview/decryption-profiles" TargetMode="External"/><Relationship Id="rId14" Type="http://schemas.openxmlformats.org/officeDocument/2006/relationships/hyperlink" Target="https://www.zscaler.com/products-and-solutions/microsegmentation" TargetMode="External"/><Relationship Id="rId22" Type="http://schemas.openxmlformats.org/officeDocument/2006/relationships/hyperlink" Target="https://marketplace.forescout.com/apps/eyeextend-for-palo-alto-networks-ngfw/" TargetMode="External"/><Relationship Id="rId27" Type="http://schemas.openxmlformats.org/officeDocument/2006/relationships/hyperlink" Target="https://docs.cilium.io/en/stable/security/tls-visibility/" TargetMode="External"/><Relationship Id="rId30" Type="http://schemas.openxmlformats.org/officeDocument/2006/relationships/hyperlink" Target="https://docs.aws.amazon.com/lambda/latest/dg/configuration-vpc.html" TargetMode="External"/><Relationship Id="rId35" Type="http://schemas.openxmlformats.org/officeDocument/2006/relationships/hyperlink" Target="https://www.unisys.com/siteassets/collateral/executive-brief/ex_200553_stealthproductsandservices.pdf" TargetMode="External"/><Relationship Id="rId43" Type="http://schemas.openxmlformats.org/officeDocument/2006/relationships/hyperlink" Target="https://www.akamai.com/blog/security/feature-spotlight-kubernetes-enforcement" TargetMode="External"/><Relationship Id="rId48" Type="http://schemas.openxmlformats.org/officeDocument/2006/relationships/hyperlink" Target="https://marketplace.forescout.com/apps/eyeextend-for-palo-alto-networks-ngfw/" TargetMode="External"/><Relationship Id="rId56" Type="http://schemas.openxmlformats.org/officeDocument/2006/relationships/hyperlink" Target="https://docs.aws.amazon.com/lambda/latest/dg/configuration-vpc.html" TargetMode="External"/><Relationship Id="rId8" Type="http://schemas.openxmlformats.org/officeDocument/2006/relationships/hyperlink" Target="https://docs.paloaltonetworks.com/network-security/decryption/administration/decryption-overview/decryption-profiles" TargetMode="External"/><Relationship Id="rId51" Type="http://schemas.openxmlformats.org/officeDocument/2006/relationships/hyperlink" Target="https://www.zscaler.com/blogs/company-news/zscaler-acquires-airgap-networks-extends-zero-trust-sase" TargetMode="External"/><Relationship Id="rId3" Type="http://schemas.openxmlformats.org/officeDocument/2006/relationships/settings" Target="settings.xml"/><Relationship Id="rId12" Type="http://schemas.openxmlformats.org/officeDocument/2006/relationships/hyperlink" Target="https://ir.zscaler.com/news-releases/news-release-details/zscaler-acquires-edgewise-networks" TargetMode="External"/><Relationship Id="rId17" Type="http://schemas.openxmlformats.org/officeDocument/2006/relationships/hyperlink" Target="https://www.akamai.com/site/en/documents/checklist/2023/akamai-guardicore-segmentation-vs-traditional-microsegmentation-solutions.pdf" TargetMode="External"/><Relationship Id="rId25" Type="http://schemas.openxmlformats.org/officeDocument/2006/relationships/hyperlink" Target="https://www.zscaler.com/blogs/company-news/zscaler-acquires-airgap-networks-extends-zero-trust-sase" TargetMode="External"/><Relationship Id="rId33" Type="http://schemas.openxmlformats.org/officeDocument/2006/relationships/hyperlink" Target="https://nvlpubs.nist.gov/nistpubs/specialpublications/NIST.SP.800-207.pdf" TargetMode="External"/><Relationship Id="rId38" Type="http://schemas.openxmlformats.org/officeDocument/2006/relationships/hyperlink" Target="https://www.zscaler.com/blogs/product-insights/identity-based-microsegmentation-foundational-cloud-security-don-t-get" TargetMode="External"/><Relationship Id="rId46" Type="http://schemas.openxmlformats.org/officeDocument/2006/relationships/hyperlink" Target="https://zeronetworks.com/files/white-papers/ESG-Technical-Validation-Zero-Networks-Jul-2024.pdf" TargetMode="External"/><Relationship Id="rId59" Type="http://schemas.openxmlformats.org/officeDocument/2006/relationships/fontTable" Target="fontTable.xml"/><Relationship Id="rId20" Type="http://schemas.openxmlformats.org/officeDocument/2006/relationships/hyperlink" Target="https://www.cisco.com/c/en/us/products/collateral/data-center-analytics/tetration-analytics/cisco-secure-workload-dsv3a.html" TargetMode="External"/><Relationship Id="rId41" Type="http://schemas.openxmlformats.org/officeDocument/2006/relationships/hyperlink" Target="https://www.illumio.com/blog/palo-alto-networks-integration-deep-dive" TargetMode="External"/><Relationship Id="rId54" Type="http://schemas.openxmlformats.org/officeDocument/2006/relationships/hyperlink" Target="https://tetragon.io/docs/overview/"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illumio.com/asp/19.3/Content/Guides/introduction/policy-objects.htm" TargetMode="External"/><Relationship Id="rId23" Type="http://schemas.openxmlformats.org/officeDocument/2006/relationships/hyperlink" Target="https://marketplace.forescout.com/apps/connect-app-for-claroty-xdome-and-medigate/" TargetMode="External"/><Relationship Id="rId28" Type="http://schemas.openxmlformats.org/officeDocument/2006/relationships/hyperlink" Target="https://tetragon.io/docs/overview/" TargetMode="External"/><Relationship Id="rId36" Type="http://schemas.openxmlformats.org/officeDocument/2006/relationships/hyperlink" Target="https://www.unisys.com/news-release/unisys-announces-availability-of-unisys-stealth-four-security-software/" TargetMode="External"/><Relationship Id="rId49" Type="http://schemas.openxmlformats.org/officeDocument/2006/relationships/hyperlink" Target="https://marketplace.forescout.com/apps/connect-app-for-claroty-xdome-and-medigate/" TargetMode="External"/><Relationship Id="rId57" Type="http://schemas.openxmlformats.org/officeDocument/2006/relationships/header" Target="header1.xml"/><Relationship Id="rId10" Type="http://schemas.openxmlformats.org/officeDocument/2006/relationships/hyperlink" Target="https://www.unisys.com/siteassets/collateral/executive-brief/ex_200553_stealthproductsandservices.pdf" TargetMode="External"/><Relationship Id="rId31" Type="http://schemas.openxmlformats.org/officeDocument/2006/relationships/hyperlink" Target="https://nvlpubs.nist.gov/nistpubs/specialpublications/NIST.SP.800-207.pdf" TargetMode="External"/><Relationship Id="rId44" Type="http://schemas.openxmlformats.org/officeDocument/2006/relationships/hyperlink" Target="https://colortokens.com/wp-content/uploads/ColorTokens_Xshield-Solution_Brief.pdf" TargetMode="External"/><Relationship Id="rId52" Type="http://schemas.openxmlformats.org/officeDocument/2006/relationships/hyperlink" Target="https://kubernetes.io/docs/concepts/services-networking/network-policies/" TargetMode="External"/><Relationship Id="rId60" Type="http://schemas.openxmlformats.org/officeDocument/2006/relationships/theme" Target="theme/theme1.xml"/><Relationship Id="rId901" Type="http://schemas.openxmlformats.org/officeDocument/2006/relationships/hyperlink" Target="https://www.unisys.com/news-release/latest-version-of-unisys-stealth-features-new-automation-and-visualization-tools-to-accelerate-deployment-and-simplify-management/" TargetMode="External"/><Relationship Id="rId902" Type="http://schemas.openxmlformats.org/officeDocument/2006/relationships/hyperlink" Target="https://www.zscaler.com/blogs/product-insights/zenith-live-2026-zero-trust-cloud-takes-workload-security-further" TargetMode="External"/><Relationship Id="rId903" Type="http://schemas.openxmlformats.org/officeDocument/2006/relationships/hyperlink" Target="https://github.com/cilium/cilium/issues/27308" TargetMode="External"/><Relationship Id="rId904" Type="http://schemas.openxmlformats.org/officeDocument/2006/relationships/hyperlink" Target="https://blog.pcisecuritystandards.org/just-published-pci-dss-v4-0-1" TargetMode="External"/><Relationship Id="rId905" Type="http://schemas.openxmlformats.org/officeDocument/2006/relationships/hyperlink" Target="https://service.securitm.ru/docs/pci-dss-v4-0/requirement-11-5-1-1" TargetMode="External"/><Relationship Id="rId906" Type="http://schemas.openxmlformats.org/officeDocument/2006/relationships/hyperlink" Target="https://hhs.gov/hipaa/for-professionals/security/hipaa-security-rule-nprm/factsheet" TargetMode="External"/><Relationship Id="rId907" Type="http://schemas.openxmlformats.org/officeDocument/2006/relationships/hyperlink" Target="https://www.federalregister.gov/documents/2025/01/06/2024-30983/hipaa-security-rule-to-strengthen-the-cybersecurity-of-electronic-protected-health-information" TargetMode="External"/><Relationship Id="rId908" Type="http://schemas.openxmlformats.org/officeDocument/2006/relationships/hyperlink" Target="https://www.clarkhill.com/news-events/news/hipaa-security-rule-update-delayed-until-2027/" TargetMode="External"/><Relationship Id="rId909" Type="http://schemas.openxmlformats.org/officeDocument/2006/relationships/hyperlink" Target="https://blog.pcisecuritystandards.org/just-published-pci-dss-v4-0-1" TargetMode="External"/><Relationship Id="rId910" Type="http://schemas.openxmlformats.org/officeDocument/2006/relationships/hyperlink" Target="https://service.securitm.ru/docs/pci-dss-v4-0/requirement-11-5-1-1" TargetMode="External"/><Relationship Id="rId911" Type="http://schemas.openxmlformats.org/officeDocument/2006/relationships/hyperlink" Target="https://hhs.gov/hipaa/for-professionals/security/hipaa-security-rule-nprm/factsheet" TargetMode="External"/><Relationship Id="rId912" Type="http://schemas.openxmlformats.org/officeDocument/2006/relationships/hyperlink" Target="https://www.federalregister.gov/documents/2025/01/06/2024-30983/hipaa-security-rule-to-strengthen-the-cybersecurity-of-electronic-protected-health-information" TargetMode="External"/><Relationship Id="rId913" Type="http://schemas.openxmlformats.org/officeDocument/2006/relationships/hyperlink" Target="https://www.clarkhill.com/news-events/news/hipaa-security-rule-update-delayed-until-2027/" TargetMode="External"/><Relationship Id="rId914" Type="http://schemas.openxmlformats.org/officeDocument/2006/relationships/hyperlink" Target="https://github.com/cilium/cilium/issues/27308" TargetMode="External"/><Relationship Id="rId915" Type="http://schemas.openxmlformats.org/officeDocument/2006/relationships/hyperlink" Target="https://www.zscaler.com/blogs/product-insights/zenith-live-2026-zero-trust-cloud-takes-workload-security-further" TargetMode="External"/><Relationship Id="rId916" Type="http://schemas.openxmlformats.org/officeDocument/2006/relationships/hyperlink" Target="https://www.unisys.com/news-release/latest-version-of-unisys-stealth-features-new-automation-and-visualization-tools-to-accelerate-deployment-and-simplify-management/" TargetMode="External"/><Relationship Id="rId917" Type="http://schemas.openxmlformats.org/officeDocument/2006/relationships/hyperlink" Target="https://tetragon.io/doc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8290</Words>
  <Characters>58528</Characters>
  <Application>Microsoft Office Word</Application>
  <DocSecurity>0</DocSecurity>
  <Lines>1026</Lines>
  <Paragraphs>470</Paragraphs>
  <ScaleCrop>false</ScaleCrop>
  <Company/>
  <LinksUpToDate>false</LinksUpToDate>
  <CharactersWithSpaces>66348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Server-Side Egress Security and Microsegmentation Architecture Survey</dc:title>
  <dc:subject>Architectural models for egress security and lateral-movement containment</dc:subject>
  <dc:creator>Michael J. Martin</dc:creator>
  <dc:description>Version 2.2, draft for technical review, 27 September 2026.</dc:description>
  <cp:lastModifiedBy>Sam Martin</cp:lastModifiedBy>
  <cp:revision>2</cp:revision>
  <dcterms:created xsi:type="dcterms:W3CDTF">2026-09-27T00:01:00Z</dcterms:created>
  <dcterms:modified xsi:type="dcterms:W3CDTF">2026-09-27T00:01:00Z</dcterms:modified>
</cp:coreProperties>
</file>