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120"/>
        <w:jc w:val="center"/>
      </w:pPr>
      <w:r>
        <w:rPr>
          <w:rFonts w:ascii="Times New Roman" w:cs="Times New Roman" w:eastAsia="Times New Roman" w:hAnsi="Times New Roman"/>
          <w:b/>
          <w:bCs/>
          <w:i w:val="false"/>
          <w:iCs w:val="false"/>
          <w:sz w:val="32"/>
          <w:szCs w:val="32"/>
        </w:rPr>
        <w:t xml:space="preserve">User vs. Workload Enforcement Model</w:t>
      </w:r>
    </w:p>
    <w:p>
      <w:pPr>
        <w:spacing w:after="200"/>
        <w:jc w:val="center"/>
      </w:pPr>
      <w:r>
        <w:rPr>
          <w:rFonts w:ascii="Times New Roman" w:cs="Times New Roman" w:eastAsia="Times New Roman" w:hAnsi="Times New Roman"/>
          <w:b w:val="false"/>
          <w:bCs w:val="false"/>
          <w:i w:val="false"/>
          <w:iCs w:val="false"/>
          <w:sz w:val="26"/>
          <w:szCs w:val="26"/>
        </w:rPr>
        <w:t xml:space="preserve">Enforcement Value and Detection Capability of the CVS Health ZIA Policy by Traffic Source</w:t>
      </w:r>
    </w:p>
    <w:p>
      <w:pPr>
        <w:spacing w:after="60"/>
        <w:jc w:val="center"/>
      </w:pPr>
      <w:r>
        <w:rPr>
          <w:rFonts w:ascii="Times New Roman" w:cs="Times New Roman" w:eastAsia="Times New Roman" w:hAnsi="Times New Roman"/>
          <w:b w:val="false"/>
          <w:bCs w:val="false"/>
          <w:i w:val="false"/>
          <w:iCs w:val="false"/>
          <w:sz w:val="22"/>
          <w:szCs w:val="22"/>
        </w:rPr>
        <w:t xml:space="preserve">M.J. Martin</w:t>
      </w:r>
    </w:p>
    <w:p>
      <w:pPr>
        <w:spacing w:after="60"/>
        <w:jc w:val="center"/>
      </w:pPr>
      <w:r>
        <w:rPr>
          <w:rFonts w:ascii="Times New Roman" w:cs="Times New Roman" w:eastAsia="Times New Roman" w:hAnsi="Times New Roman"/>
          <w:b w:val="false"/>
          <w:bCs w:val="false"/>
          <w:i w:val="false"/>
          <w:iCs w:val="false"/>
          <w:sz w:val="22"/>
          <w:szCs w:val="22"/>
        </w:rPr>
        <w:t xml:space="preserve">Network Security Engineering, CVS Health</w:t>
      </w:r>
    </w:p>
    <w:p>
      <w:pPr>
        <w:spacing w:after="60"/>
        <w:jc w:val="center"/>
      </w:pPr>
      <w:r>
        <w:rPr>
          <w:rFonts w:ascii="Times New Roman" w:cs="Times New Roman" w:eastAsia="Times New Roman" w:hAnsi="Times New Roman"/>
          <w:b w:val="false"/>
          <w:bCs w:val="false"/>
          <w:i w:val="false"/>
          <w:iCs w:val="false"/>
          <w:sz w:val="20"/>
          <w:szCs w:val="20"/>
        </w:rPr>
        <w:t xml:space="preserve">Version 1.1 — 29 September 2026</w:t>
      </w:r>
    </w:p>
    <w:p>
      <w:pPr>
        <w:spacing w:after="60"/>
        <w:jc w:val="center"/>
      </w:pPr>
      <w:r>
        <w:rPr>
          <w:rFonts w:ascii="Times New Roman" w:cs="Times New Roman" w:eastAsia="Times New Roman" w:hAnsi="Times New Roman"/>
          <w:b w:val="false"/>
          <w:bCs w:val="false"/>
          <w:i w:val="false"/>
          <w:iCs w:val="false"/>
          <w:sz w:val="20"/>
          <w:szCs w:val="20"/>
        </w:rPr>
        <w:t xml:space="preserve">Classification: Internal — Confidential</w:t>
      </w:r>
    </w:p>
    <w:p>
      <w:pPr>
        <w:spacing w:after="60"/>
        <w:jc w:val="center"/>
      </w:pPr>
      <w:r>
        <w:rPr>
          <w:rFonts w:ascii="Times New Roman" w:cs="Times New Roman" w:eastAsia="Times New Roman" w:hAnsi="Times New Roman"/>
          <w:b/>
          <w:bCs/>
          <w:sz w:val="20"/>
          <w:szCs w:val="20"/>
        </w:rPr>
        <w:t xml:space="preserve">Source: </w:t>
      </w:r>
      <w:r>
        <w:rPr>
          <w:rFonts w:ascii="Times New Roman" w:cs="Times New Roman" w:eastAsia="Times New Roman" w:hAnsi="Times New Roman"/>
          <w:i/>
          <w:iCs/>
          <w:sz w:val="20"/>
          <w:szCs w:val="20"/>
        </w:rPr>
        <w:t xml:space="preserve">ZIA API export of 29 September 2026; "Print All Policies" exports of 27 May 2026 and 2 December 2025</w:t>
      </w:r>
    </w:p>
    <w:p>
      <w:pPr>
        <w:spacing w:after="120"/>
        <w:jc w:val="center"/>
      </w:pPr>
      <w:r>
        <w:rPr>
          <w:rFonts w:ascii="Times New Roman" w:cs="Times New Roman" w:eastAsia="Times New Roman" w:hAnsi="Times New Roman"/>
          <w:b/>
          <w:bCs/>
          <w:i w:val="false"/>
          <w:iCs w:val="false"/>
          <w:sz w:val="22"/>
          <w:szCs w:val="22"/>
        </w:rPr>
        <w:t xml:space="preserve">Abstract</w:t>
      </w:r>
    </w:p>
    <w:p>
      <w:pPr>
        <w:spacing w:after="120" w:line="276" w:lineRule="exact"/>
        <w:ind w:left="360" w:right="360"/>
        <w:jc w:val="both"/>
      </w:pPr>
      <w:r>
        <w:rPr>
          <w:rFonts w:ascii="Times New Roman" w:cs="Times New Roman" w:eastAsia="Times New Roman" w:hAnsi="Times New Roman"/>
          <w:sz w:val="20"/>
          <w:szCs w:val="20"/>
        </w:rPr>
        <w:t xml:space="preserve">The CVS Health ZIA tenant is licensed and configured for a broad set of controls: SSL inspection, URL and cloud app control, sandbox, IPS, inline and API DLP, isolation, tenant restrictions, and a cloud firewall. A configured control has value only where it actually prevents or detects something on the traffic that crosses it. This paper rates, rule by rule, how much preventive enforcement and detection fidelity each of 16 ZIA capabilities delivers to six traffic populations: three user populations and three workload (server-originated) populations. Each population is identified solely by the location or identity criteria that ZIA can evaluate. The result is a steep gradient. On a 0–100 scale weighting prevention above detection, decrypted remote users score 72, developer users 50, and retail/IoT traffic 43. AWS and Azure Sandbox workloads score 42, GCP and Azure Cloud Connector workloads 27, and GCP-Egress workloads 17. Detection falls the same way. Remote users generate content-level telemetry: DLP incidents, malware verdicts, full URLs, and user identity. Workloads generate hostname- and flow-level records, attributable only by location and source IP, and no content telemetry at all. For personal health data, the highest-value asset in scope, the inline control delivers detection rather than prevention even for users, and delivers neither for servers. The root cause is architectural, not a matter of individual rules. ZIA identifies users but not workloads. Workload TLS is not decrypted because workloads do not trust the Zscaler CA. And each new cloud location has been added to bypass and blanket-allow rules as it came online. The tenant already contains the means to change this: a DigiCert-chained intermediate CA piloted for workload decryption in 2024 (SSL rule 15). The paper closes with a workload enforcement model and a detection baseline. Revision 1.1 re-rates every cell against the 29 September 2026 export. No rating changes. The September additions for AI services, a Claude tenant header for all users and a Bedrock inspection rule, act on decrypted user traffic only. Rule numbers are now September 2026.</w:t>
      </w:r>
    </w:p>
    <w:p>
      <w:pPr>
        <w:pStyle w:val="Heading1"/>
        <w:pageBreakBefore/>
      </w:pPr>
      <w:r>
        <w:rPr>
          <w:rFonts w:ascii="Times New Roman" w:cs="Times New Roman" w:eastAsia="Times New Roman" w:hAnsi="Times New Roman"/>
          <w:b/>
          <w:bCs/>
          <w:sz w:val="26"/>
          <w:szCs w:val="26"/>
        </w:rPr>
        <w:t xml:space="preserve">1. WHY FRAME THE POLICY BY ENFORCEMENT VALUE</w:t>
      </w:r>
    </w:p>
    <w:p>
      <w:pPr>
        <w:spacing w:after="120" w:line="276" w:lineRule="exact"/>
        <w:jc w:val="both"/>
      </w:pPr>
      <w:r>
        <w:rPr>
          <w:rFonts w:ascii="Times New Roman" w:cs="Times New Roman" w:eastAsia="Times New Roman" w:hAnsi="Times New Roman"/>
        </w:rPr>
        <w:t xml:space="preserve">Earlier analyses of this tenant described its configuration: what rules exist, how they are ordered, and where they are weak. That is necessary but insufficient. Every license feature and every configured rule represents an intended control outcome, and the question that matters for risk is whether that outcome is achieved for the traffic that actually passes. A DLP rule that blocks HICN uploads to personal OneDrive has full value for a decrypted remote user. It has no value for the same upload from a workload in GCP, because that traffic is never decrypted and the rule never sees it. The rule appears in the policy in both cases, and the protection exists in only one.</w:t>
      </w:r>
    </w:p>
    <w:p>
      <w:pPr>
        <w:spacing w:after="120" w:line="276" w:lineRule="exact"/>
        <w:jc w:val="both"/>
      </w:pPr>
      <w:r>
        <w:rPr>
          <w:rFonts w:ascii="Times New Roman" w:cs="Times New Roman" w:eastAsia="Times New Roman" w:hAnsi="Times New Roman"/>
        </w:rPr>
        <w:t xml:space="preserve">This paper therefore separates three things for every capability and every traffic population:</w:t>
      </w:r>
    </w:p>
    <w:p>
      <w:pPr>
        <w:pStyle w:val="ListParagraph"/>
        <w:numPr>
          <w:ilvl w:val="0"/>
          <w:numId w:val="2"/>
        </w:numPr>
        <w:spacing w:after="60" w:line="276" w:lineRule="exact"/>
        <w:jc w:val="both"/>
      </w:pPr>
      <w:r>
        <w:rPr>
          <w:rFonts w:ascii="Times New Roman" w:cs="Times New Roman" w:eastAsia="Times New Roman" w:hAnsi="Times New Roman"/>
          <w:b/>
          <w:bCs/>
        </w:rPr>
        <w:t xml:space="preserve">Configured intent:</w:t>
      </w:r>
      <w:r>
        <w:rPr>
          <w:rFonts w:ascii="Times New Roman" w:cs="Times New Roman" w:eastAsia="Times New Roman" w:hAnsi="Times New Roman"/>
        </w:rPr>
        <w:t xml:space="preserve"> what the rules say should happen.</w:t>
      </w:r>
    </w:p>
    <w:p>
      <w:pPr>
        <w:pStyle w:val="ListParagraph"/>
        <w:numPr>
          <w:ilvl w:val="0"/>
          <w:numId w:val="2"/>
        </w:numPr>
        <w:spacing w:after="60" w:line="276" w:lineRule="exact"/>
        <w:jc w:val="both"/>
      </w:pPr>
      <w:r>
        <w:rPr>
          <w:rFonts w:ascii="Times New Roman" w:cs="Times New Roman" w:eastAsia="Times New Roman" w:hAnsi="Times New Roman"/>
          <w:b/>
          <w:bCs/>
        </w:rPr>
        <w:t xml:space="preserve">Enforcement value:</w:t>
      </w:r>
      <w:r>
        <w:rPr>
          <w:rFonts w:ascii="Times New Roman" w:cs="Times New Roman" w:eastAsia="Times New Roman" w:hAnsi="Times New Roman"/>
        </w:rPr>
        <w:t xml:space="preserve"> whether ZIA can and does prevent the undesired outcome inline.</w:t>
      </w:r>
    </w:p>
    <w:p>
      <w:pPr>
        <w:pStyle w:val="ListParagraph"/>
        <w:numPr>
          <w:ilvl w:val="0"/>
          <w:numId w:val="2"/>
        </w:numPr>
        <w:spacing w:after="60" w:line="276" w:lineRule="exact"/>
        <w:jc w:val="both"/>
      </w:pPr>
      <w:r>
        <w:rPr>
          <w:rFonts w:ascii="Times New Roman" w:cs="Times New Roman" w:eastAsia="Times New Roman" w:hAnsi="Times New Roman"/>
          <w:b/>
          <w:bCs/>
        </w:rPr>
        <w:t xml:space="preserve">Detection value:</w:t>
      </w:r>
      <w:r>
        <w:rPr>
          <w:rFonts w:ascii="Times New Roman" w:cs="Times New Roman" w:eastAsia="Times New Roman" w:hAnsi="Times New Roman"/>
        </w:rPr>
        <w:t xml:space="preserve"> what ZIA can observe and record about the transaction, at what fidelity, and with what attribution, so that the security operations function can find it afterwards.</w:t>
      </w:r>
    </w:p>
    <w:p>
      <w:pPr>
        <w:spacing w:after="120" w:line="276" w:lineRule="exact"/>
        <w:jc w:val="both"/>
      </w:pPr>
      <w:r>
        <w:rPr>
          <w:rFonts w:ascii="Times New Roman" w:cs="Times New Roman" w:eastAsia="Times New Roman" w:hAnsi="Times New Roman"/>
        </w:rPr>
        <w:t xml:space="preserve">The distinction between user-originated and server-originated traffic is the axis along which these three diverge most. User traffic carries an identity, runs on managed endpoints that trust the Zscaler CA, and is governed by user and group rules. Server traffic carries only a location and a source address, runs on hosts that do not trust the CA, and falls through every identity rule to whatever the location-scoped and tenant-wide rules allow.</w:t>
      </w:r>
    </w:p>
    <w:p>
      <w:pPr>
        <w:pStyle w:val="Heading1"/>
      </w:pPr>
      <w:r>
        <w:rPr>
          <w:rFonts w:ascii="Times New Roman" w:cs="Times New Roman" w:eastAsia="Times New Roman" w:hAnsi="Times New Roman"/>
          <w:b/>
          <w:bCs/>
          <w:sz w:val="26"/>
          <w:szCs w:val="26"/>
        </w:rPr>
        <w:t xml:space="preserve">2. METHOD</w:t>
      </w:r>
    </w:p>
    <w:p>
      <w:pPr>
        <w:pStyle w:val="Heading2"/>
      </w:pPr>
      <w:r>
        <w:rPr>
          <w:rFonts w:ascii="Times New Roman" w:cs="Times New Roman" w:eastAsia="Times New Roman" w:hAnsi="Times New Roman"/>
          <w:b/>
          <w:bCs/>
          <w:sz w:val="22"/>
          <w:szCs w:val="22"/>
        </w:rPr>
        <w:t xml:space="preserve">2.1 Populations</w:t>
      </w:r>
    </w:p>
    <w:p>
      <w:pPr>
        <w:spacing w:after="120" w:line="276" w:lineRule="exact"/>
        <w:jc w:val="both"/>
      </w:pPr>
      <w:r>
        <w:rPr>
          <w:rFonts w:ascii="Times New Roman" w:cs="Times New Roman" w:eastAsia="Times New Roman" w:hAnsi="Times New Roman"/>
        </w:rPr>
        <w:t xml:space="preserve">Populations are defined only by criteria the ZIA policy can evaluate. Location names come from rule criteria in the May 2026 and September 2026 exports. The September API export writes Road Warrior as </w:t>
      </w:r>
      <w:r>
        <w:rPr>
          <w:rFonts w:ascii="Consolas" w:cs="Consolas" w:eastAsia="Consolas" w:hAnsi="Consolas"/>
          <w:sz w:val="19"/>
          <w:szCs w:val="19"/>
        </w:rPr>
        <w:t xml:space="preserve">LOC_DEFAULT</w:t>
      </w:r>
      <w:r>
        <w:rPr>
          <w:rFonts w:ascii="Times New Roman" w:cs="Times New Roman" w:eastAsia="Times New Roman" w:hAnsi="Times New Roman"/>
        </w:rPr>
        <w:t xml:space="preserve"> (mapping INFERRED from rules that printed "Road Warrior" in May). Group membership is not in either export, so each population’s size is unknown (VERIFY). </w:t>
      </w:r>
      <w:r>
        <w:rPr>
          <w:rFonts w:ascii="Times New Roman" w:cs="Times New Roman" w:eastAsia="Times New Roman" w:hAnsi="Times New Roman"/>
          <w:b/>
          <w:bCs/>
        </w:rPr>
        <w:t xml:space="preserve">Rule numbers in this revision are those of the 29 September 2026 export.</w:t>
      </w:r>
    </w:p>
    <w:p>
      <w:pPr>
        <w:keepNext/>
        <w:spacing w:after="80" w:before="120"/>
        <w:jc w:val="center"/>
      </w:pPr>
      <w:r>
        <w:rPr>
          <w:rFonts w:ascii="Times New Roman" w:cs="Times New Roman" w:eastAsia="Times New Roman" w:hAnsi="Times New Roman"/>
          <w:i/>
          <w:iCs/>
          <w:sz w:val="20"/>
          <w:szCs w:val="20"/>
        </w:rPr>
        <w:t xml:space="preserve">Table 1. Traffic populations</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496"/>
        <w:gridCol w:w="2182"/>
        <w:gridCol w:w="3174"/>
        <w:gridCol w:w="3076"/>
      </w:tblGrid>
      <w:tr>
        <w:trPr>
          <w:cantSplit/>
          <w:tblHeader/>
        </w:trPr>
        <w:tc>
          <w:tcPr>
            <w:tcW w:type="dxa" w:w="496"/>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ID</w:t>
            </w:r>
          </w:p>
        </w:tc>
        <w:tc>
          <w:tcPr>
            <w:tcW w:type="dxa" w:w="2182"/>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Population</w:t>
            </w:r>
          </w:p>
        </w:tc>
        <w:tc>
          <w:tcPr>
            <w:tcW w:type="dxa" w:w="3174"/>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How ZIA recognises it</w:t>
            </w:r>
          </w:p>
        </w:tc>
        <w:tc>
          <w:tcPr>
            <w:tcW w:type="dxa" w:w="3076"/>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Key governing rules</w:t>
            </w:r>
          </w:p>
        </w:tc>
      </w:tr>
      <w:tr>
        <w:trPr>
          <w:cantSplit/>
          <w:tblHeader w:val="false"/>
        </w:trPr>
        <w:tc>
          <w:tcPr>
            <w:tcW w:type="dxa" w:w="49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U1</w:t>
            </w:r>
          </w:p>
        </w:tc>
        <w:tc>
          <w:tcPr>
            <w:tcW w:type="dxa" w:w="21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Remote user (general)</w:t>
            </w:r>
          </w:p>
        </w:tc>
        <w:tc>
          <w:tcPr>
            <w:tcW w:type="dxa" w:w="317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Location "Road Warrior" + authenticated user identity</w:t>
            </w:r>
          </w:p>
        </w:tc>
        <w:tc>
          <w:tcPr>
            <w:tcW w:type="dxa" w:w="30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SSL 25, 39 (InspectALL); full URL/cloud app/DLP rule set</w:t>
            </w:r>
          </w:p>
        </w:tc>
      </w:tr>
      <w:tr>
        <w:trPr>
          <w:cantSplit/>
          <w:tblHeader w:val="false"/>
        </w:trPr>
        <w:tc>
          <w:tcPr>
            <w:tcW w:type="dxa" w:w="49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U2</w:t>
            </w:r>
          </w:p>
        </w:tc>
        <w:tc>
          <w:tcPr>
            <w:tcW w:type="dxa" w:w="21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Remote user in developer groups/departments</w:t>
            </w:r>
          </w:p>
        </w:tc>
        <w:tc>
          <w:tcPr>
            <w:tcW w:type="dxa" w:w="317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As U1, plus membership of the engineering departments and GitHub/Dev groups in SSL rule 34</w:t>
            </w:r>
          </w:p>
        </w:tc>
        <w:tc>
          <w:tcPr>
            <w:tcW w:type="dxa" w:w="30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SSL 34 (73 dev apps not inspected); DLP 6</w:t>
            </w:r>
          </w:p>
        </w:tc>
      </w:tr>
      <w:tr>
        <w:trPr>
          <w:cantSplit/>
          <w:tblHeader w:val="false"/>
        </w:trPr>
        <w:tc>
          <w:tcPr>
            <w:tcW w:type="dxa" w:w="49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U3</w:t>
            </w:r>
          </w:p>
        </w:tc>
        <w:tc>
          <w:tcPr>
            <w:tcW w:type="dxa" w:w="21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Retail store, store IoT, CVSConnect guest Wi-Fi</w:t>
            </w:r>
          </w:p>
        </w:tc>
        <w:tc>
          <w:tcPr>
            <w:tcW w:type="dxa" w:w="317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Location groups Retail Stores, IoT Traffic Group, CVSConnect; locations RI68517, RI00590</w:t>
            </w:r>
          </w:p>
        </w:tc>
        <w:tc>
          <w:tcPr>
            <w:tcW w:type="dxa" w:w="30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SSL 22 (not inspected); URL 40, 45; cloud app retail rules</w:t>
            </w:r>
          </w:p>
        </w:tc>
      </w:tr>
      <w:tr>
        <w:trPr>
          <w:cantSplit/>
          <w:tblHeader w:val="false"/>
        </w:trPr>
        <w:tc>
          <w:tcPr>
            <w:tcW w:type="dxa" w:w="49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W1</w:t>
            </w:r>
          </w:p>
        </w:tc>
        <w:tc>
          <w:tcPr>
            <w:tcW w:type="dxa" w:w="21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GCP-Egress workloads</w:t>
            </w:r>
          </w:p>
        </w:tc>
        <w:tc>
          <w:tcPr>
            <w:tcW w:type="dxa" w:w="317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Location groups GCP-Egress-Prod/NonProd; no identity</w:t>
            </w:r>
          </w:p>
        </w:tc>
        <w:tc>
          <w:tcPr>
            <w:tcW w:type="dxa" w:w="30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SSL 2; FW 13, 14, 17–22, 25; URL 35; 13 cloud app allow rules</w:t>
            </w:r>
          </w:p>
        </w:tc>
      </w:tr>
      <w:tr>
        <w:trPr>
          <w:cantSplit/>
          <w:tblHeader w:val="false"/>
        </w:trPr>
        <w:tc>
          <w:tcPr>
            <w:tcW w:type="dxa" w:w="49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W2</w:t>
            </w:r>
          </w:p>
        </w:tc>
        <w:tc>
          <w:tcPr>
            <w:tcW w:type="dxa" w:w="21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GCP and Azure Cloud Connector workloads</w:t>
            </w:r>
          </w:p>
        </w:tc>
        <w:tc>
          <w:tcPr>
            <w:tcW w:type="dxa" w:w="317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GCP CC Prod/NonProd/SharedHub/SecureHub/RX; Azure CC Prod/NonProd; no identity</w:t>
            </w:r>
          </w:p>
        </w:tc>
        <w:tc>
          <w:tcPr>
            <w:tcW w:type="dxa" w:w="30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SSL 1, 2, 6, 8; FW 14, 22, 24, 25; URL 28, 29</w:t>
            </w:r>
          </w:p>
        </w:tc>
      </w:tr>
      <w:tr>
        <w:trPr>
          <w:cantSplit/>
          <w:tblHeader w:val="false"/>
        </w:trPr>
        <w:tc>
          <w:tcPr>
            <w:tcW w:type="dxa" w:w="496"/>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W3</w:t>
            </w:r>
          </w:p>
        </w:tc>
        <w:tc>
          <w:tcPr>
            <w:tcW w:type="dxa" w:w="2182"/>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AWS Cloud Connector and Azure Sandbox workloads</w:t>
            </w:r>
          </w:p>
        </w:tc>
        <w:tc>
          <w:tcPr>
            <w:tcW w:type="dxa" w:w="3174"/>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AWS CC SecureHub Prod/POC/NonProd, AWS Aetna Digital CC, Azure Sandbox 2.0; no identity</w:t>
            </w:r>
          </w:p>
        </w:tc>
        <w:tc>
          <w:tcPr>
            <w:tcW w:type="dxa" w:w="3076"/>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SSL 1, 7, 8; FW 14 (Aetna Digital only), tenant-wide rules, default deny</w:t>
            </w:r>
          </w:p>
        </w:tc>
      </w:tr>
    </w:tbl>
    <w:p>
      <w:pPr>
        <w:spacing w:after="80"/>
      </w:pPr>
    </w:p>
    <w:p>
      <w:pPr>
        <w:pStyle w:val="Heading2"/>
      </w:pPr>
      <w:r>
        <w:rPr>
          <w:rFonts w:ascii="Times New Roman" w:cs="Times New Roman" w:eastAsia="Times New Roman" w:hAnsi="Times New Roman"/>
          <w:b/>
          <w:bCs/>
          <w:sz w:val="22"/>
          <w:szCs w:val="22"/>
        </w:rPr>
        <w:t xml:space="preserve">2.2 Enforcement value scale</w:t>
      </w:r>
    </w:p>
    <w:p>
      <w:pPr>
        <w:keepNext/>
        <w:spacing w:after="80" w:before="120"/>
        <w:jc w:val="center"/>
      </w:pPr>
      <w:r>
        <w:rPr>
          <w:rFonts w:ascii="Times New Roman" w:cs="Times New Roman" w:eastAsia="Times New Roman" w:hAnsi="Times New Roman"/>
          <w:i/>
          <w:iCs/>
          <w:sz w:val="20"/>
          <w:szCs w:val="20"/>
        </w:rPr>
        <w:t xml:space="preserve">Table 2. Enforcement ratings</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1437"/>
        <w:gridCol w:w="6465"/>
        <w:gridCol w:w="1026"/>
      </w:tblGrid>
      <w:tr>
        <w:trPr>
          <w:cantSplit/>
          <w:tblHeader/>
        </w:trPr>
        <w:tc>
          <w:tcPr>
            <w:tcW w:type="dxa" w:w="1437"/>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Rating</w:t>
            </w:r>
          </w:p>
        </w:tc>
        <w:tc>
          <w:tcPr>
            <w:tcW w:type="dxa" w:w="6465"/>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Meaning</w:t>
            </w:r>
          </w:p>
        </w:tc>
        <w:tc>
          <w:tcPr>
            <w:tcW w:type="dxa" w:w="1026"/>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Weight</w:t>
            </w:r>
          </w:p>
        </w:tc>
      </w:tr>
      <w:tr>
        <w:trPr>
          <w:cantSplit/>
          <w:tblHeader w:val="false"/>
        </w:trPr>
        <w:tc>
          <w:tcPr>
            <w:tcW w:type="dxa" w:w="14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 — Prevent</w:t>
            </w:r>
          </w:p>
        </w:tc>
        <w:tc>
          <w:tcPr>
            <w:tcW w:type="dxa" w:w="646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The control can act inline on this population and is configured to block, restrict, or isolate the relevant outcome</w:t>
            </w:r>
          </w:p>
        </w:tc>
        <w:tc>
          <w:tcPr>
            <w:tcW w:type="dxa" w:w="102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1.0</w:t>
            </w:r>
          </w:p>
        </w:tc>
      </w:tr>
      <w:tr>
        <w:trPr>
          <w:cantSplit/>
          <w:tblHeader w:val="false"/>
        </w:trPr>
        <w:tc>
          <w:tcPr>
            <w:tcW w:type="dxa" w:w="14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Pa — Partial</w:t>
            </w:r>
          </w:p>
        </w:tc>
        <w:tc>
          <w:tcPr>
            <w:tcW w:type="dxa" w:w="646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Prevents only part of the outcome: hostname-level only, defeated by rule order, weakened by exceptions, or limited to a subset of cases</w:t>
            </w:r>
          </w:p>
        </w:tc>
        <w:tc>
          <w:tcPr>
            <w:tcW w:type="dxa" w:w="102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0.5</w:t>
            </w:r>
          </w:p>
        </w:tc>
      </w:tr>
      <w:tr>
        <w:trPr>
          <w:cantSplit/>
          <w:tblHeader w:val="false"/>
        </w:trPr>
        <w:tc>
          <w:tcPr>
            <w:tcW w:type="dxa" w:w="14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 — Detect only</w:t>
            </w:r>
          </w:p>
        </w:tc>
        <w:tc>
          <w:tcPr>
            <w:tcW w:type="dxa" w:w="646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Configured to monitor or report (Allow-and-log, Report Incident) rather than block</w:t>
            </w:r>
          </w:p>
        </w:tc>
        <w:tc>
          <w:tcPr>
            <w:tcW w:type="dxa" w:w="102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0.25</w:t>
            </w:r>
          </w:p>
        </w:tc>
      </w:tr>
      <w:tr>
        <w:trPr>
          <w:cantSplit/>
          <w:tblHeader w:val="false"/>
        </w:trPr>
        <w:tc>
          <w:tcPr>
            <w:tcW w:type="dxa" w:w="14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 — None / nominal</w:t>
            </w:r>
          </w:p>
        </w:tc>
        <w:tc>
          <w:tcPr>
            <w:tcW w:type="dxa" w:w="646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The control is absent, cannot see the traffic (not decrypted, bypassed), or is overridden by an allow rule. Rules may exist but deliver no effect.</w:t>
            </w:r>
          </w:p>
        </w:tc>
        <w:tc>
          <w:tcPr>
            <w:tcW w:type="dxa" w:w="102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0</w:t>
            </w:r>
          </w:p>
        </w:tc>
      </w:tr>
      <w:tr>
        <w:trPr>
          <w:cantSplit/>
          <w:tblHeader w:val="false"/>
        </w:trPr>
        <w:tc>
          <w:tcPr>
            <w:tcW w:type="dxa" w:w="1437"/>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NA</w:t>
            </w:r>
          </w:p>
        </w:tc>
        <w:tc>
          <w:tcPr>
            <w:tcW w:type="dxa" w:w="6465"/>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Not applicable to the population (e.g., endpoint DLP for a server)</w:t>
            </w:r>
          </w:p>
        </w:tc>
        <w:tc>
          <w:tcPr>
            <w:tcW w:type="dxa" w:w="1026"/>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excluded</w:t>
            </w:r>
          </w:p>
        </w:tc>
      </w:tr>
    </w:tbl>
    <w:p>
      <w:pPr>
        <w:spacing w:after="80"/>
      </w:pPr>
    </w:p>
    <w:p>
      <w:pPr>
        <w:spacing w:after="120" w:line="276" w:lineRule="exact"/>
        <w:jc w:val="both"/>
      </w:pPr>
      <w:r>
        <w:rPr>
          <w:rFonts w:ascii="Times New Roman" w:cs="Times New Roman" w:eastAsia="Times New Roman" w:hAnsi="Times New Roman"/>
        </w:rPr>
        <w:t xml:space="preserve">The Enforcement Value Index for a population is the weighted mean across applicable capabilities, times 100. It is a comparative measure of configured coverage within this tenant, not an absolute risk score.</w:t>
      </w:r>
    </w:p>
    <w:p>
      <w:pPr>
        <w:pStyle w:val="Heading2"/>
      </w:pPr>
      <w:r>
        <w:rPr>
          <w:rFonts w:ascii="Times New Roman" w:cs="Times New Roman" w:eastAsia="Times New Roman" w:hAnsi="Times New Roman"/>
          <w:b/>
          <w:bCs/>
          <w:sz w:val="22"/>
          <w:szCs w:val="22"/>
        </w:rPr>
        <w:t xml:space="preserve">2.3 Detection fidelity scale</w:t>
      </w:r>
    </w:p>
    <w:p>
      <w:pPr>
        <w:keepNext/>
        <w:spacing w:after="80" w:before="120"/>
        <w:jc w:val="center"/>
      </w:pPr>
      <w:r>
        <w:rPr>
          <w:rFonts w:ascii="Times New Roman" w:cs="Times New Roman" w:eastAsia="Times New Roman" w:hAnsi="Times New Roman"/>
          <w:i/>
          <w:iCs/>
          <w:sz w:val="20"/>
          <w:szCs w:val="20"/>
        </w:rPr>
        <w:t xml:space="preserve">Table 3. Detection fidelity levels</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1437"/>
        <w:gridCol w:w="5439"/>
        <w:gridCol w:w="2052"/>
      </w:tblGrid>
      <w:tr>
        <w:trPr>
          <w:cantSplit/>
          <w:tblHeader/>
        </w:trPr>
        <w:tc>
          <w:tcPr>
            <w:tcW w:type="dxa" w:w="1437"/>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Level</w:t>
            </w:r>
          </w:p>
        </w:tc>
        <w:tc>
          <w:tcPr>
            <w:tcW w:type="dxa" w:w="5439"/>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What ZIA can record</w:t>
            </w:r>
          </w:p>
        </w:tc>
        <w:tc>
          <w:tcPr>
            <w:tcW w:type="dxa" w:w="2052"/>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Requires</w:t>
            </w:r>
          </w:p>
        </w:tc>
      </w:tr>
      <w:tr>
        <w:trPr>
          <w:cantSplit/>
          <w:tblHeader w:val="false"/>
        </w:trPr>
        <w:tc>
          <w:tcPr>
            <w:tcW w:type="dxa" w:w="14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F4 — Content</w:t>
            </w:r>
          </w:p>
        </w:tc>
        <w:tc>
          <w:tcPr>
            <w:tcW w:type="dxa" w:w="543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DLP engine match and incident, file hash and sandbox/AV verdict, AI prompt capture, file type</w:t>
            </w:r>
          </w:p>
        </w:tc>
        <w:tc>
          <w:tcPr>
            <w:tcW w:type="dxa" w:w="205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TLS decryption</w:t>
            </w:r>
          </w:p>
        </w:tc>
      </w:tr>
      <w:tr>
        <w:trPr>
          <w:cantSplit/>
          <w:tblHeader w:val="false"/>
        </w:trPr>
        <w:tc>
          <w:tcPr>
            <w:tcW w:type="dxa" w:w="14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F3 — Transaction</w:t>
            </w:r>
          </w:p>
        </w:tc>
        <w:tc>
          <w:tcPr>
            <w:tcW w:type="dxa" w:w="543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Full URL (path, query), HTTP method, user agent, cloud app activity and instance, user and department</w:t>
            </w:r>
          </w:p>
        </w:tc>
        <w:tc>
          <w:tcPr>
            <w:tcW w:type="dxa" w:w="205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TLS decryption + identity</w:t>
            </w:r>
          </w:p>
        </w:tc>
      </w:tr>
      <w:tr>
        <w:trPr>
          <w:cantSplit/>
          <w:tblHeader w:val="false"/>
        </w:trPr>
        <w:tc>
          <w:tcPr>
            <w:tcW w:type="dxa" w:w="14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F2 — Session</w:t>
            </w:r>
          </w:p>
        </w:tc>
        <w:tc>
          <w:tcPr>
            <w:tcW w:type="dxa" w:w="543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Server hostname (SNI), URL category, cloud application, bytes, threat-reputation verdict, location</w:t>
            </w:r>
          </w:p>
        </w:tc>
        <w:tc>
          <w:tcPr>
            <w:tcW w:type="dxa" w:w="205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SNI; no decryption</w:t>
            </w:r>
          </w:p>
        </w:tc>
      </w:tr>
      <w:tr>
        <w:trPr>
          <w:cantSplit/>
          <w:tblHeader w:val="false"/>
        </w:trPr>
        <w:tc>
          <w:tcPr>
            <w:tcW w:type="dxa" w:w="14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F1 — Flow</w:t>
            </w:r>
          </w:p>
        </w:tc>
        <w:tc>
          <w:tcPr>
            <w:tcW w:type="dxa" w:w="543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5-tuple, network service/application, bytes, action</w:t>
            </w:r>
          </w:p>
        </w:tc>
        <w:tc>
          <w:tcPr>
            <w:tcW w:type="dxa" w:w="205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Firewall only</w:t>
            </w:r>
          </w:p>
        </w:tc>
      </w:tr>
      <w:tr>
        <w:trPr>
          <w:cantSplit/>
          <w:tblHeader w:val="false"/>
        </w:trPr>
        <w:tc>
          <w:tcPr>
            <w:tcW w:type="dxa" w:w="1437"/>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F0 — None</w:t>
            </w:r>
          </w:p>
        </w:tc>
        <w:tc>
          <w:tcPr>
            <w:tcW w:type="dxa" w:w="5439"/>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No record, or the traffic never reaches ZIA</w:t>
            </w:r>
          </w:p>
        </w:tc>
        <w:tc>
          <w:tcPr>
            <w:tcW w:type="dxa" w:w="2052"/>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w:t>
            </w:r>
          </w:p>
        </w:tc>
      </w:tr>
    </w:tbl>
    <w:p>
      <w:pPr>
        <w:spacing w:after="80"/>
      </w:pPr>
    </w:p>
    <w:p>
      <w:pPr>
        <w:spacing w:after="120" w:line="276" w:lineRule="exact"/>
        <w:jc w:val="both"/>
      </w:pPr>
      <w:r>
        <w:rPr>
          <w:rFonts w:ascii="Times New Roman" w:cs="Times New Roman" w:eastAsia="Times New Roman" w:hAnsi="Times New Roman"/>
        </w:rPr>
        <w:t xml:space="preserve">Attribution is rated separately. For users it is the authenticated identity. For workloads it is only location plus source IP. That is weak in an estate with 45 confirmed RFC1918 address collisions across the CVS/Aetna merger (estate fact), where the same private address can denote different hosts in different routing domains.</w:t>
      </w:r>
    </w:p>
    <w:p>
      <w:pPr>
        <w:keepNext/>
        <w:spacing w:after="60" w:before="60"/>
      </w:pPr>
      <w:r>
        <w:rPr>
          <w:rFonts w:ascii="Times New Roman" w:cs="Times New Roman" w:eastAsia="Times New Roman" w:hAnsi="Times New Roman"/>
          <w:b/>
          <w:bCs/>
        </w:rPr>
        <w:t xml:space="preserve">Evidence labels:</w:t>
      </w:r>
    </w:p>
    <w:p>
      <w:pPr>
        <w:pStyle w:val="ListParagraph"/>
        <w:numPr>
          <w:ilvl w:val="0"/>
          <w:numId w:val="2"/>
        </w:numPr>
        <w:spacing w:after="60" w:line="276" w:lineRule="exact"/>
        <w:jc w:val="both"/>
      </w:pPr>
      <w:r>
        <w:rPr>
          <w:rFonts w:ascii="Times New Roman" w:cs="Times New Roman" w:eastAsia="Times New Roman" w:hAnsi="Times New Roman"/>
          <w:b/>
          <w:bCs/>
        </w:rPr>
        <w:t xml:space="preserve">CONFIRMED</w:t>
      </w:r>
      <w:r>
        <w:rPr>
          <w:rFonts w:ascii="Times New Roman" w:cs="Times New Roman" w:eastAsia="Times New Roman" w:hAnsi="Times New Roman"/>
        </w:rPr>
        <w:t xml:space="preserve"> — from the exports.</w:t>
      </w:r>
    </w:p>
    <w:p>
      <w:pPr>
        <w:pStyle w:val="ListParagraph"/>
        <w:numPr>
          <w:ilvl w:val="0"/>
          <w:numId w:val="2"/>
        </w:numPr>
        <w:spacing w:after="60" w:line="276" w:lineRule="exact"/>
        <w:jc w:val="both"/>
      </w:pPr>
      <w:r>
        <w:rPr>
          <w:rFonts w:ascii="Times New Roman" w:cs="Times New Roman" w:eastAsia="Times New Roman" w:hAnsi="Times New Roman"/>
          <w:b/>
          <w:bCs/>
        </w:rPr>
        <w:t xml:space="preserve">INFERRED</w:t>
      </w:r>
      <w:r>
        <w:rPr>
          <w:rFonts w:ascii="Times New Roman" w:cs="Times New Roman" w:eastAsia="Times New Roman" w:hAnsi="Times New Roman"/>
        </w:rPr>
        <w:t xml:space="preserve"> — from the exports plus documented ZIA behavior.</w:t>
      </w:r>
    </w:p>
    <w:p>
      <w:pPr>
        <w:pStyle w:val="ListParagraph"/>
        <w:numPr>
          <w:ilvl w:val="0"/>
          <w:numId w:val="2"/>
        </w:numPr>
        <w:spacing w:after="60" w:line="276" w:lineRule="exact"/>
        <w:jc w:val="both"/>
      </w:pPr>
      <w:r>
        <w:rPr>
          <w:rFonts w:ascii="Times New Roman" w:cs="Times New Roman" w:eastAsia="Times New Roman" w:hAnsi="Times New Roman"/>
          <w:b/>
          <w:bCs/>
        </w:rPr>
        <w:t xml:space="preserve">VERIFY</w:t>
      </w:r>
      <w:r>
        <w:rPr>
          <w:rFonts w:ascii="Times New Roman" w:cs="Times New Roman" w:eastAsia="Times New Roman" w:hAnsi="Times New Roman"/>
        </w:rPr>
        <w:t xml:space="preserve"> — needs a portal check or test.</w:t>
      </w:r>
    </w:p>
    <w:p>
      <w:pPr>
        <w:spacing w:after="120" w:line="276" w:lineRule="exact"/>
        <w:jc w:val="both"/>
      </w:pPr>
      <w:r>
        <w:rPr>
          <w:rFonts w:ascii="Times New Roman" w:cs="Times New Roman" w:eastAsia="Times New Roman" w:hAnsi="Times New Roman"/>
        </w:rPr>
        <w:t xml:space="preserve">Log streaming (NSS or Cloud NSS) and SIEM integration are not in the policy export. Detection ratings describe what ZIA can generate, not what reaches the SOC.</w:t>
      </w:r>
    </w:p>
    <w:p>
      <w:pPr>
        <w:pStyle w:val="Heading1"/>
        <w:pageBreakBefore/>
      </w:pPr>
      <w:r>
        <w:rPr>
          <w:rFonts w:ascii="Times New Roman" w:cs="Times New Roman" w:eastAsia="Times New Roman" w:hAnsi="Times New Roman"/>
          <w:b/>
          <w:bCs/>
          <w:sz w:val="26"/>
          <w:szCs w:val="26"/>
        </w:rPr>
        <w:t xml:space="preserve">3. HOW ZIA DISTINGUISHES USERS FROM SERVERS</w:t>
      </w:r>
    </w:p>
    <w:p>
      <w:pPr>
        <w:spacing w:after="120" w:line="276" w:lineRule="exact"/>
        <w:jc w:val="both"/>
      </w:pPr>
      <w:r>
        <w:rPr>
          <w:rFonts w:ascii="Times New Roman" w:cs="Times New Roman" w:eastAsia="Times New Roman" w:hAnsi="Times New Roman"/>
        </w:rPr>
        <w:t xml:space="preserve">ZIA has no concept of a server. It distinguishes traffic by two things. The first is </w:t>
      </w:r>
      <w:r>
        <w:rPr>
          <w:rFonts w:ascii="Times New Roman" w:cs="Times New Roman" w:eastAsia="Times New Roman" w:hAnsi="Times New Roman"/>
          <w:b/>
          <w:bCs/>
        </w:rPr>
        <w:t xml:space="preserve">identity</w:t>
      </w:r>
      <w:r>
        <w:rPr>
          <w:rFonts w:ascii="Times New Roman" w:cs="Times New Roman" w:eastAsia="Times New Roman" w:hAnsi="Times New Roman"/>
        </w:rPr>
        <w:t xml:space="preserve">: user, group, and department, which come from Client Connector authentication or surrogate IP, and which workloads never have. The second is </w:t>
      </w:r>
      <w:r>
        <w:rPr>
          <w:rFonts w:ascii="Times New Roman" w:cs="Times New Roman" w:eastAsia="Times New Roman" w:hAnsi="Times New Roman"/>
          <w:b/>
          <w:bCs/>
        </w:rPr>
        <w:t xml:space="preserve">location</w:t>
      </w:r>
      <w:r>
        <w:rPr>
          <w:rFonts w:ascii="Times New Roman" w:cs="Times New Roman" w:eastAsia="Times New Roman" w:hAnsi="Times New Roman"/>
        </w:rPr>
        <w:t xml:space="preserve">: the tunnel or connector the traffic arrived on, which for workloads is the only distinguishing attribute (INFERRED, ZIA architecture). Every policy engine in this tenant is built predominantly on identity:</w:t>
      </w:r>
    </w:p>
    <w:p>
      <w:pPr>
        <w:keepNext/>
        <w:spacing w:after="80" w:before="120"/>
        <w:jc w:val="center"/>
      </w:pPr>
      <w:r>
        <w:rPr>
          <w:rFonts w:ascii="Times New Roman" w:cs="Times New Roman" w:eastAsia="Times New Roman" w:hAnsi="Times New Roman"/>
          <w:i/>
          <w:iCs/>
          <w:sz w:val="20"/>
          <w:szCs w:val="20"/>
        </w:rPr>
        <w:t xml:space="preserve">Table 4. Identity-scoped rules that workloads can never match (CONFIRMED, 29 September 2026)</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1786"/>
        <w:gridCol w:w="1786"/>
        <w:gridCol w:w="794"/>
        <w:gridCol w:w="4562"/>
      </w:tblGrid>
      <w:tr>
        <w:trPr>
          <w:cantSplit/>
          <w:tblHeader/>
        </w:trPr>
        <w:tc>
          <w:tcPr>
            <w:tcW w:type="dxa" w:w="1786"/>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Engine</w:t>
            </w:r>
          </w:p>
        </w:tc>
        <w:tc>
          <w:tcPr>
            <w:tcW w:type="dxa" w:w="1786"/>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Rules with user, group or department criteria</w:t>
            </w:r>
          </w:p>
        </w:tc>
        <w:tc>
          <w:tcPr>
            <w:tcW w:type="dxa" w:w="794"/>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Total</w:t>
            </w:r>
          </w:p>
        </w:tc>
        <w:tc>
          <w:tcPr>
            <w:tcW w:type="dxa" w:w="4562"/>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Consequence for workloads</w:t>
            </w:r>
          </w:p>
        </w:tc>
      </w:tr>
      <w:tr>
        <w:trPr>
          <w:cantSplit/>
          <w:tblHeader w:val="false"/>
        </w:trPr>
        <w:tc>
          <w:tcPr>
            <w:tcW w:type="dxa" w:w="178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URL Filtering</w:t>
            </w:r>
          </w:p>
        </w:tc>
        <w:tc>
          <w:tcPr>
            <w:tcW w:type="dxa" w:w="178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36</w:t>
            </w:r>
          </w:p>
        </w:tc>
        <w:tc>
          <w:tcPr>
            <w:tcW w:type="dxa" w:w="79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58</w:t>
            </w:r>
          </w:p>
        </w:tc>
        <w:tc>
          <w:tcPr>
            <w:tcW w:type="dxa" w:w="456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All per-user allows and posture rules are skipped; the tenant-wide baseline and location rules decide</w:t>
            </w:r>
          </w:p>
        </w:tc>
      </w:tr>
      <w:tr>
        <w:trPr>
          <w:cantSplit/>
          <w:tblHeader w:val="false"/>
        </w:trPr>
        <w:tc>
          <w:tcPr>
            <w:tcW w:type="dxa" w:w="178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Cloud App Control</w:t>
            </w:r>
          </w:p>
        </w:tc>
        <w:tc>
          <w:tcPr>
            <w:tcW w:type="dxa" w:w="178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145</w:t>
            </w:r>
          </w:p>
        </w:tc>
        <w:tc>
          <w:tcPr>
            <w:tcW w:type="dxa" w:w="79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301</w:t>
            </w:r>
          </w:p>
        </w:tc>
        <w:tc>
          <w:tcPr>
            <w:tcW w:type="dxa" w:w="456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All per-user and group exceptions are skipped</w:t>
            </w:r>
          </w:p>
        </w:tc>
      </w:tr>
      <w:tr>
        <w:trPr>
          <w:cantSplit/>
          <w:tblHeader w:val="false"/>
        </w:trPr>
        <w:tc>
          <w:tcPr>
            <w:tcW w:type="dxa" w:w="178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Firewall (enabled)</w:t>
            </w:r>
          </w:p>
        </w:tc>
        <w:tc>
          <w:tcPr>
            <w:tcW w:type="dxa" w:w="178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63</w:t>
            </w:r>
          </w:p>
        </w:tc>
        <w:tc>
          <w:tcPr>
            <w:tcW w:type="dxa" w:w="79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103</w:t>
            </w:r>
          </w:p>
        </w:tc>
        <w:tc>
          <w:tcPr>
            <w:tcW w:type="dxa" w:w="456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Skipped; the 40 identity-free enabled rules (pinholes, baseline, location rules) and the Default rule decide</w:t>
            </w:r>
          </w:p>
        </w:tc>
      </w:tr>
      <w:tr>
        <w:trPr>
          <w:cantSplit/>
          <w:tblHeader w:val="false"/>
        </w:trPr>
        <w:tc>
          <w:tcPr>
            <w:tcW w:type="dxa" w:w="178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SSL/TLS Inspection</w:t>
            </w:r>
          </w:p>
        </w:tc>
        <w:tc>
          <w:tcPr>
            <w:tcW w:type="dxa" w:w="178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11</w:t>
            </w:r>
          </w:p>
        </w:tc>
        <w:tc>
          <w:tcPr>
            <w:tcW w:type="dxa" w:w="79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41</w:t>
            </w:r>
          </w:p>
        </w:tc>
        <w:tc>
          <w:tcPr>
            <w:tcW w:type="dxa" w:w="456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Skipped; location bypass rules decide</w:t>
            </w:r>
          </w:p>
        </w:tc>
      </w:tr>
      <w:tr>
        <w:trPr>
          <w:cantSplit/>
          <w:tblHeader w:val="false"/>
        </w:trPr>
        <w:tc>
          <w:tcPr>
            <w:tcW w:type="dxa" w:w="1786"/>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Web DLP</w:t>
            </w:r>
          </w:p>
        </w:tc>
        <w:tc>
          <w:tcPr>
            <w:tcW w:type="dxa" w:w="1786"/>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24</w:t>
            </w:r>
          </w:p>
        </w:tc>
        <w:tc>
          <w:tcPr>
            <w:tcW w:type="dxa" w:w="794"/>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71</w:t>
            </w:r>
          </w:p>
        </w:tc>
        <w:tc>
          <w:tcPr>
            <w:tcW w:type="dxa" w:w="4562"/>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All user-scoped exceptions skipped. If decrypted, workloads would meet the strictest DLP.</w:t>
            </w:r>
          </w:p>
        </w:tc>
      </w:tr>
    </w:tbl>
    <w:p>
      <w:pPr>
        <w:spacing w:after="80"/>
      </w:pPr>
    </w:p>
    <w:p>
      <w:pPr>
        <w:spacing w:after="120" w:line="276" w:lineRule="exact"/>
        <w:jc w:val="both"/>
      </w:pPr>
      <w:r>
        <w:rPr>
          <w:rFonts w:ascii="Times New Roman" w:cs="Times New Roman" w:eastAsia="Times New Roman" w:hAnsi="Times New Roman"/>
        </w:rPr>
        <w:t xml:space="preserve">In September 2026, 35 enabled rules reference a workload location or location group: 7 SSL rules, 11 firewall rules, 3 URL rules and 14 cloud app rules. May had 35 by the same count. Of the September 35:</w:t>
      </w:r>
    </w:p>
    <w:p>
      <w:pPr>
        <w:pStyle w:val="ListParagraph"/>
        <w:numPr>
          <w:ilvl w:val="0"/>
          <w:numId w:val="2"/>
        </w:numPr>
        <w:spacing w:after="60" w:line="276" w:lineRule="exact"/>
        <w:jc w:val="both"/>
      </w:pPr>
      <w:r>
        <w:rPr>
          <w:rFonts w:ascii="Times New Roman" w:cs="Times New Roman" w:eastAsia="Times New Roman" w:hAnsi="Times New Roman"/>
        </w:rPr>
        <w:t xml:space="preserve">32 allow traffic or bypass inspection.</w:t>
      </w:r>
    </w:p>
    <w:p>
      <w:pPr>
        <w:pStyle w:val="ListParagraph"/>
        <w:numPr>
          <w:ilvl w:val="0"/>
          <w:numId w:val="2"/>
        </w:numPr>
        <w:spacing w:after="60" w:line="276" w:lineRule="exact"/>
        <w:jc w:val="both"/>
      </w:pPr>
      <w:r>
        <w:rPr>
          <w:rFonts w:ascii="Times New Roman" w:cs="Times New Roman" w:eastAsia="Times New Roman" w:hAnsi="Times New Roman"/>
        </w:rPr>
        <w:t xml:space="preserve">One inspects a test location: SSL 15 </w:t>
      </w:r>
      <w:r>
        <w:rPr>
          <w:rFonts w:ascii="Consolas" w:cs="Consolas" w:eastAsia="Consolas" w:hAnsi="Consolas"/>
          <w:sz w:val="19"/>
          <w:szCs w:val="19"/>
        </w:rPr>
        <w:t xml:space="preserve">SSL DigiCert Test</w:t>
      </w:r>
      <w:r>
        <w:rPr>
          <w:rFonts w:ascii="Times New Roman" w:cs="Times New Roman" w:eastAsia="Times New Roman" w:hAnsi="Times New Roman"/>
        </w:rPr>
        <w:t xml:space="preserve">, GCP_POV.</w:t>
      </w:r>
    </w:p>
    <w:p>
      <w:pPr>
        <w:pStyle w:val="ListParagraph"/>
        <w:numPr>
          <w:ilvl w:val="0"/>
          <w:numId w:val="2"/>
        </w:numPr>
        <w:spacing w:after="60" w:line="276" w:lineRule="exact"/>
        <w:jc w:val="both"/>
      </w:pPr>
      <w:r>
        <w:rPr>
          <w:rFonts w:ascii="Times New Roman" w:cs="Times New Roman" w:eastAsia="Times New Roman" w:hAnsi="Times New Roman"/>
        </w:rPr>
        <w:t xml:space="preserve">Two block: URL 28 and 29, </w:t>
      </w:r>
      <w:r>
        <w:rPr>
          <w:rFonts w:ascii="Consolas" w:cs="Consolas" w:eastAsia="Consolas" w:hAnsi="Consolas"/>
          <w:sz w:val="19"/>
          <w:szCs w:val="19"/>
        </w:rPr>
        <w:t xml:space="preserve">CVSH-CICD-INFRA_Prod/NonProd-Block</w:t>
      </w:r>
      <w:r>
        <w:rPr>
          <w:rFonts w:ascii="Times New Roman" w:cs="Times New Roman" w:eastAsia="Times New Roman" w:hAnsi="Times New Roman"/>
        </w:rPr>
        <w:t xml:space="preserve">. These replace May rule 26 and add GKE infrastructure source-IP groups. Rule 29 is still labelled "Needs Tuning".</w:t>
      </w:r>
    </w:p>
    <w:p>
      <w:pPr>
        <w:spacing w:after="120" w:line="276" w:lineRule="exact"/>
        <w:jc w:val="both"/>
      </w:pPr>
      <w:r>
        <w:rPr>
          <w:rFonts w:ascii="Times New Roman" w:cs="Times New Roman" w:eastAsia="Times New Roman" w:hAnsi="Times New Roman"/>
        </w:rPr>
        <w:t xml:space="preserve">Workload policy in this tenant is almost entirely a set of exemptions.</w:t>
      </w:r>
    </w:p>
    <w:p>
      <w:pPr>
        <w:pStyle w:val="Heading1"/>
      </w:pPr>
      <w:r>
        <w:rPr>
          <w:rFonts w:ascii="Times New Roman" w:cs="Times New Roman" w:eastAsia="Times New Roman" w:hAnsi="Times New Roman"/>
          <w:b/>
          <w:bCs/>
          <w:sz w:val="26"/>
          <w:szCs w:val="26"/>
        </w:rPr>
        <w:t xml:space="preserve">4. POPULATION PROFILES</w:t>
      </w:r>
    </w:p>
    <w:p>
      <w:pPr>
        <w:pStyle w:val="Heading2"/>
      </w:pPr>
      <w:r>
        <w:rPr>
          <w:rFonts w:ascii="Times New Roman" w:cs="Times New Roman" w:eastAsia="Times New Roman" w:hAnsi="Times New Roman"/>
          <w:b/>
          <w:bCs/>
          <w:sz w:val="22"/>
          <w:szCs w:val="22"/>
        </w:rPr>
        <w:t xml:space="preserve">4.1 U1 — Remote user (the population the policy was built for)</w:t>
      </w:r>
    </w:p>
    <w:p>
      <w:pPr>
        <w:spacing w:after="120" w:line="276" w:lineRule="exact"/>
        <w:jc w:val="both"/>
      </w:pPr>
      <w:r>
        <w:rPr>
          <w:rFonts w:ascii="Times New Roman" w:cs="Times New Roman" w:eastAsia="Times New Roman" w:hAnsi="Times New Roman"/>
        </w:rPr>
        <w:t xml:space="preserve">Traffic is decrypted by InspectALL (SSL 39), with these exemptions: </w:t>
      </w:r>
    </w:p>
    <w:p>
      <w:pPr>
        <w:pStyle w:val="ListParagraph"/>
        <w:numPr>
          <w:ilvl w:val="0"/>
          <w:numId w:val="2"/>
        </w:numPr>
        <w:spacing w:after="60" w:line="276" w:lineRule="exact"/>
        <w:jc w:val="both"/>
      </w:pPr>
      <w:r>
        <w:rPr>
          <w:rFonts w:ascii="Times New Roman" w:cs="Times New Roman" w:eastAsia="Times New Roman" w:hAnsi="Times New Roman"/>
        </w:rPr>
        <w:t xml:space="preserve">Office 365 One Click outside Road Warrior. This does not apply to U1, because SSL 25 inspects M365 for Road Warrior.</w:t>
      </w:r>
    </w:p>
    <w:p>
      <w:pPr>
        <w:pStyle w:val="ListParagraph"/>
        <w:numPr>
          <w:ilvl w:val="0"/>
          <w:numId w:val="2"/>
        </w:numPr>
        <w:spacing w:after="60" w:line="276" w:lineRule="exact"/>
        <w:jc w:val="both"/>
      </w:pPr>
      <w:r>
        <w:rPr>
          <w:rFonts w:ascii="Times New Roman" w:cs="Times New Roman" w:eastAsia="Times New Roman" w:hAnsi="Times New Roman"/>
        </w:rPr>
        <w:t xml:space="preserve">Health, Finance and Trading categories (SSL 35).</w:t>
      </w:r>
    </w:p>
    <w:p>
      <w:pPr>
        <w:pStyle w:val="ListParagraph"/>
        <w:numPr>
          <w:ilvl w:val="0"/>
          <w:numId w:val="2"/>
        </w:numPr>
        <w:spacing w:after="60" w:line="276" w:lineRule="exact"/>
        <w:jc w:val="both"/>
      </w:pPr>
      <w:r>
        <w:rPr>
          <w:rFonts w:ascii="Times New Roman" w:cs="Times New Roman" w:eastAsia="Times New Roman" w:hAnsi="Times New Roman"/>
        </w:rPr>
        <w:t xml:space="preserve">The Zscaler-recommended and cert-pinned lists.</w:t>
      </w:r>
    </w:p>
    <w:p>
      <w:pPr>
        <w:pStyle w:val="ListParagraph"/>
        <w:numPr>
          <w:ilvl w:val="0"/>
          <w:numId w:val="2"/>
        </w:numPr>
        <w:spacing w:after="60" w:line="276" w:lineRule="exact"/>
        <w:jc w:val="both"/>
      </w:pPr>
      <w:r>
        <w:rPr>
          <w:rFonts w:ascii="Times New Roman" w:cs="Times New Roman" w:eastAsia="Times New Roman" w:hAnsi="Times New Roman"/>
        </w:rPr>
        <w:t xml:space="preserve">Since September, one named user with no decryption at all (SSL 3, ZIA-25).</w:t>
      </w:r>
    </w:p>
    <w:p>
      <w:pPr>
        <w:spacing w:after="120" w:line="276" w:lineRule="exact"/>
        <w:jc w:val="both"/>
      </w:pPr>
      <w:r>
        <w:rPr>
          <w:rFonts w:ascii="Times New Roman" w:cs="Times New Roman" w:eastAsia="Times New Roman" w:hAnsi="Times New Roman"/>
        </w:rPr>
        <w:t xml:space="preserve">Every engine can act. Prevention is strong for threats, URL categories, cloud app activities (view-only social and webmail, upload blocks), tenant restrictions (Microsoft, ChatGPT Enterprise, and since September the Claude header for all users, URL 39), and Gen-AI isolation. It is partial for malware: password-protected and unscannable files are allowed, and the sandbox delivers the first download. It is detection-only for the most important data class. PHI identifiers (SSN, HICN, medical, MBI) sent to general destinations are Allow-and-log (DLP 15–18). Blocking applies only to named destinations, AI and unauthorized-upload categories, PCI data, and encrypted files. The September export adds two further limits: all 62 enabled DLP rules scan uploads only and pass traffic when inspection times out (ZIA-27), and sub-rules 11.5 and 14.4 exempt Claude from the AI-category and PCI blocks (ZIA-26). Endpoint DLP blocks the same data to USB, print, and personal cloud. Detection fidelity is F4 with user attribution.</w:t>
      </w:r>
    </w:p>
    <w:p>
      <w:pPr>
        <w:pStyle w:val="Heading2"/>
      </w:pPr>
      <w:r>
        <w:rPr>
          <w:rFonts w:ascii="Times New Roman" w:cs="Times New Roman" w:eastAsia="Times New Roman" w:hAnsi="Times New Roman"/>
          <w:b/>
          <w:bCs/>
          <w:sz w:val="22"/>
          <w:szCs w:val="22"/>
        </w:rPr>
        <w:t xml:space="preserve">4.2 U2 — Remote developer</w:t>
      </w:r>
    </w:p>
    <w:p>
      <w:pPr>
        <w:spacing w:after="120" w:line="276" w:lineRule="exact"/>
        <w:jc w:val="both"/>
      </w:pPr>
      <w:r>
        <w:rPr>
          <w:rFonts w:ascii="Times New Roman" w:cs="Times New Roman" w:eastAsia="Times New Roman" w:hAnsi="Times New Roman"/>
        </w:rPr>
        <w:t xml:space="preserve">Identical to U1 except for the 73 developer SaaS applications in SSL rule 34 (GitHub, Bitbucket, Docker, HashiCorp, CircleCI, and others), which are not decrypted. For those applications the value of three controls collapses. DLP rule 6 (secrets to GitHub/GitLab/Box) cannot see the upload; in September it moved above the monitor rules, but that does not help traffic it cannot see. The instance-level cloud app rules cannot identify the tenant. That includes the September rule System &amp; Development 9 </w:t>
      </w:r>
      <w:r>
        <w:rPr>
          <w:rFonts w:ascii="Consolas" w:cs="Consolas" w:eastAsia="Consolas" w:hAnsi="Consolas"/>
          <w:sz w:val="19"/>
          <w:szCs w:val="19"/>
        </w:rPr>
        <w:t xml:space="preserve">PRD-CVSH-GitHub_CDN-Allow</w:t>
      </w:r>
      <w:r>
        <w:rPr>
          <w:rFonts w:ascii="Times New Roman" w:cs="Times New Roman" w:eastAsia="Times New Roman" w:hAnsi="Times New Roman"/>
        </w:rPr>
        <w:t xml:space="preserve">, which allows instance "GitHub – Signed CDN" with upload blocked for CLDGRP_Allow_Dev. The same group is listed in SSL 34 (INFERRED from rule order and the decryption dependency). File and malware inspection of downloaded packages does not occur. The SaaS API backstop for GitHub (CVSHEALTH-EMU) has had its scan stopped since 26 June 2024. For source code and secrets, the highest-risk data this population handles, enforcement is none and detection is F2: the hostname only.</w:t>
      </w:r>
    </w:p>
    <w:p>
      <w:pPr>
        <w:pStyle w:val="Heading2"/>
      </w:pPr>
      <w:r>
        <w:rPr>
          <w:rFonts w:ascii="Times New Roman" w:cs="Times New Roman" w:eastAsia="Times New Roman" w:hAnsi="Times New Roman"/>
          <w:b/>
          <w:bCs/>
          <w:sz w:val="22"/>
          <w:szCs w:val="22"/>
        </w:rPr>
        <w:t xml:space="preserve">4.3 U3 — Retail, store IoT, guest Wi-Fi</w:t>
      </w:r>
    </w:p>
    <w:p>
      <w:pPr>
        <w:spacing w:after="120" w:line="276" w:lineRule="exact"/>
        <w:jc w:val="both"/>
      </w:pPr>
      <w:r>
        <w:rPr>
          <w:rFonts w:ascii="Times New Roman" w:cs="Times New Roman" w:eastAsia="Times New Roman" w:hAnsi="Times New Roman"/>
        </w:rPr>
        <w:t xml:space="preserve">SSL rule 22 exempts all three location groups from decryption. URL and cloud app controls act on hostname and category: the retail allow-lists (URL 40, 45) and guest Wi-Fi webmail and streaming rules. Content controls, activity controls, isolation and tenant restrictions do not act. That includes the September tenant rules without a location criterion, the Slack YCC rule (Collaboration 17) and the Claude header (URL 39). Isolation rules 16, 36, 49, 51, 52 and 53 require user-agent matching on decrypted traffic, so newly registered and miscellaneous domains cannot be isolated for stores (effect VERIFY). The firewall gives these locations only the tenant baseline and default-deny, which makes their L4 posture tighter than GCP/Azure workloads. Guest Wi-Fi and store IoT receive identical treatment. Detection is F2 with location attribution only.</w:t>
      </w:r>
    </w:p>
    <w:p>
      <w:pPr>
        <w:pStyle w:val="Heading2"/>
      </w:pPr>
      <w:r>
        <w:rPr>
          <w:rFonts w:ascii="Times New Roman" w:cs="Times New Roman" w:eastAsia="Times New Roman" w:hAnsi="Times New Roman"/>
          <w:b/>
          <w:bCs/>
          <w:sz w:val="22"/>
          <w:szCs w:val="22"/>
        </w:rPr>
        <w:t xml:space="preserve">4.4 W1 — GCP-Egress workloads</w:t>
      </w:r>
    </w:p>
    <w:p>
      <w:pPr>
        <w:spacing w:after="120" w:line="276" w:lineRule="exact"/>
        <w:jc w:val="both"/>
      </w:pPr>
      <w:r>
        <w:rPr>
          <w:rFonts w:ascii="Times New Roman" w:cs="Times New Roman" w:eastAsia="Times New Roman" w:hAnsi="Times New Roman"/>
        </w:rPr>
        <w:t xml:space="preserve">This is the least controlled population. SSL rule 2 exempts it from decryption. Firewall rule 25 allows any service to any destination. URL rule 35 allows every URL category ahead of the baseline block. Cloud app rules allow all applications in nine classes, including file-sharing upload, instant-messaging file transfer, hosting providers, and IT services, plus Gmail with attachments, consumer ChatGPT/OpenAI (AI rule 71, no tenant profile), YouTube upload, and posting to Facebook, X, Instagram and TikTok. What remains is threat reputation on the hostname (Advanced Threats is evaluated independently of URL filtering), IPS on non-TLS protocols, and DNS security if the workload resolves through ZIA. Detection is F2 for web and F1 for everything else. Attribution is by location and source IP.</w:t>
      </w:r>
    </w:p>
    <w:p>
      <w:pPr>
        <w:pStyle w:val="Heading2"/>
      </w:pPr>
      <w:r>
        <w:rPr>
          <w:rFonts w:ascii="Times New Roman" w:cs="Times New Roman" w:eastAsia="Times New Roman" w:hAnsi="Times New Roman"/>
          <w:b/>
          <w:bCs/>
          <w:sz w:val="22"/>
          <w:szCs w:val="22"/>
        </w:rPr>
        <w:t xml:space="preserve">4.5 W2 — GCP and Azure Cloud Connector workloads</w:t>
      </w:r>
    </w:p>
    <w:p>
      <w:pPr>
        <w:spacing w:after="120" w:line="276" w:lineRule="exact"/>
        <w:jc w:val="both"/>
      </w:pPr>
      <w:r>
        <w:rPr>
          <w:rFonts w:ascii="Times New Roman" w:cs="Times New Roman" w:eastAsia="Times New Roman" w:hAnsi="Times New Roman"/>
        </w:rPr>
        <w:t xml:space="preserve">Not decrypted (SSL 2, 6, 8, and category-scoped SSL 1), and allowed any L4 egress by firewall rules 24 and 25. Unlike W1, W2 is not covered by URL rule 35 or the GCP-Egress cloud app allows. The tenant-wide URL baseline and application-level cloud app blocks therefore apply by hostname. The baseline is rule 58: 38 predefined categories plus two custom block lists. URL rules 28 and 29 block CI/CD categories for the GKE infrastructure source-IP groups; the Prod rule also covers GCP-Egress-Prod. Activity-level rules (upload versus view) cannot be evaluated without decryption. For those rules W2 receives either the whole-application verdict or nothing (VERIFY). Detection is F2/F1.</w:t>
      </w:r>
    </w:p>
    <w:p>
      <w:pPr>
        <w:pStyle w:val="Heading2"/>
      </w:pPr>
      <w:r>
        <w:rPr>
          <w:rFonts w:ascii="Times New Roman" w:cs="Times New Roman" w:eastAsia="Times New Roman" w:hAnsi="Times New Roman"/>
          <w:b/>
          <w:bCs/>
          <w:sz w:val="22"/>
          <w:szCs w:val="22"/>
        </w:rPr>
        <w:t xml:space="preserve">4.6 W3 — AWS Cloud Connector and Azure Sandbox workloads</w:t>
      </w:r>
    </w:p>
    <w:p>
      <w:pPr>
        <w:spacing w:after="120" w:line="276" w:lineRule="exact"/>
        <w:jc w:val="both"/>
      </w:pPr>
      <w:r>
        <w:rPr>
          <w:rFonts w:ascii="Times New Roman" w:cs="Times New Roman" w:eastAsia="Times New Roman" w:hAnsi="Times New Roman"/>
        </w:rPr>
        <w:t xml:space="preserve">Not decrypted (SSL 7, 8, and category-scoped SSL 1), but these groups appear in no firewall allow-all rule. The September rule SSL 29 </w:t>
      </w:r>
      <w:r>
        <w:rPr>
          <w:rFonts w:ascii="Consolas" w:cs="Consolas" w:eastAsia="Consolas" w:hAnsi="Consolas"/>
          <w:sz w:val="19"/>
          <w:szCs w:val="19"/>
        </w:rPr>
        <w:t xml:space="preserve">AWS_Bedrock_Inspect</w:t>
      </w:r>
      <w:r>
        <w:rPr>
          <w:rFonts w:ascii="Times New Roman" w:cs="Times New Roman" w:eastAsia="Times New Roman" w:hAnsi="Times New Roman"/>
        </w:rPr>
        <w:t xml:space="preserve"> sits below SSL 7, so it does not decrypt Bedrock calls from these locations (INFERRED from rule order). They receive web, DNS, and NTP to any destination (FW 43), the tenant-wide pinholes, and then Default Block/Reset. The geo-block and QUIC drop do apply to their non-web traffic. AWS Aetna Digital additionally gets SSH and MongoDB anywhere (FW 14). Web controls act by hostname as for W2. This is the only workload population with a real default-deny posture, and it appears to be the result of omission rather than design. Its S3 data at rest is covered by SaaS API DLP in 38 accounts, report-only, with three account scans stopped. That statement is from the May export; the SaaS API module is not in the September export. Detection is F2/F1.</w:t>
      </w:r>
    </w:p>
    <w:p>
      <w:pPr>
        <w:pStyle w:val="Heading1"/>
        <w:pageBreakBefore/>
      </w:pPr>
      <w:r>
        <w:rPr>
          <w:rFonts w:ascii="Times New Roman" w:cs="Times New Roman" w:eastAsia="Times New Roman" w:hAnsi="Times New Roman"/>
          <w:b/>
          <w:bCs/>
          <w:sz w:val="26"/>
          <w:szCs w:val="26"/>
        </w:rPr>
        <w:t xml:space="preserve">5. ENFORCEMENT VALUE MATRIX</w:t>
      </w:r>
    </w:p>
    <w:p>
      <w:pPr>
        <w:keepNext/>
        <w:spacing w:after="80" w:before="120"/>
        <w:jc w:val="center"/>
      </w:pPr>
      <w:r>
        <w:rPr>
          <w:rFonts w:ascii="Times New Roman" w:cs="Times New Roman" w:eastAsia="Times New Roman" w:hAnsi="Times New Roman"/>
          <w:i/>
          <w:iCs/>
          <w:sz w:val="20"/>
          <w:szCs w:val="20"/>
        </w:rPr>
        <w:t xml:space="preserve">Table 5. Enforcement value by capability and population (P = prevent, Pa = partial, D = detect only, N = none/nominal)</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3571"/>
        <w:gridCol w:w="893"/>
        <w:gridCol w:w="893"/>
        <w:gridCol w:w="893"/>
        <w:gridCol w:w="893"/>
        <w:gridCol w:w="893"/>
        <w:gridCol w:w="892"/>
      </w:tblGrid>
      <w:tr>
        <w:trPr>
          <w:cantSplit/>
          <w:tblHeader/>
        </w:trPr>
        <w:tc>
          <w:tcPr>
            <w:tcW w:type="dxa" w:w="3571"/>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Capability</w:t>
            </w:r>
          </w:p>
        </w:tc>
        <w:tc>
          <w:tcPr>
            <w:tcW w:type="dxa" w:w="893"/>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U1</w:t>
            </w:r>
          </w:p>
        </w:tc>
        <w:tc>
          <w:tcPr>
            <w:tcW w:type="dxa" w:w="893"/>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U2</w:t>
            </w:r>
          </w:p>
        </w:tc>
        <w:tc>
          <w:tcPr>
            <w:tcW w:type="dxa" w:w="893"/>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U3</w:t>
            </w:r>
          </w:p>
        </w:tc>
        <w:tc>
          <w:tcPr>
            <w:tcW w:type="dxa" w:w="893"/>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W1</w:t>
            </w:r>
          </w:p>
        </w:tc>
        <w:tc>
          <w:tcPr>
            <w:tcW w:type="dxa" w:w="893"/>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W2</w:t>
            </w:r>
          </w:p>
        </w:tc>
        <w:tc>
          <w:tcPr>
            <w:tcW w:type="dxa" w:w="892"/>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W3</w:t>
            </w:r>
          </w:p>
        </w:tc>
      </w:tr>
      <w:tr>
        <w:trPr>
          <w:cantSplit/>
          <w:tblHeader w:val="false"/>
        </w:trPr>
        <w:tc>
          <w:tcPr>
            <w:tcW w:type="dxa" w:w="35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L3/L4 admission (firewall)</w:t>
            </w:r>
          </w:p>
        </w:tc>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w:t>
            </w:r>
          </w:p>
        </w:tc>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w:t>
            </w:r>
          </w:p>
        </w:tc>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w:t>
            </w:r>
          </w:p>
        </w:tc>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w:t>
            </w:r>
          </w:p>
        </w:tc>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w:t>
            </w:r>
          </w:p>
        </w:tc>
        <w:tc>
          <w:tcPr>
            <w:tcW w:type="dxa" w:w="8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w:t>
            </w:r>
          </w:p>
        </w:tc>
      </w:tr>
      <w:tr>
        <w:trPr>
          <w:cantSplit/>
          <w:tblHeader w:val="false"/>
        </w:trPr>
        <w:tc>
          <w:tcPr>
            <w:tcW w:type="dxa" w:w="35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Geographic restriction</w:t>
            </w:r>
          </w:p>
        </w:tc>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Pa</w:t>
            </w:r>
          </w:p>
        </w:tc>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Pa</w:t>
            </w:r>
          </w:p>
        </w:tc>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Pa</w:t>
            </w:r>
          </w:p>
        </w:tc>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Pa</w:t>
            </w:r>
          </w:p>
        </w:tc>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Pa</w:t>
            </w:r>
          </w:p>
        </w:tc>
        <w:tc>
          <w:tcPr>
            <w:tcW w:type="dxa" w:w="8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Pa</w:t>
            </w:r>
          </w:p>
        </w:tc>
      </w:tr>
      <w:tr>
        <w:trPr>
          <w:cantSplit/>
          <w:tblHeader w:val="false"/>
        </w:trPr>
        <w:tc>
          <w:tcPr>
            <w:tcW w:type="dxa" w:w="35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Threat reputation (C2, phishing, malicious host)</w:t>
            </w:r>
          </w:p>
        </w:tc>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w:t>
            </w:r>
          </w:p>
        </w:tc>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w:t>
            </w:r>
          </w:p>
        </w:tc>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w:t>
            </w:r>
          </w:p>
        </w:tc>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w:t>
            </w:r>
          </w:p>
        </w:tc>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w:t>
            </w:r>
          </w:p>
        </w:tc>
        <w:tc>
          <w:tcPr>
            <w:tcW w:type="dxa" w:w="8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w:t>
            </w:r>
          </w:p>
        </w:tc>
      </w:tr>
      <w:tr>
        <w:trPr>
          <w:cantSplit/>
          <w:tblHeader w:val="false"/>
        </w:trPr>
        <w:tc>
          <w:tcPr>
            <w:tcW w:type="dxa" w:w="35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Malware / AV / sandbox (content)</w:t>
            </w:r>
          </w:p>
        </w:tc>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Pa</w:t>
            </w:r>
          </w:p>
        </w:tc>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w:t>
            </w:r>
          </w:p>
        </w:tc>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w:t>
            </w:r>
          </w:p>
        </w:tc>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w:t>
            </w:r>
          </w:p>
        </w:tc>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w:t>
            </w:r>
          </w:p>
        </w:tc>
        <w:tc>
          <w:tcPr>
            <w:tcW w:type="dxa" w:w="8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w:t>
            </w:r>
          </w:p>
        </w:tc>
      </w:tr>
      <w:tr>
        <w:trPr>
          <w:cantSplit/>
          <w:tblHeader w:val="false"/>
        </w:trPr>
        <w:tc>
          <w:tcPr>
            <w:tcW w:type="dxa" w:w="35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IPS</w:t>
            </w:r>
          </w:p>
        </w:tc>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w:t>
            </w:r>
          </w:p>
        </w:tc>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Pa</w:t>
            </w:r>
          </w:p>
        </w:tc>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Pa</w:t>
            </w:r>
          </w:p>
        </w:tc>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Pa</w:t>
            </w:r>
          </w:p>
        </w:tc>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Pa</w:t>
            </w:r>
          </w:p>
        </w:tc>
        <w:tc>
          <w:tcPr>
            <w:tcW w:type="dxa" w:w="8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Pa</w:t>
            </w:r>
          </w:p>
        </w:tc>
      </w:tr>
      <w:tr>
        <w:trPr>
          <w:cantSplit/>
          <w:tblHeader w:val="false"/>
        </w:trPr>
        <w:tc>
          <w:tcPr>
            <w:tcW w:type="dxa" w:w="35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URL category control</w:t>
            </w:r>
          </w:p>
        </w:tc>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w:t>
            </w:r>
          </w:p>
        </w:tc>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w:t>
            </w:r>
          </w:p>
        </w:tc>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w:t>
            </w:r>
          </w:p>
        </w:tc>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w:t>
            </w:r>
          </w:p>
        </w:tc>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w:t>
            </w:r>
          </w:p>
        </w:tc>
        <w:tc>
          <w:tcPr>
            <w:tcW w:type="dxa" w:w="8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w:t>
            </w:r>
          </w:p>
        </w:tc>
      </w:tr>
      <w:tr>
        <w:trPr>
          <w:cantSplit/>
          <w:tblHeader w:val="false"/>
        </w:trPr>
        <w:tc>
          <w:tcPr>
            <w:tcW w:type="dxa" w:w="35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Cloud app control — application level</w:t>
            </w:r>
          </w:p>
        </w:tc>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Pa</w:t>
            </w:r>
          </w:p>
        </w:tc>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Pa</w:t>
            </w:r>
          </w:p>
        </w:tc>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Pa</w:t>
            </w:r>
          </w:p>
        </w:tc>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w:t>
            </w:r>
          </w:p>
        </w:tc>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Pa</w:t>
            </w:r>
          </w:p>
        </w:tc>
        <w:tc>
          <w:tcPr>
            <w:tcW w:type="dxa" w:w="8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Pa</w:t>
            </w:r>
          </w:p>
        </w:tc>
      </w:tr>
      <w:tr>
        <w:trPr>
          <w:cantSplit/>
          <w:tblHeader w:val="false"/>
        </w:trPr>
        <w:tc>
          <w:tcPr>
            <w:tcW w:type="dxa" w:w="35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Cloud app control — activity / instance level</w:t>
            </w:r>
          </w:p>
        </w:tc>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w:t>
            </w:r>
          </w:p>
        </w:tc>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w:t>
            </w:r>
          </w:p>
        </w:tc>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w:t>
            </w:r>
          </w:p>
        </w:tc>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w:t>
            </w:r>
          </w:p>
        </w:tc>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w:t>
            </w:r>
          </w:p>
        </w:tc>
        <w:tc>
          <w:tcPr>
            <w:tcW w:type="dxa" w:w="8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w:t>
            </w:r>
          </w:p>
        </w:tc>
      </w:tr>
      <w:tr>
        <w:trPr>
          <w:cantSplit/>
          <w:tblHeader w:val="false"/>
        </w:trPr>
        <w:tc>
          <w:tcPr>
            <w:tcW w:type="dxa" w:w="35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Tenant restriction / header insertion</w:t>
            </w:r>
          </w:p>
        </w:tc>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w:t>
            </w:r>
          </w:p>
        </w:tc>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Pa</w:t>
            </w:r>
          </w:p>
        </w:tc>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w:t>
            </w:r>
          </w:p>
        </w:tc>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w:t>
            </w:r>
          </w:p>
        </w:tc>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w:t>
            </w:r>
          </w:p>
        </w:tc>
        <w:tc>
          <w:tcPr>
            <w:tcW w:type="dxa" w:w="8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w:t>
            </w:r>
          </w:p>
        </w:tc>
      </w:tr>
      <w:tr>
        <w:trPr>
          <w:cantSplit/>
          <w:tblHeader w:val="false"/>
        </w:trPr>
        <w:tc>
          <w:tcPr>
            <w:tcW w:type="dxa" w:w="35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File type control</w:t>
            </w:r>
          </w:p>
        </w:tc>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Pa</w:t>
            </w:r>
          </w:p>
        </w:tc>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w:t>
            </w:r>
          </w:p>
        </w:tc>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w:t>
            </w:r>
          </w:p>
        </w:tc>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w:t>
            </w:r>
          </w:p>
        </w:tc>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w:t>
            </w:r>
          </w:p>
        </w:tc>
        <w:tc>
          <w:tcPr>
            <w:tcW w:type="dxa" w:w="8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w:t>
            </w:r>
          </w:p>
        </w:tc>
      </w:tr>
      <w:tr>
        <w:trPr>
          <w:cantSplit/>
          <w:tblHeader w:val="false"/>
        </w:trPr>
        <w:tc>
          <w:tcPr>
            <w:tcW w:type="dxa" w:w="35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Inline web DLP</w:t>
            </w:r>
          </w:p>
        </w:tc>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w:t>
            </w:r>
          </w:p>
        </w:tc>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w:t>
            </w:r>
          </w:p>
        </w:tc>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w:t>
            </w:r>
          </w:p>
        </w:tc>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w:t>
            </w:r>
          </w:p>
        </w:tc>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w:t>
            </w:r>
          </w:p>
        </w:tc>
        <w:tc>
          <w:tcPr>
            <w:tcW w:type="dxa" w:w="8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w:t>
            </w:r>
          </w:p>
        </w:tc>
      </w:tr>
      <w:tr>
        <w:trPr>
          <w:cantSplit/>
          <w:tblHeader w:val="false"/>
        </w:trPr>
        <w:tc>
          <w:tcPr>
            <w:tcW w:type="dxa" w:w="35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Browser isolation</w:t>
            </w:r>
          </w:p>
        </w:tc>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w:t>
            </w:r>
          </w:p>
        </w:tc>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w:t>
            </w:r>
          </w:p>
        </w:tc>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w:t>
            </w:r>
          </w:p>
        </w:tc>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w:t>
            </w:r>
          </w:p>
        </w:tc>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w:t>
            </w:r>
          </w:p>
        </w:tc>
        <w:tc>
          <w:tcPr>
            <w:tcW w:type="dxa" w:w="8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w:t>
            </w:r>
          </w:p>
        </w:tc>
      </w:tr>
      <w:tr>
        <w:trPr>
          <w:cantSplit/>
          <w:tblHeader w:val="false"/>
        </w:trPr>
        <w:tc>
          <w:tcPr>
            <w:tcW w:type="dxa" w:w="35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DNS security</w:t>
            </w:r>
          </w:p>
        </w:tc>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Pa</w:t>
            </w:r>
          </w:p>
        </w:tc>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Pa</w:t>
            </w:r>
          </w:p>
        </w:tc>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Pa</w:t>
            </w:r>
          </w:p>
        </w:tc>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Pa</w:t>
            </w:r>
          </w:p>
        </w:tc>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Pa</w:t>
            </w:r>
          </w:p>
        </w:tc>
        <w:tc>
          <w:tcPr>
            <w:tcW w:type="dxa" w:w="8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Pa</w:t>
            </w:r>
          </w:p>
        </w:tc>
      </w:tr>
      <w:tr>
        <w:trPr>
          <w:cantSplit/>
          <w:tblHeader w:val="false"/>
        </w:trPr>
        <w:tc>
          <w:tcPr>
            <w:tcW w:type="dxa" w:w="35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Data-at-rest DLP (SaaS API)</w:t>
            </w:r>
          </w:p>
        </w:tc>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w:t>
            </w:r>
          </w:p>
        </w:tc>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w:t>
            </w:r>
          </w:p>
        </w:tc>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NA</w:t>
            </w:r>
          </w:p>
        </w:tc>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w:t>
            </w:r>
          </w:p>
        </w:tc>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w:t>
            </w:r>
          </w:p>
        </w:tc>
        <w:tc>
          <w:tcPr>
            <w:tcW w:type="dxa" w:w="8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w:t>
            </w:r>
          </w:p>
        </w:tc>
      </w:tr>
      <w:tr>
        <w:trPr>
          <w:cantSplit/>
          <w:tblHeader w:val="false"/>
        </w:trPr>
        <w:tc>
          <w:tcPr>
            <w:tcW w:type="dxa" w:w="35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Endpoint DLP</w:t>
            </w:r>
          </w:p>
        </w:tc>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w:t>
            </w:r>
          </w:p>
        </w:tc>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w:t>
            </w:r>
          </w:p>
        </w:tc>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NA</w:t>
            </w:r>
          </w:p>
        </w:tc>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NA</w:t>
            </w:r>
          </w:p>
        </w:tc>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NA</w:t>
            </w:r>
          </w:p>
        </w:tc>
        <w:tc>
          <w:tcPr>
            <w:tcW w:type="dxa" w:w="8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NA</w:t>
            </w:r>
          </w:p>
        </w:tc>
      </w:tr>
      <w:tr>
        <w:trPr>
          <w:cantSplit/>
          <w:tblHeader w:val="false"/>
        </w:trPr>
        <w:tc>
          <w:tcPr>
            <w:tcW w:type="dxa" w:w="35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Non-web encrypted channels (SSH/SFTP/RDP)</w:t>
            </w:r>
          </w:p>
        </w:tc>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Pa</w:t>
            </w:r>
          </w:p>
        </w:tc>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Pa</w:t>
            </w:r>
          </w:p>
        </w:tc>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w:t>
            </w:r>
          </w:p>
        </w:tc>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w:t>
            </w:r>
          </w:p>
        </w:tc>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w:t>
            </w:r>
          </w:p>
        </w:tc>
        <w:tc>
          <w:tcPr>
            <w:tcW w:type="dxa" w:w="8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w:t>
            </w:r>
          </w:p>
        </w:tc>
      </w:tr>
      <w:tr>
        <w:trPr>
          <w:cantSplit/>
          <w:tblHeader w:val="false"/>
        </w:trPr>
        <w:tc>
          <w:tcPr>
            <w:tcW w:type="dxa" w:w="35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Prevent / Partial / Detect / None</w:t>
            </w:r>
          </w:p>
        </w:tc>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8/6/2/0</w:t>
            </w:r>
          </w:p>
        </w:tc>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5/6/0/5</w:t>
            </w:r>
          </w:p>
        </w:tc>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4/4/0/6</w:t>
            </w:r>
          </w:p>
        </w:tc>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1/3/0/11</w:t>
            </w:r>
          </w:p>
        </w:tc>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2/4/0/9</w:t>
            </w:r>
          </w:p>
        </w:tc>
        <w:tc>
          <w:tcPr>
            <w:tcW w:type="dxa" w:w="8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4/4/1/6</w:t>
            </w:r>
          </w:p>
        </w:tc>
      </w:tr>
      <w:tr>
        <w:trPr>
          <w:cantSplit/>
          <w:tblHeader w:val="false"/>
        </w:trPr>
        <w:tc>
          <w:tcPr>
            <w:tcW w:type="dxa" w:w="3571"/>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Enforcement Value Index (0–100)</w:t>
            </w:r>
          </w:p>
        </w:tc>
        <w:tc>
          <w:tcPr>
            <w:tcW w:type="dxa" w:w="893"/>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72</w:t>
            </w:r>
          </w:p>
        </w:tc>
        <w:tc>
          <w:tcPr>
            <w:tcW w:type="dxa" w:w="893"/>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50</w:t>
            </w:r>
          </w:p>
        </w:tc>
        <w:tc>
          <w:tcPr>
            <w:tcW w:type="dxa" w:w="893"/>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43</w:t>
            </w:r>
          </w:p>
        </w:tc>
        <w:tc>
          <w:tcPr>
            <w:tcW w:type="dxa" w:w="893"/>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17</w:t>
            </w:r>
          </w:p>
        </w:tc>
        <w:tc>
          <w:tcPr>
            <w:tcW w:type="dxa" w:w="893"/>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27</w:t>
            </w:r>
          </w:p>
        </w:tc>
        <w:tc>
          <w:tcPr>
            <w:tcW w:type="dxa" w:w="892"/>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42</w:t>
            </w:r>
          </w:p>
        </w:tc>
      </w:tr>
    </w:tbl>
    <w:p>
      <w:pPr>
        <w:spacing w:after="80"/>
      </w:pPr>
    </w:p>
    <w:p>
      <w:pPr>
        <w:keepNext/>
        <w:spacing w:after="60" w:before="60"/>
      </w:pPr>
      <w:r>
        <w:rPr>
          <w:rFonts w:ascii="Times New Roman" w:cs="Times New Roman" w:eastAsia="Times New Roman" w:hAnsi="Times New Roman"/>
          <w:b/>
          <w:bCs/>
        </w:rPr>
        <w:t xml:space="preserve">Basis for the ratings that most affect the index:</w:t>
      </w:r>
    </w:p>
    <w:p>
      <w:pPr>
        <w:pStyle w:val="ListParagraph"/>
        <w:numPr>
          <w:ilvl w:val="0"/>
          <w:numId w:val="2"/>
        </w:numPr>
        <w:spacing w:after="60" w:line="276" w:lineRule="exact"/>
        <w:jc w:val="both"/>
      </w:pPr>
      <w:r>
        <w:rPr>
          <w:rFonts w:ascii="Times New Roman" w:cs="Times New Roman" w:eastAsia="Times New Roman" w:hAnsi="Times New Roman"/>
          <w:b/>
          <w:bCs/>
        </w:rPr>
        <w:t xml:space="preserve">Firewall.</w:t>
      </w:r>
      <w:r>
        <w:rPr>
          <w:rFonts w:ascii="Times New Roman" w:cs="Times New Roman" w:eastAsia="Times New Roman" w:hAnsi="Times New Roman"/>
        </w:rPr>
        <w:t xml:space="preserve"> P for users and W3 (default deny with scoped exceptions); N for W1/W2 (rules 24/25, any/any). CONFIRMED.</w:t>
      </w:r>
    </w:p>
    <w:p>
      <w:pPr>
        <w:pStyle w:val="ListParagraph"/>
        <w:numPr>
          <w:ilvl w:val="0"/>
          <w:numId w:val="2"/>
        </w:numPr>
        <w:spacing w:after="60" w:line="276" w:lineRule="exact"/>
        <w:jc w:val="both"/>
      </w:pPr>
      <w:r>
        <w:rPr>
          <w:rFonts w:ascii="Times New Roman" w:cs="Times New Roman" w:eastAsia="Times New Roman" w:hAnsi="Times New Roman"/>
          <w:b/>
          <w:bCs/>
        </w:rPr>
        <w:t xml:space="preserve">Geographic restriction.</w:t>
      </w:r>
      <w:r>
        <w:rPr>
          <w:rFonts w:ascii="Times New Roman" w:cs="Times New Roman" w:eastAsia="Times New Roman" w:hAnsi="Times New Roman"/>
        </w:rPr>
        <w:t xml:space="preserve"> Pa everywhere. Advanced Threats blocks 23 countries for web by destination (May export; not in the September export). Firewall rules 108/109 block 32 countries since September, but they still sit below rule 43 and the blanket allows, so DNS/NTP and all W1/W2 traffic bypass them. CONFIRMED placement; INFERRED effect.</w:t>
      </w:r>
    </w:p>
    <w:p>
      <w:pPr>
        <w:pStyle w:val="ListParagraph"/>
        <w:numPr>
          <w:ilvl w:val="0"/>
          <w:numId w:val="2"/>
        </w:numPr>
        <w:spacing w:after="60" w:line="276" w:lineRule="exact"/>
        <w:jc w:val="both"/>
      </w:pPr>
      <w:r>
        <w:rPr>
          <w:rFonts w:ascii="Times New Roman" w:cs="Times New Roman" w:eastAsia="Times New Roman" w:hAnsi="Times New Roman"/>
          <w:b/>
          <w:bCs/>
        </w:rPr>
        <w:t xml:space="preserve">Threat reputation.</w:t>
      </w:r>
      <w:r>
        <w:rPr>
          <w:rFonts w:ascii="Times New Roman" w:cs="Times New Roman" w:eastAsia="Times New Roman" w:hAnsi="Times New Roman"/>
        </w:rPr>
        <w:t xml:space="preserve"> P for all populations. It acts on the hostname and needs no decryption, and SSL bypass rules for every population use "Evaluate Other Policies". It is the one control that serves workloads fully. INFERRED.</w:t>
      </w:r>
    </w:p>
    <w:p>
      <w:pPr>
        <w:pStyle w:val="ListParagraph"/>
        <w:numPr>
          <w:ilvl w:val="0"/>
          <w:numId w:val="2"/>
        </w:numPr>
        <w:spacing w:after="60" w:line="276" w:lineRule="exact"/>
        <w:jc w:val="both"/>
      </w:pPr>
      <w:r>
        <w:rPr>
          <w:rFonts w:ascii="Times New Roman" w:cs="Times New Roman" w:eastAsia="Times New Roman" w:hAnsi="Times New Roman"/>
          <w:b/>
          <w:bCs/>
        </w:rPr>
        <w:t xml:space="preserve">Malware/sandbox.</w:t>
      </w:r>
      <w:r>
        <w:rPr>
          <w:rFonts w:ascii="Times New Roman" w:cs="Times New Roman" w:eastAsia="Times New Roman" w:hAnsi="Times New Roman"/>
        </w:rPr>
        <w:t xml:space="preserve"> Pa for U1 (password-protected/unscannable allowed; first-download delivery; 22-entry no-scan list); N wherever traffic is not decrypted. CONFIRMED.</w:t>
      </w:r>
    </w:p>
    <w:p>
      <w:pPr>
        <w:pStyle w:val="ListParagraph"/>
        <w:numPr>
          <w:ilvl w:val="0"/>
          <w:numId w:val="2"/>
        </w:numPr>
        <w:spacing w:after="60" w:line="276" w:lineRule="exact"/>
        <w:jc w:val="both"/>
      </w:pPr>
      <w:r>
        <w:rPr>
          <w:rFonts w:ascii="Times New Roman" w:cs="Times New Roman" w:eastAsia="Times New Roman" w:hAnsi="Times New Roman"/>
          <w:b/>
          <w:bCs/>
        </w:rPr>
        <w:t xml:space="preserve">IPS.</w:t>
      </w:r>
      <w:r>
        <w:rPr>
          <w:rFonts w:ascii="Times New Roman" w:cs="Times New Roman" w:eastAsia="Times New Roman" w:hAnsi="Times New Roman"/>
        </w:rPr>
        <w:t xml:space="preserve"> P for U1; Pa elsewhere (effective only on non-TLS or header-visible signatures when not decrypted). INFERRED.</w:t>
      </w:r>
    </w:p>
    <w:p>
      <w:pPr>
        <w:pStyle w:val="ListParagraph"/>
        <w:numPr>
          <w:ilvl w:val="0"/>
          <w:numId w:val="2"/>
        </w:numPr>
        <w:spacing w:after="60" w:line="276" w:lineRule="exact"/>
        <w:jc w:val="both"/>
      </w:pPr>
      <w:r>
        <w:rPr>
          <w:rFonts w:ascii="Times New Roman" w:cs="Times New Roman" w:eastAsia="Times New Roman" w:hAnsi="Times New Roman"/>
          <w:b/>
          <w:bCs/>
        </w:rPr>
        <w:t xml:space="preserve">URL category.</w:t>
      </w:r>
      <w:r>
        <w:rPr>
          <w:rFonts w:ascii="Times New Roman" w:cs="Times New Roman" w:eastAsia="Times New Roman" w:hAnsi="Times New Roman"/>
        </w:rPr>
        <w:t xml:space="preserve"> N for W1 (rule 35 allows all); P by hostname for the others. CONFIRMED.</w:t>
      </w:r>
    </w:p>
    <w:p>
      <w:pPr>
        <w:pStyle w:val="ListParagraph"/>
        <w:numPr>
          <w:ilvl w:val="0"/>
          <w:numId w:val="2"/>
        </w:numPr>
        <w:spacing w:after="60" w:line="276" w:lineRule="exact"/>
        <w:jc w:val="both"/>
      </w:pPr>
      <w:r>
        <w:rPr>
          <w:rFonts w:ascii="Times New Roman" w:cs="Times New Roman" w:eastAsia="Times New Roman" w:hAnsi="Times New Roman"/>
          <w:b/>
          <w:bCs/>
        </w:rPr>
        <w:t xml:space="preserve">Cloud app, application level.</w:t>
      </w:r>
      <w:r>
        <w:rPr>
          <w:rFonts w:ascii="Times New Roman" w:cs="Times New Roman" w:eastAsia="Times New Roman" w:hAnsi="Times New Roman"/>
        </w:rPr>
        <w:t xml:space="preserve"> Pa for all but W1, because no risk-based blocking exists (every "Allow High Risk Unsanctioned" rule is disabled and there is no block counterpart). N for W1. CONFIRMED.</w:t>
      </w:r>
    </w:p>
    <w:p>
      <w:pPr>
        <w:pStyle w:val="ListParagraph"/>
        <w:numPr>
          <w:ilvl w:val="0"/>
          <w:numId w:val="2"/>
        </w:numPr>
        <w:spacing w:after="60" w:line="276" w:lineRule="exact"/>
        <w:jc w:val="both"/>
      </w:pPr>
      <w:r>
        <w:rPr>
          <w:rFonts w:ascii="Times New Roman" w:cs="Times New Roman" w:eastAsia="Times New Roman" w:hAnsi="Times New Roman"/>
          <w:b/>
          <w:bCs/>
        </w:rPr>
        <w:t xml:space="preserve">Inline web DLP.</w:t>
      </w:r>
      <w:r>
        <w:rPr>
          <w:rFonts w:ascii="Times New Roman" w:cs="Times New Roman" w:eastAsia="Times New Roman" w:hAnsi="Times New Roman"/>
        </w:rPr>
        <w:t xml:space="preserve"> D for U1 (PHI monitor-only to general destinations, with targeted blocks); N for every population that is not decrypted. CONFIRMED.</w:t>
      </w:r>
    </w:p>
    <w:p>
      <w:pPr>
        <w:pStyle w:val="ListParagraph"/>
        <w:numPr>
          <w:ilvl w:val="0"/>
          <w:numId w:val="2"/>
        </w:numPr>
        <w:spacing w:after="60" w:line="276" w:lineRule="exact"/>
        <w:jc w:val="both"/>
      </w:pPr>
      <w:r>
        <w:rPr>
          <w:rFonts w:ascii="Times New Roman" w:cs="Times New Roman" w:eastAsia="Times New Roman" w:hAnsi="Times New Roman"/>
          <w:b/>
          <w:bCs/>
        </w:rPr>
        <w:t xml:space="preserve">Data-at-rest DLP.</w:t>
      </w:r>
      <w:r>
        <w:rPr>
          <w:rFonts w:ascii="Times New Roman" w:cs="Times New Roman" w:eastAsia="Times New Roman" w:hAnsi="Times New Roman"/>
        </w:rPr>
        <w:t xml:space="preserve"> D for U1 (M365/Slack/Google: 71 of 80 rules report-only); N for U2 (EMU scan stopped); D for W3 (S3 report-only); N for W1/W2 (no Google Cloud Storage or Azure Blob tenants). CONFIRMED in May; module not in the September export, so the ratings are carried forward.</w:t>
      </w:r>
    </w:p>
    <w:p>
      <w:pPr>
        <w:spacing w:after="120" w:line="276" w:lineRule="exact"/>
        <w:jc w:val="both"/>
      </w:pPr>
      <w:r>
        <w:rPr>
          <w:rFonts w:ascii="Times New Roman" w:cs="Times New Roman" w:eastAsia="Times New Roman" w:hAnsi="Times New Roman"/>
          <w:b/>
          <w:bCs/>
        </w:rPr>
        <w:t xml:space="preserve">Revision 1.1 re-rating.</w:t>
      </w:r>
      <w:r>
        <w:rPr>
          <w:rFonts w:ascii="Times New Roman" w:cs="Times New Roman" w:eastAsia="Times New Roman" w:hAnsi="Times New Roman"/>
        </w:rPr>
        <w:t xml:space="preserve"> No cell changes. The September changes that could have moved a rating:</w:t>
      </w:r>
    </w:p>
    <w:p>
      <w:pPr>
        <w:pStyle w:val="ListParagraph"/>
        <w:numPr>
          <w:ilvl w:val="0"/>
          <w:numId w:val="2"/>
        </w:numPr>
        <w:spacing w:after="60" w:line="276" w:lineRule="exact"/>
        <w:jc w:val="both"/>
      </w:pPr>
      <w:r>
        <w:rPr>
          <w:rFonts w:ascii="Times New Roman" w:cs="Times New Roman" w:eastAsia="Times New Roman" w:hAnsi="Times New Roman"/>
          <w:b/>
          <w:bCs/>
        </w:rPr>
        <w:t xml:space="preserve">Tenant restriction.</w:t>
      </w:r>
      <w:r>
        <w:rPr>
          <w:rFonts w:ascii="Times New Roman" w:cs="Times New Roman" w:eastAsia="Times New Roman" w:hAnsi="Times New Roman"/>
        </w:rPr>
        <w:t xml:space="preserve"> The Claude header for all users (URL 39) and the Slack YCC rule without location scope act only where traffic is decrypted. U1 stays P, and U3 and all workloads stay N.</w:t>
      </w:r>
    </w:p>
    <w:p>
      <w:pPr>
        <w:pStyle w:val="ListParagraph"/>
        <w:numPr>
          <w:ilvl w:val="0"/>
          <w:numId w:val="2"/>
        </w:numPr>
        <w:spacing w:after="60" w:line="276" w:lineRule="exact"/>
        <w:jc w:val="both"/>
      </w:pPr>
      <w:r>
        <w:rPr>
          <w:rFonts w:ascii="Times New Roman" w:cs="Times New Roman" w:eastAsia="Times New Roman" w:hAnsi="Times New Roman"/>
          <w:b/>
          <w:bCs/>
        </w:rPr>
        <w:t xml:space="preserve">Inline DLP.</w:t>
      </w:r>
      <w:r>
        <w:rPr>
          <w:rFonts w:ascii="Times New Roman" w:cs="Times New Roman" w:eastAsia="Times New Roman" w:hAnsi="Times New Roman"/>
        </w:rPr>
        <w:t xml:space="preserve"> The secrets block moved above the monitor rules (DLP 6), but PHI identifiers remain Allow-and-log. U1 stays D.</w:t>
      </w:r>
    </w:p>
    <w:p>
      <w:pPr>
        <w:pStyle w:val="ListParagraph"/>
        <w:numPr>
          <w:ilvl w:val="0"/>
          <w:numId w:val="2"/>
        </w:numPr>
        <w:spacing w:after="60" w:line="276" w:lineRule="exact"/>
        <w:jc w:val="both"/>
      </w:pPr>
      <w:r>
        <w:rPr>
          <w:rFonts w:ascii="Times New Roman" w:cs="Times New Roman" w:eastAsia="Times New Roman" w:hAnsi="Times New Roman"/>
          <w:b/>
          <w:bCs/>
        </w:rPr>
        <w:t xml:space="preserve">Geographic restriction.</w:t>
      </w:r>
      <w:r>
        <w:rPr>
          <w:rFonts w:ascii="Times New Roman" w:cs="Times New Roman" w:eastAsia="Times New Roman" w:hAnsi="Times New Roman"/>
        </w:rPr>
        <w:t xml:space="preserve"> The geo-block grew to 32 countries without moving. It stays Pa.</w:t>
      </w:r>
    </w:p>
    <w:p>
      <w:pPr>
        <w:pStyle w:val="ListParagraph"/>
        <w:numPr>
          <w:ilvl w:val="0"/>
          <w:numId w:val="2"/>
        </w:numPr>
        <w:spacing w:after="60" w:line="276" w:lineRule="exact"/>
        <w:jc w:val="both"/>
      </w:pPr>
      <w:r>
        <w:rPr>
          <w:rFonts w:ascii="Times New Roman" w:cs="Times New Roman" w:eastAsia="Times New Roman" w:hAnsi="Times New Roman"/>
          <w:b/>
          <w:bCs/>
        </w:rPr>
        <w:t xml:space="preserve">URL category for W2.</w:t>
      </w:r>
      <w:r>
        <w:rPr>
          <w:rFonts w:ascii="Times New Roman" w:cs="Times New Roman" w:eastAsia="Times New Roman" w:hAnsi="Times New Roman"/>
        </w:rPr>
        <w:t xml:space="preserve"> URL 28/29 add source-scoped blocks. W2 stays Pa at the application level and P at the hostname-category level.</w:t>
      </w:r>
    </w:p>
    <w:p>
      <w:pPr>
        <w:pStyle w:val="ListParagraph"/>
        <w:numPr>
          <w:ilvl w:val="0"/>
          <w:numId w:val="2"/>
        </w:numPr>
        <w:spacing w:after="60" w:line="276" w:lineRule="exact"/>
        <w:jc w:val="both"/>
      </w:pPr>
      <w:r>
        <w:rPr>
          <w:rFonts w:ascii="Times New Roman" w:cs="Times New Roman" w:eastAsia="Times New Roman" w:hAnsi="Times New Roman"/>
          <w:b/>
          <w:bCs/>
        </w:rPr>
        <w:t xml:space="preserve">New weaknesses.</w:t>
      </w:r>
      <w:r>
        <w:rPr>
          <w:rFonts w:ascii="Times New Roman" w:cs="Times New Roman" w:eastAsia="Times New Roman" w:hAnsi="Times New Roman"/>
        </w:rPr>
        <w:t xml:space="preserve"> SSL 3, the Claude DLP exceptions and fail-open DLP weaken U1 within its existing ratings rather than removing a capability.</w:t>
      </w:r>
    </w:p>
    <w:p>
      <w:pPr>
        <w:spacing w:after="120" w:line="276" w:lineRule="exact"/>
        <w:jc w:val="both"/>
      </w:pPr>
      <w:r>
        <w:rPr>
          <w:rFonts w:ascii="Times New Roman" w:cs="Times New Roman" w:eastAsia="Times New Roman" w:hAnsi="Times New Roman"/>
        </w:rPr>
        <w:t xml:space="preserve">The gradient is the finding. Remote users (index 72) receive most of what the tenant is licensed for. Every workload population scores 42 or below, and GCP-Egress 17, although those workloads include accounts that the SaaS API rules scan for HICN and SSN at rest. The controls that survive for workloads are the ones that need neither identity nor decryption: threat reputation, hostname category, partial IPS, and DNS security.</w:t>
      </w:r>
    </w:p>
    <w:p>
      <w:pPr>
        <w:pStyle w:val="Heading1"/>
        <w:pageBreakBefore/>
      </w:pPr>
      <w:r>
        <w:rPr>
          <w:rFonts w:ascii="Times New Roman" w:cs="Times New Roman" w:eastAsia="Times New Roman" w:hAnsi="Times New Roman"/>
          <w:b/>
          <w:bCs/>
          <w:sz w:val="26"/>
          <w:szCs w:val="26"/>
        </w:rPr>
        <w:t xml:space="preserve">6. DETECTION CAPABILITY</w:t>
      </w:r>
    </w:p>
    <w:p>
      <w:pPr>
        <w:pStyle w:val="Heading2"/>
      </w:pPr>
      <w:r>
        <w:rPr>
          <w:rFonts w:ascii="Times New Roman" w:cs="Times New Roman" w:eastAsia="Times New Roman" w:hAnsi="Times New Roman"/>
          <w:b/>
          <w:bCs/>
          <w:sz w:val="22"/>
          <w:szCs w:val="22"/>
        </w:rPr>
        <w:t xml:space="preserve">6.1 Fidelity and attribution by population</w:t>
      </w:r>
    </w:p>
    <w:p>
      <w:pPr>
        <w:keepNext/>
        <w:spacing w:after="80" w:before="120"/>
        <w:jc w:val="center"/>
      </w:pPr>
      <w:r>
        <w:rPr>
          <w:rFonts w:ascii="Times New Roman" w:cs="Times New Roman" w:eastAsia="Times New Roman" w:hAnsi="Times New Roman"/>
          <w:i/>
          <w:iCs/>
          <w:sz w:val="20"/>
          <w:szCs w:val="20"/>
        </w:rPr>
        <w:t xml:space="preserve">Table 6. Detection fidelity (INFERRED from decryption and identity status)</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893"/>
        <w:gridCol w:w="2282"/>
        <w:gridCol w:w="1786"/>
        <w:gridCol w:w="2579"/>
        <w:gridCol w:w="1388"/>
      </w:tblGrid>
      <w:tr>
        <w:trPr>
          <w:cantSplit/>
          <w:tblHeader/>
        </w:trPr>
        <w:tc>
          <w:tcPr>
            <w:tcW w:type="dxa" w:w="893"/>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Population</w:t>
            </w:r>
          </w:p>
        </w:tc>
        <w:tc>
          <w:tcPr>
            <w:tcW w:type="dxa" w:w="2282"/>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Web traffic</w:t>
            </w:r>
          </w:p>
        </w:tc>
        <w:tc>
          <w:tcPr>
            <w:tcW w:type="dxa" w:w="1786"/>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Non-web traffic</w:t>
            </w:r>
          </w:p>
        </w:tc>
        <w:tc>
          <w:tcPr>
            <w:tcW w:type="dxa" w:w="2579"/>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Content telemetry</w:t>
            </w:r>
          </w:p>
        </w:tc>
        <w:tc>
          <w:tcPr>
            <w:tcW w:type="dxa" w:w="1388"/>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Attribution</w:t>
            </w:r>
          </w:p>
        </w:tc>
      </w:tr>
      <w:tr>
        <w:trPr>
          <w:cantSplit/>
          <w:tblHeader w:val="false"/>
        </w:trPr>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U1</w:t>
            </w:r>
          </w:p>
        </w:tc>
        <w:tc>
          <w:tcPr>
            <w:tcW w:type="dxa" w:w="22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F4 (except SSL 32/35 exemptions and SSL 3 user: F2)</w:t>
            </w:r>
          </w:p>
        </w:tc>
        <w:tc>
          <w:tcPr>
            <w:tcW w:type="dxa" w:w="178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F1</w:t>
            </w:r>
          </w:p>
        </w:tc>
        <w:tc>
          <w:tcPr>
            <w:tcW w:type="dxa" w:w="257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DLP incidents, sandbox/AV verdicts, AI prompts, file types</w:t>
            </w:r>
          </w:p>
        </w:tc>
        <w:tc>
          <w:tcPr>
            <w:tcW w:type="dxa" w:w="13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User, department, device</w:t>
            </w:r>
          </w:p>
        </w:tc>
      </w:tr>
      <w:tr>
        <w:trPr>
          <w:cantSplit/>
          <w:tblHeader w:val="false"/>
        </w:trPr>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U2</w:t>
            </w:r>
          </w:p>
        </w:tc>
        <w:tc>
          <w:tcPr>
            <w:tcW w:type="dxa" w:w="22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F4, but F2 for 73 dev apps</w:t>
            </w:r>
          </w:p>
        </w:tc>
        <w:tc>
          <w:tcPr>
            <w:tcW w:type="dxa" w:w="178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F1</w:t>
            </w:r>
          </w:p>
        </w:tc>
        <w:tc>
          <w:tcPr>
            <w:tcW w:type="dxa" w:w="257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None for GitHub/dev tools</w:t>
            </w:r>
          </w:p>
        </w:tc>
        <w:tc>
          <w:tcPr>
            <w:tcW w:type="dxa" w:w="13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User</w:t>
            </w:r>
          </w:p>
        </w:tc>
      </w:tr>
      <w:tr>
        <w:trPr>
          <w:cantSplit/>
          <w:tblHeader w:val="false"/>
        </w:trPr>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U3</w:t>
            </w:r>
          </w:p>
        </w:tc>
        <w:tc>
          <w:tcPr>
            <w:tcW w:type="dxa" w:w="22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F2</w:t>
            </w:r>
          </w:p>
        </w:tc>
        <w:tc>
          <w:tcPr>
            <w:tcW w:type="dxa" w:w="178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F1</w:t>
            </w:r>
          </w:p>
        </w:tc>
        <w:tc>
          <w:tcPr>
            <w:tcW w:type="dxa" w:w="257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None</w:t>
            </w:r>
          </w:p>
        </w:tc>
        <w:tc>
          <w:tcPr>
            <w:tcW w:type="dxa" w:w="13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Location only</w:t>
            </w:r>
          </w:p>
        </w:tc>
      </w:tr>
      <w:tr>
        <w:trPr>
          <w:cantSplit/>
          <w:tblHeader w:val="false"/>
        </w:trPr>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W1</w:t>
            </w:r>
          </w:p>
        </w:tc>
        <w:tc>
          <w:tcPr>
            <w:tcW w:type="dxa" w:w="22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F2 (all categories allowed)</w:t>
            </w:r>
          </w:p>
        </w:tc>
        <w:tc>
          <w:tcPr>
            <w:tcW w:type="dxa" w:w="178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F1 (any/any)</w:t>
            </w:r>
          </w:p>
        </w:tc>
        <w:tc>
          <w:tcPr>
            <w:tcW w:type="dxa" w:w="257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None</w:t>
            </w:r>
          </w:p>
        </w:tc>
        <w:tc>
          <w:tcPr>
            <w:tcW w:type="dxa" w:w="13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Location + source IP</w:t>
            </w:r>
          </w:p>
        </w:tc>
      </w:tr>
      <w:tr>
        <w:trPr>
          <w:cantSplit/>
          <w:tblHeader w:val="false"/>
        </w:trPr>
        <w:tc>
          <w:tcPr>
            <w:tcW w:type="dxa" w:w="8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W2</w:t>
            </w:r>
          </w:p>
        </w:tc>
        <w:tc>
          <w:tcPr>
            <w:tcW w:type="dxa" w:w="22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F2</w:t>
            </w:r>
          </w:p>
        </w:tc>
        <w:tc>
          <w:tcPr>
            <w:tcW w:type="dxa" w:w="178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F1 (any/any)</w:t>
            </w:r>
          </w:p>
        </w:tc>
        <w:tc>
          <w:tcPr>
            <w:tcW w:type="dxa" w:w="257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None</w:t>
            </w:r>
          </w:p>
        </w:tc>
        <w:tc>
          <w:tcPr>
            <w:tcW w:type="dxa" w:w="13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Location + source IP</w:t>
            </w:r>
          </w:p>
        </w:tc>
      </w:tr>
      <w:tr>
        <w:trPr>
          <w:cantSplit/>
          <w:tblHeader w:val="false"/>
        </w:trPr>
        <w:tc>
          <w:tcPr>
            <w:tcW w:type="dxa" w:w="893"/>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W3</w:t>
            </w:r>
          </w:p>
        </w:tc>
        <w:tc>
          <w:tcPr>
            <w:tcW w:type="dxa" w:w="2282"/>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F2</w:t>
            </w:r>
          </w:p>
        </w:tc>
        <w:tc>
          <w:tcPr>
            <w:tcW w:type="dxa" w:w="1786"/>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F1 (default-deny events visible)</w:t>
            </w:r>
          </w:p>
        </w:tc>
        <w:tc>
          <w:tcPr>
            <w:tcW w:type="dxa" w:w="2579"/>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None inline; S3 at rest (report)</w:t>
            </w:r>
          </w:p>
        </w:tc>
        <w:tc>
          <w:tcPr>
            <w:tcW w:type="dxa" w:w="1388"/>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Location + source IP</w:t>
            </w:r>
          </w:p>
        </w:tc>
      </w:tr>
    </w:tbl>
    <w:p>
      <w:pPr>
        <w:spacing w:after="80"/>
      </w:pPr>
    </w:p>
    <w:p>
      <w:pPr>
        <w:spacing w:after="120" w:line="276" w:lineRule="exact"/>
        <w:jc w:val="both"/>
      </w:pPr>
      <w:r>
        <w:rPr>
          <w:rFonts w:ascii="Times New Roman" w:cs="Times New Roman" w:eastAsia="Times New Roman" w:hAnsi="Times New Roman"/>
        </w:rPr>
        <w:t xml:space="preserve">A notable consequence for W1 and W2: because the firewall allows everything, their flow logs are pure observation. There is no deny event that marks anomalous behavior. For W3, default-deny produces block events, which are a usable signal of unexpected egress. That makes the least-controlled populations also the least observable in any alertable sense.</w:t>
      </w:r>
    </w:p>
    <w:p>
      <w:pPr>
        <w:pStyle w:val="Heading2"/>
      </w:pPr>
      <w:r>
        <w:rPr>
          <w:rFonts w:ascii="Times New Roman" w:cs="Times New Roman" w:eastAsia="Times New Roman" w:hAnsi="Times New Roman"/>
          <w:b/>
          <w:bCs/>
          <w:sz w:val="22"/>
          <w:szCs w:val="22"/>
        </w:rPr>
        <w:t xml:space="preserve">6.2 Controls configured for detection rather than prevention</w:t>
      </w:r>
    </w:p>
    <w:p>
      <w:pPr>
        <w:keepNext/>
        <w:spacing w:after="80" w:before="120"/>
        <w:jc w:val="center"/>
      </w:pPr>
      <w:r>
        <w:rPr>
          <w:rFonts w:ascii="Times New Roman" w:cs="Times New Roman" w:eastAsia="Times New Roman" w:hAnsi="Times New Roman"/>
          <w:i/>
          <w:iCs/>
          <w:sz w:val="20"/>
          <w:szCs w:val="20"/>
        </w:rPr>
        <w:t xml:space="preserve">Table 7. Detection-only (monitor/report) configuration</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2381"/>
        <w:gridCol w:w="2381"/>
        <w:gridCol w:w="2381"/>
        <w:gridCol w:w="1785"/>
      </w:tblGrid>
      <w:tr>
        <w:trPr>
          <w:cantSplit/>
          <w:tblHeader/>
        </w:trPr>
        <w:tc>
          <w:tcPr>
            <w:tcW w:type="dxa" w:w="2381"/>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Control</w:t>
            </w:r>
          </w:p>
        </w:tc>
        <w:tc>
          <w:tcPr>
            <w:tcW w:type="dxa" w:w="2381"/>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Configuration</w:t>
            </w:r>
          </w:p>
        </w:tc>
        <w:tc>
          <w:tcPr>
            <w:tcW w:type="dxa" w:w="2381"/>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Covers</w:t>
            </w:r>
          </w:p>
        </w:tc>
        <w:tc>
          <w:tcPr>
            <w:tcW w:type="dxa" w:w="1785"/>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Effective for</w:t>
            </w:r>
          </w:p>
        </w:tc>
      </w:tr>
      <w:tr>
        <w:trPr>
          <w:cantSplit/>
          <w:tblHeader w:val="false"/>
        </w:trPr>
        <w:tc>
          <w:tcPr>
            <w:tcW w:type="dxa" w:w="238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Web DLP 15–18 "AnyURL"</w:t>
            </w:r>
          </w:p>
        </w:tc>
        <w:tc>
          <w:tcPr>
            <w:tcW w:type="dxa" w:w="238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Allow (log); named "_MON" in the December export</w:t>
            </w:r>
          </w:p>
        </w:tc>
        <w:tc>
          <w:tcPr>
            <w:tcW w:type="dxa" w:w="238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SSN, HICN, credentials, CC/bank, confidential, medical, MBI to any URL</w:t>
            </w:r>
          </w:p>
        </w:tc>
        <w:tc>
          <w:tcPr>
            <w:tcW w:type="dxa" w:w="178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U1 only</w:t>
            </w:r>
          </w:p>
        </w:tc>
      </w:tr>
      <w:tr>
        <w:trPr>
          <w:cantSplit/>
          <w:tblHeader w:val="false"/>
        </w:trPr>
        <w:tc>
          <w:tcPr>
            <w:tcW w:type="dxa" w:w="238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Web DLP 3, 11 parents; 12</w:t>
            </w:r>
          </w:p>
        </w:tc>
        <w:tc>
          <w:tcPr>
            <w:tcW w:type="dxa" w:w="238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Allow (log); block sub-rules beneath 3 and 11; 12 is monitor-only with no sub-rules</w:t>
            </w:r>
          </w:p>
        </w:tc>
        <w:tc>
          <w:tcPr>
            <w:tcW w:type="dxa" w:w="238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Social/AI/unauthorized destinations</w:t>
            </w:r>
          </w:p>
        </w:tc>
        <w:tc>
          <w:tcPr>
            <w:tcW w:type="dxa" w:w="178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U1 only</w:t>
            </w:r>
          </w:p>
        </w:tc>
      </w:tr>
      <w:tr>
        <w:trPr>
          <w:cantSplit/>
          <w:tblHeader w:val="false"/>
        </w:trPr>
        <w:tc>
          <w:tcPr>
            <w:tcW w:type="dxa" w:w="238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Web DLP 11.5, 14.4 (Sep)</w:t>
            </w:r>
          </w:p>
        </w:tc>
        <w:tc>
          <w:tcPr>
            <w:tcW w:type="dxa" w:w="238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Allow; any engine / PCI engine</w:t>
            </w:r>
          </w:p>
        </w:tc>
        <w:tc>
          <w:tcPr>
            <w:tcW w:type="dxa" w:w="238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Claude, above the AI-category and PCI blocks</w:t>
            </w:r>
          </w:p>
        </w:tc>
        <w:tc>
          <w:tcPr>
            <w:tcW w:type="dxa" w:w="178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U1 only</w:t>
            </w:r>
          </w:p>
        </w:tc>
      </w:tr>
      <w:tr>
        <w:trPr>
          <w:cantSplit/>
          <w:tblHeader w:val="false"/>
        </w:trPr>
        <w:tc>
          <w:tcPr>
            <w:tcW w:type="dxa" w:w="238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Web DLP 1 TEST-CVSH-DLP-AllowM365</w:t>
            </w:r>
          </w:p>
        </w:tc>
        <w:tc>
          <w:tcPr>
            <w:tcW w:type="dxa" w:w="238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Disabled in September (was Allow, engines ANY)</w:t>
            </w:r>
          </w:p>
        </w:tc>
        <w:tc>
          <w:tcPr>
            <w:tcW w:type="dxa" w:w="238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Microsoft Teams</w:t>
            </w:r>
          </w:p>
        </w:tc>
        <w:tc>
          <w:tcPr>
            <w:tcW w:type="dxa" w:w="178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None</w:t>
            </w:r>
          </w:p>
        </w:tc>
      </w:tr>
      <w:tr>
        <w:trPr>
          <w:cantSplit/>
          <w:tblHeader w:val="false"/>
        </w:trPr>
        <w:tc>
          <w:tcPr>
            <w:tcW w:type="dxa" w:w="238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SaaS API DLP</w:t>
            </w:r>
          </w:p>
        </w:tc>
        <w:tc>
          <w:tcPr>
            <w:tcW w:type="dxa" w:w="238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71 of 80 rules Report Incident</w:t>
            </w:r>
          </w:p>
        </w:tc>
        <w:tc>
          <w:tcPr>
            <w:tcW w:type="dxa" w:w="238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48 tenants</w:t>
            </w:r>
          </w:p>
        </w:tc>
        <w:tc>
          <w:tcPr>
            <w:tcW w:type="dxa" w:w="178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Data at rest; users and S3</w:t>
            </w:r>
          </w:p>
        </w:tc>
      </w:tr>
      <w:tr>
        <w:trPr>
          <w:cantSplit/>
          <w:tblHeader w:val="false"/>
        </w:trPr>
        <w:tc>
          <w:tcPr>
            <w:tcW w:type="dxa" w:w="238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SaaS API Malware</w:t>
            </w:r>
          </w:p>
        </w:tc>
        <w:tc>
          <w:tcPr>
            <w:tcW w:type="dxa" w:w="238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48 of 49 Report</w:t>
            </w:r>
          </w:p>
        </w:tc>
        <w:tc>
          <w:tcPr>
            <w:tcW w:type="dxa" w:w="238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All tenants except Slack</w:t>
            </w:r>
          </w:p>
        </w:tc>
        <w:tc>
          <w:tcPr>
            <w:tcW w:type="dxa" w:w="178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Data at rest</w:t>
            </w:r>
          </w:p>
        </w:tc>
      </w:tr>
      <w:tr>
        <w:trPr>
          <w:cantSplit/>
          <w:tblHeader w:val="false"/>
        </w:trPr>
        <w:tc>
          <w:tcPr>
            <w:tcW w:type="dxa" w:w="238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Sandbox "Allow and scan first time"</w:t>
            </w:r>
          </w:p>
        </w:tc>
        <w:tc>
          <w:tcPr>
            <w:tcW w:type="dxa" w:w="238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Verdict after delivery (unchanged in September)</w:t>
            </w:r>
          </w:p>
        </w:tc>
        <w:tc>
          <w:tcPr>
            <w:tcW w:type="dxa" w:w="238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Most file types</w:t>
            </w:r>
          </w:p>
        </w:tc>
        <w:tc>
          <w:tcPr>
            <w:tcW w:type="dxa" w:w="178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U1 only</w:t>
            </w:r>
          </w:p>
        </w:tc>
      </w:tr>
      <w:tr>
        <w:trPr>
          <w:cantSplit/>
          <w:tblHeader w:val="false"/>
        </w:trPr>
        <w:tc>
          <w:tcPr>
            <w:tcW w:type="dxa" w:w="238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Advanced Threats C2 alert</w:t>
            </w:r>
          </w:p>
        </w:tc>
        <w:tc>
          <w:tcPr>
            <w:tcW w:type="dxa" w:w="238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"Alert for Unknown/Suspicious C2 Traffic: Enabled"</w:t>
            </w:r>
          </w:p>
        </w:tc>
        <w:tc>
          <w:tcPr>
            <w:tcW w:type="dxa" w:w="238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Unknown C2 patterns</w:t>
            </w:r>
          </w:p>
        </w:tc>
        <w:tc>
          <w:tcPr>
            <w:tcW w:type="dxa" w:w="178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All (hostname/flow)</w:t>
            </w:r>
          </w:p>
        </w:tc>
      </w:tr>
      <w:tr>
        <w:trPr>
          <w:cantSplit/>
          <w:tblHeader w:val="false"/>
        </w:trPr>
        <w:tc>
          <w:tcPr>
            <w:tcW w:type="dxa" w:w="2381"/>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Outbound Email DLP</w:t>
            </w:r>
          </w:p>
        </w:tc>
        <w:tc>
          <w:tcPr>
            <w:tcW w:type="dxa" w:w="2381"/>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9 of 10 rules disabled</w:t>
            </w:r>
          </w:p>
        </w:tc>
        <w:tc>
          <w:tcPr>
            <w:tcW w:type="dxa" w:w="2381"/>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Mimecast mail</w:t>
            </w:r>
          </w:p>
        </w:tc>
        <w:tc>
          <w:tcPr>
            <w:tcW w:type="dxa" w:w="1785"/>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Minimal</w:t>
            </w:r>
          </w:p>
        </w:tc>
      </w:tr>
    </w:tbl>
    <w:p>
      <w:pPr>
        <w:spacing w:after="80"/>
      </w:pPr>
    </w:p>
    <w:p>
      <w:pPr>
        <w:spacing w:after="120" w:line="276" w:lineRule="exact"/>
        <w:jc w:val="both"/>
      </w:pPr>
      <w:r>
        <w:rPr>
          <w:rFonts w:ascii="Times New Roman" w:cs="Times New Roman" w:eastAsia="Times New Roman" w:hAnsi="Times New Roman"/>
        </w:rPr>
        <w:t xml:space="preserve">Every detection-only control that inspects content depends on decryption. Workloads therefore receive none of the monitoring the DLP program relies on, not even the monitor-mode rules. For servers, the choice between monitoring and blocking has not been made; neither is possible under the current SSL configuration.</w:t>
      </w:r>
    </w:p>
    <w:p>
      <w:pPr>
        <w:pStyle w:val="Heading2"/>
      </w:pPr>
      <w:r>
        <w:rPr>
          <w:rFonts w:ascii="Times New Roman" w:cs="Times New Roman" w:eastAsia="Times New Roman" w:hAnsi="Times New Roman"/>
          <w:b/>
          <w:bCs/>
          <w:sz w:val="22"/>
          <w:szCs w:val="22"/>
        </w:rPr>
        <w:t xml:space="preserve">6.3 Detection dependencies outside the export</w:t>
      </w:r>
    </w:p>
    <w:p>
      <w:pPr>
        <w:pStyle w:val="ListParagraph"/>
        <w:numPr>
          <w:ilvl w:val="0"/>
          <w:numId w:val="2"/>
        </w:numPr>
        <w:spacing w:after="60" w:line="276" w:lineRule="exact"/>
        <w:jc w:val="both"/>
      </w:pPr>
      <w:r>
        <w:rPr>
          <w:rFonts w:ascii="Times New Roman" w:cs="Times New Roman" w:eastAsia="Times New Roman" w:hAnsi="Times New Roman"/>
          <w:b/>
          <w:bCs/>
        </w:rPr>
        <w:t xml:space="preserve">Log delivery.</w:t>
      </w:r>
      <w:r>
        <w:rPr>
          <w:rFonts w:ascii="Times New Roman" w:cs="Times New Roman" w:eastAsia="Times New Roman" w:hAnsi="Times New Roman"/>
        </w:rPr>
        <w:t xml:space="preserve"> NSS / Cloud NSS feeds and their destinations are not in the export. The enterprise DLP architecture (EISA data-security standard) shows proxy DLP events feeding a shared incident repository and SIEM. Whether ZIA web, firewall, DNS, and DLP logs all reach the SIEM, and at what retention, is VERIFY.</w:t>
      </w:r>
    </w:p>
    <w:p>
      <w:pPr>
        <w:pStyle w:val="ListParagraph"/>
        <w:numPr>
          <w:ilvl w:val="0"/>
          <w:numId w:val="2"/>
        </w:numPr>
        <w:spacing w:after="60" w:line="276" w:lineRule="exact"/>
        <w:jc w:val="both"/>
      </w:pPr>
      <w:r>
        <w:rPr>
          <w:rFonts w:ascii="Times New Roman" w:cs="Times New Roman" w:eastAsia="Times New Roman" w:hAnsi="Times New Roman"/>
          <w:b/>
          <w:bCs/>
        </w:rPr>
        <w:t xml:space="preserve">Workload attribution.</w:t>
      </w:r>
      <w:r>
        <w:rPr>
          <w:rFonts w:ascii="Times New Roman" w:cs="Times New Roman" w:eastAsia="Times New Roman" w:hAnsi="Times New Roman"/>
        </w:rPr>
        <w:t xml:space="preserve"> Location plus source IP identifies a workload only if the SOC can map the address to an asset. With overlapping RFC1918 space, that mapping depends on the location as well as the address, which is the join the CCD platform’s IPAM and topology datasets are built to provide.</w:t>
      </w:r>
    </w:p>
    <w:p>
      <w:pPr>
        <w:pStyle w:val="ListParagraph"/>
        <w:numPr>
          <w:ilvl w:val="0"/>
          <w:numId w:val="2"/>
        </w:numPr>
        <w:spacing w:after="60" w:line="276" w:lineRule="exact"/>
        <w:jc w:val="both"/>
      </w:pPr>
      <w:r>
        <w:rPr>
          <w:rFonts w:ascii="Times New Roman" w:cs="Times New Roman" w:eastAsia="Times New Roman" w:hAnsi="Times New Roman"/>
          <w:b/>
          <w:bCs/>
        </w:rPr>
        <w:t xml:space="preserve">Downstream controls.</w:t>
      </w:r>
      <w:r>
        <w:rPr>
          <w:rFonts w:ascii="Times New Roman" w:cs="Times New Roman" w:eastAsia="Times New Roman" w:hAnsi="Times New Roman"/>
        </w:rPr>
        <w:t xml:space="preserve"> The cloud reference architectures place a firewall in each DMZ egress VPC/VNet alongside Zscaler (FTDv in GCP, with "Prod Zscaler" / "NonProd Zscaler" policy groups; FW tiers in AWS and Azure). Any real L4 workload control may live there. It is not credited in this rating because it is not in the ZIA export and has not been verified against a live configuration.</w:t>
      </w:r>
    </w:p>
    <w:p>
      <w:pPr>
        <w:pStyle w:val="Heading1"/>
        <w:pageBreakBefore/>
      </w:pPr>
      <w:r>
        <w:rPr>
          <w:rFonts w:ascii="Times New Roman" w:cs="Times New Roman" w:eastAsia="Times New Roman" w:hAnsi="Times New Roman"/>
          <w:b/>
          <w:bCs/>
          <w:sz w:val="26"/>
          <w:szCs w:val="26"/>
        </w:rPr>
        <w:t xml:space="preserve">7. HOSTNAME-BASED VERSUS DECRYPTION-BASED ENFORCEMENT</w:t>
      </w:r>
    </w:p>
    <w:p>
      <w:pPr>
        <w:spacing w:after="120" w:line="276" w:lineRule="exact"/>
        <w:jc w:val="both"/>
      </w:pPr>
      <w:r>
        <w:rPr>
          <w:rFonts w:ascii="Times New Roman" w:cs="Times New Roman" w:eastAsia="Times New Roman" w:hAnsi="Times New Roman"/>
        </w:rPr>
        <w:t xml:space="preserve">When ZIA does not decrypt, it still sees the TLS SNI hostname, the destination IP, and the server certificate. The SSL action "Evaluate Other Policies" (used by every workload, developer, and retail bypass) keeps hostname-level controls running. "Bypass Other Policies" (O365 One Click, Zscaler Recommended Exemptions, UCaaS, Snyk/Auth0, FileMaker) switches even those off.</w:t>
      </w:r>
    </w:p>
    <w:p>
      <w:pPr>
        <w:keepNext/>
        <w:spacing w:after="80" w:before="120"/>
        <w:jc w:val="center"/>
      </w:pPr>
      <w:r>
        <w:rPr>
          <w:rFonts w:ascii="Times New Roman" w:cs="Times New Roman" w:eastAsia="Times New Roman" w:hAnsi="Times New Roman"/>
          <w:i/>
          <w:iCs/>
          <w:sz w:val="20"/>
          <w:szCs w:val="20"/>
        </w:rPr>
        <w:t xml:space="preserve">Table 8. Capability dependency and configured rules affected</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2579"/>
        <w:gridCol w:w="1488"/>
        <w:gridCol w:w="4861"/>
      </w:tblGrid>
      <w:tr>
        <w:trPr>
          <w:cantSplit/>
          <w:tblHeader/>
        </w:trPr>
        <w:tc>
          <w:tcPr>
            <w:tcW w:type="dxa" w:w="2579"/>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Capability</w:t>
            </w:r>
          </w:p>
        </w:tc>
        <w:tc>
          <w:tcPr>
            <w:tcW w:type="dxa" w:w="1488"/>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Needs decryption?</w:t>
            </w:r>
          </w:p>
        </w:tc>
        <w:tc>
          <w:tcPr>
            <w:tcW w:type="dxa" w:w="4861"/>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Rules in this tenant that silently lose value when not decrypted</w:t>
            </w:r>
          </w:p>
        </w:tc>
      </w:tr>
      <w:tr>
        <w:trPr>
          <w:cantSplit/>
          <w:tblHeader w:val="false"/>
        </w:trPr>
        <w:tc>
          <w:tcPr>
            <w:tcW w:type="dxa" w:w="257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URL category / custom domain block</w:t>
            </w:r>
          </w:p>
        </w:tc>
        <w:tc>
          <w:tcPr>
            <w:tcW w:type="dxa" w:w="14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No (hostname)</w:t>
            </w:r>
          </w:p>
        </w:tc>
        <w:tc>
          <w:tcPr>
            <w:tcW w:type="dxa" w:w="486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w:t>
            </w:r>
          </w:p>
        </w:tc>
      </w:tr>
      <w:tr>
        <w:trPr>
          <w:cantSplit/>
          <w:tblHeader w:val="false"/>
        </w:trPr>
        <w:tc>
          <w:tcPr>
            <w:tcW w:type="dxa" w:w="257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URL path, query, method, user agent</w:t>
            </w:r>
          </w:p>
        </w:tc>
        <w:tc>
          <w:tcPr>
            <w:tcW w:type="dxa" w:w="14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Yes</w:t>
            </w:r>
          </w:p>
        </w:tc>
        <w:tc>
          <w:tcPr>
            <w:tcW w:type="dxa" w:w="486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151 path-specific entries in the custom malicious-URL list; isolation rules 16, 36, 49, 51, 52, 53 (user-agent criteria)</w:t>
            </w:r>
          </w:p>
        </w:tc>
      </w:tr>
      <w:tr>
        <w:trPr>
          <w:cantSplit/>
          <w:tblHeader w:val="false"/>
        </w:trPr>
        <w:tc>
          <w:tcPr>
            <w:tcW w:type="dxa" w:w="257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Threat reputation, country (web)</w:t>
            </w:r>
          </w:p>
        </w:tc>
        <w:tc>
          <w:tcPr>
            <w:tcW w:type="dxa" w:w="14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No</w:t>
            </w:r>
          </w:p>
        </w:tc>
        <w:tc>
          <w:tcPr>
            <w:tcW w:type="dxa" w:w="486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w:t>
            </w:r>
          </w:p>
        </w:tc>
      </w:tr>
      <w:tr>
        <w:trPr>
          <w:cantSplit/>
          <w:tblHeader w:val="false"/>
        </w:trPr>
        <w:tc>
          <w:tcPr>
            <w:tcW w:type="dxa" w:w="257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Cloud app identification (allow/block app)</w:t>
            </w:r>
          </w:p>
        </w:tc>
        <w:tc>
          <w:tcPr>
            <w:tcW w:type="dxa" w:w="14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No (mostly)</w:t>
            </w:r>
          </w:p>
        </w:tc>
        <w:tc>
          <w:tcPr>
            <w:tcW w:type="dxa" w:w="486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w:t>
            </w:r>
          </w:p>
        </w:tc>
      </w:tr>
      <w:tr>
        <w:trPr>
          <w:cantSplit/>
          <w:tblHeader w:val="false"/>
        </w:trPr>
        <w:tc>
          <w:tcPr>
            <w:tcW w:type="dxa" w:w="257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Cloud app activity (upload, post, send)</w:t>
            </w:r>
          </w:p>
        </w:tc>
        <w:tc>
          <w:tcPr>
            <w:tcW w:type="dxa" w:w="14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Yes</w:t>
            </w:r>
          </w:p>
        </w:tc>
        <w:tc>
          <w:tcPr>
            <w:tcW w:type="dxa" w:w="486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Social view-only (Social 10), webmail view-only (Webmail 7), transfer upload blocks (File Sharing 20), Google Drive view-only (24)</w:t>
            </w:r>
          </w:p>
        </w:tc>
      </w:tr>
      <w:tr>
        <w:trPr>
          <w:cantSplit/>
          <w:tblHeader w:val="false"/>
        </w:trPr>
        <w:tc>
          <w:tcPr>
            <w:tcW w:type="dxa" w:w="257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Cloud app instance (tenant) detection</w:t>
            </w:r>
          </w:p>
        </w:tc>
        <w:tc>
          <w:tcPr>
            <w:tcW w:type="dxa" w:w="14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Yes</w:t>
            </w:r>
          </w:p>
        </w:tc>
        <w:tc>
          <w:tcPr>
            <w:tcW w:type="dxa" w:w="486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GitHub Signed CDN (System &amp; Development 9), YCC Box, Gdrive instances; DLP exceptions for corporate M365 instances (14.2, 20.1, 22.1)</w:t>
            </w:r>
          </w:p>
        </w:tc>
      </w:tr>
      <w:tr>
        <w:trPr>
          <w:cantSplit/>
          <w:tblHeader w:val="false"/>
        </w:trPr>
        <w:tc>
          <w:tcPr>
            <w:tcW w:type="dxa" w:w="257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Tenant restriction / header insertion</w:t>
            </w:r>
          </w:p>
        </w:tc>
        <w:tc>
          <w:tcPr>
            <w:tcW w:type="dxa" w:w="14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Yes</w:t>
            </w:r>
          </w:p>
        </w:tc>
        <w:tc>
          <w:tcPr>
            <w:tcW w:type="dxa" w:w="486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M365 tenant profile (IT Services 5, paired with SSL 24); ChatGPT Enterprise (AI 74); Claude header insertion (URL 39, all users since September); Slack YCC (Collaboration 17); Google tenant pilot (IT Services 11, 13, 14; SSL 26)</w:t>
            </w:r>
          </w:p>
        </w:tc>
      </w:tr>
      <w:tr>
        <w:trPr>
          <w:cantSplit/>
          <w:tblHeader w:val="false"/>
        </w:trPr>
        <w:tc>
          <w:tcPr>
            <w:tcW w:type="dxa" w:w="257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Browser isolation</w:t>
            </w:r>
          </w:p>
        </w:tc>
        <w:tc>
          <w:tcPr>
            <w:tcW w:type="dxa" w:w="14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Yes</w:t>
            </w:r>
          </w:p>
        </w:tc>
        <w:tc>
          <w:tcPr>
            <w:tcW w:type="dxa" w:w="486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Gen-AI, misc/unknown/NRD, gambling, mature, bad-cert isolation</w:t>
            </w:r>
          </w:p>
        </w:tc>
      </w:tr>
      <w:tr>
        <w:trPr>
          <w:cantSplit/>
          <w:tblHeader w:val="false"/>
        </w:trPr>
        <w:tc>
          <w:tcPr>
            <w:tcW w:type="dxa" w:w="257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File type, AV, sandbox, PageRisk</w:t>
            </w:r>
          </w:p>
        </w:tc>
        <w:tc>
          <w:tcPr>
            <w:tcW w:type="dxa" w:w="14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Yes</w:t>
            </w:r>
          </w:p>
        </w:tc>
        <w:tc>
          <w:tcPr>
            <w:tcW w:type="dxa" w:w="486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All 24 file type rules; 5 sandbox rules</w:t>
            </w:r>
          </w:p>
        </w:tc>
      </w:tr>
      <w:tr>
        <w:trPr>
          <w:cantSplit/>
          <w:tblHeader w:val="false"/>
        </w:trPr>
        <w:tc>
          <w:tcPr>
            <w:tcW w:type="dxa" w:w="257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Inline DLP, AI prompt capture</w:t>
            </w:r>
          </w:p>
        </w:tc>
        <w:tc>
          <w:tcPr>
            <w:tcW w:type="dxa" w:w="14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Yes</w:t>
            </w:r>
          </w:p>
        </w:tc>
        <w:tc>
          <w:tcPr>
            <w:tcW w:type="dxa" w:w="486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All 71 web DLP entries; prompt capture (cloud app AI 3 and 8 in September)</w:t>
            </w:r>
          </w:p>
        </w:tc>
      </w:tr>
      <w:tr>
        <w:trPr>
          <w:cantSplit/>
          <w:tblHeader w:val="false"/>
        </w:trPr>
        <w:tc>
          <w:tcPr>
            <w:tcW w:type="dxa" w:w="2579"/>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Firewall, IPS signatures on non-TLS</w:t>
            </w:r>
          </w:p>
        </w:tc>
        <w:tc>
          <w:tcPr>
            <w:tcW w:type="dxa" w:w="1488"/>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No</w:t>
            </w:r>
          </w:p>
        </w:tc>
        <w:tc>
          <w:tcPr>
            <w:tcW w:type="dxa" w:w="4861"/>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w:t>
            </w:r>
          </w:p>
        </w:tc>
      </w:tr>
    </w:tbl>
    <w:p>
      <w:pPr>
        <w:spacing w:after="80"/>
      </w:pPr>
    </w:p>
    <w:p>
      <w:pPr>
        <w:spacing w:after="120" w:line="276" w:lineRule="exact"/>
        <w:jc w:val="both"/>
      </w:pPr>
      <w:r>
        <w:rPr>
          <w:rFonts w:ascii="Times New Roman" w:cs="Times New Roman" w:eastAsia="Times New Roman" w:hAnsi="Times New Roman"/>
        </w:rPr>
        <w:t xml:space="preserve">Two gaps apply even where decryption is on. InspectALL does not block traffic without SNI, and it does not block undecryptable sessions. Such traffic is controlled only by destination IP.</w:t>
      </w:r>
    </w:p>
    <w:p>
      <w:pPr>
        <w:pStyle w:val="Heading1"/>
      </w:pPr>
      <w:r>
        <w:rPr>
          <w:rFonts w:ascii="Times New Roman" w:cs="Times New Roman" w:eastAsia="Times New Roman" w:hAnsi="Times New Roman"/>
          <w:b/>
          <w:bCs/>
          <w:sz w:val="26"/>
          <w:szCs w:val="26"/>
        </w:rPr>
        <w:t xml:space="preserve">8. DLP: USERS VERSUS SERVERS</w:t>
      </w:r>
    </w:p>
    <w:p>
      <w:pPr>
        <w:keepNext/>
        <w:spacing w:after="80" w:before="120"/>
        <w:jc w:val="center"/>
      </w:pPr>
      <w:r>
        <w:rPr>
          <w:rFonts w:ascii="Times New Roman" w:cs="Times New Roman" w:eastAsia="Times New Roman" w:hAnsi="Times New Roman"/>
          <w:i/>
          <w:iCs/>
          <w:sz w:val="20"/>
          <w:szCs w:val="20"/>
        </w:rPr>
        <w:t xml:space="preserve">Table 9. Data-protection coverage by channel and originator</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1984"/>
        <w:gridCol w:w="3571"/>
        <w:gridCol w:w="3373"/>
      </w:tblGrid>
      <w:tr>
        <w:trPr>
          <w:cantSplit/>
          <w:tblHeader/>
        </w:trPr>
        <w:tc>
          <w:tcPr>
            <w:tcW w:type="dxa" w:w="1984"/>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Channel</w:t>
            </w:r>
          </w:p>
        </w:tc>
        <w:tc>
          <w:tcPr>
            <w:tcW w:type="dxa" w:w="3571"/>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User-originated</w:t>
            </w:r>
          </w:p>
        </w:tc>
        <w:tc>
          <w:tcPr>
            <w:tcW w:type="dxa" w:w="3373"/>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Server-originated</w:t>
            </w:r>
          </w:p>
        </w:tc>
      </w:tr>
      <w:tr>
        <w:trPr>
          <w:cantSplit/>
          <w:tblHeader w:val="false"/>
        </w:trPr>
        <w:tc>
          <w:tcPr>
            <w:tcW w:type="dxa" w:w="198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Inline web DLP</w:t>
            </w:r>
          </w:p>
        </w:tc>
        <w:tc>
          <w:tcPr>
            <w:tcW w:type="dxa" w:w="35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Decrypted traffic only. PHI: detect only to general destinations; block to AI, social, unauthorized, M365-personal, Webex, Slack. PCI and encrypted files: block everywhere. Blind to dev tools (SSL 34), O365 outside Road Warrior, Health/Finance. Since September: Claude exempt from AI-category blocks (11.5) and PCI block (14.4); upload only; fail open on timeout.</w:t>
            </w:r>
          </w:p>
        </w:tc>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No coverage. No workload traffic is decrypted. Data Protection Services defined a category named </w:t>
            </w:r>
            <w:r>
              <w:rPr>
                <w:rFonts w:ascii="Consolas" w:cs="Consolas" w:eastAsia="Consolas" w:hAnsi="Consolas"/>
                <w:sz w:val="16"/>
                <w:szCs w:val="16"/>
              </w:rPr>
              <w:t xml:space="preserve">CVSH_DPS_DLP_Bypass_SSL_GCP</w:t>
            </w:r>
            <w:r>
              <w:rPr>
                <w:rFonts w:ascii="Times New Roman" w:cs="Times New Roman" w:eastAsia="Times New Roman" w:hAnsi="Times New Roman"/>
                <w:sz w:val="19"/>
                <w:szCs w:val="19"/>
              </w:rPr>
              <w:t xml:space="preserve"> for this purpose (SSL 1).</w:t>
            </w:r>
          </w:p>
        </w:tc>
      </w:tr>
      <w:tr>
        <w:trPr>
          <w:cantSplit/>
          <w:tblHeader w:val="false"/>
        </w:trPr>
        <w:tc>
          <w:tcPr>
            <w:tcW w:type="dxa" w:w="198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Endpoint DLP</w:t>
            </w:r>
          </w:p>
        </w:tc>
        <w:tc>
          <w:tcPr>
            <w:tcW w:type="dxa" w:w="35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Block: removable media, printing, personal cloud (10 rules)</w:t>
            </w:r>
          </w:p>
        </w:tc>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Not applicable</w:t>
            </w:r>
          </w:p>
        </w:tc>
      </w:tr>
      <w:tr>
        <w:trPr>
          <w:cantSplit/>
          <w:tblHeader w:val="false"/>
        </w:trPr>
        <w:tc>
          <w:tcPr>
            <w:tcW w:type="dxa" w:w="198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Outbound email DLP</w:t>
            </w:r>
          </w:p>
        </w:tc>
        <w:tc>
          <w:tcPr>
            <w:tcW w:type="dxa" w:w="35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Mimecast: only SSN block enabled</w:t>
            </w:r>
          </w:p>
        </w:tc>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Application mail relays: not covered here</w:t>
            </w:r>
          </w:p>
        </w:tc>
      </w:tr>
      <w:tr>
        <w:trPr>
          <w:cantSplit/>
          <w:tblHeader w:val="false"/>
        </w:trPr>
        <w:tc>
          <w:tcPr>
            <w:tcW w:type="dxa" w:w="198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Data at rest (SaaS API)</w:t>
            </w:r>
          </w:p>
        </w:tc>
        <w:tc>
          <w:tcPr>
            <w:tcW w:type="dxa" w:w="35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SharePoint, OneDrive, Slack, Google Workspace: report-only except 9 quarantine rules</w:t>
            </w:r>
          </w:p>
        </w:tc>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S3 in 38 AWS accounts: report-only; 3 scans stopped. No Google Cloud Storage or Azure Blob coverage.</w:t>
            </w:r>
          </w:p>
        </w:tc>
      </w:tr>
      <w:tr>
        <w:trPr>
          <w:cantSplit/>
          <w:tblHeader w:val="false"/>
        </w:trPr>
        <w:tc>
          <w:tcPr>
            <w:tcW w:type="dxa" w:w="1984"/>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Non-web encrypted channels</w:t>
            </w:r>
          </w:p>
        </w:tc>
        <w:tc>
          <w:tcPr>
            <w:tcW w:type="dxa" w:w="3571"/>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SSH/SFTP/FTPS/RDP pinholes (FW 7, 9, 15, 33, 41, 46, 50, 53, 55, 57, 61; since September also FW 111, any service to FIS hosts): admission only, no content control</w:t>
            </w:r>
          </w:p>
        </w:tc>
        <w:tc>
          <w:tcPr>
            <w:tcW w:type="dxa" w:w="3373"/>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Any/any for W1/W2; SSH/MongoDB anywhere for AWS Aetna Digital; no content control</w:t>
            </w:r>
          </w:p>
        </w:tc>
      </w:tr>
    </w:tbl>
    <w:p>
      <w:pPr>
        <w:spacing w:after="80"/>
      </w:pPr>
    </w:p>
    <w:p>
      <w:pPr>
        <w:spacing w:after="120" w:line="276" w:lineRule="exact"/>
        <w:jc w:val="both"/>
      </w:pPr>
      <w:r>
        <w:rPr>
          <w:rFonts w:ascii="Times New Roman" w:cs="Times New Roman" w:eastAsia="Times New Roman" w:hAnsi="Times New Roman"/>
        </w:rPr>
        <w:t xml:space="preserve">For personal health data, inline network DLP is a detection control for users and absent for servers. The only preventive PHI controls in the tenant are endpoint DLP (users), the targeted-destination blocks (users), and quarantine of SSN in SharePoint and OneDrive at rest.</w:t>
      </w:r>
    </w:p>
    <w:p>
      <w:pPr>
        <w:pStyle w:val="Heading1"/>
        <w:pageBreakBefore/>
      </w:pPr>
      <w:r>
        <w:rPr>
          <w:rFonts w:ascii="Times New Roman" w:cs="Times New Roman" w:eastAsia="Times New Roman" w:hAnsi="Times New Roman"/>
          <w:b/>
          <w:bCs/>
          <w:sz w:val="26"/>
          <w:szCs w:val="26"/>
        </w:rPr>
        <w:t xml:space="preserve">9. ROOT CAUSES</w:t>
      </w:r>
    </w:p>
    <w:p>
      <w:pPr>
        <w:pStyle w:val="ListParagraph"/>
        <w:numPr>
          <w:ilvl w:val="0"/>
          <w:numId w:val="2"/>
        </w:numPr>
        <w:spacing w:after="60" w:line="276" w:lineRule="exact"/>
        <w:jc w:val="both"/>
      </w:pPr>
      <w:r>
        <w:rPr>
          <w:rFonts w:ascii="Times New Roman" w:cs="Times New Roman" w:eastAsia="Times New Roman" w:hAnsi="Times New Roman"/>
          <w:b/>
          <w:bCs/>
        </w:rPr>
        <w:t xml:space="preserve">No workload identity.</w:t>
      </w:r>
      <w:r>
        <w:rPr>
          <w:rFonts w:ascii="Times New Roman" w:cs="Times New Roman" w:eastAsia="Times New Roman" w:hAnsi="Times New Roman"/>
        </w:rPr>
        <w:t xml:space="preserve"> ZIA evaluates users. Workloads fall through to location rules, and the location rules are exemptions. The policy model has never been extended to treat server-originated traffic as a principal.</w:t>
      </w:r>
    </w:p>
    <w:p>
      <w:pPr>
        <w:pStyle w:val="ListParagraph"/>
        <w:numPr>
          <w:ilvl w:val="0"/>
          <w:numId w:val="2"/>
        </w:numPr>
        <w:spacing w:after="60" w:line="276" w:lineRule="exact"/>
        <w:jc w:val="both"/>
      </w:pPr>
      <w:r>
        <w:rPr>
          <w:rFonts w:ascii="Times New Roman" w:cs="Times New Roman" w:eastAsia="Times New Roman" w:hAnsi="Times New Roman"/>
          <w:b/>
          <w:bCs/>
        </w:rPr>
        <w:t xml:space="preserve">Trust store.</w:t>
      </w:r>
      <w:r>
        <w:rPr>
          <w:rFonts w:ascii="Times New Roman" w:cs="Times New Roman" w:eastAsia="Times New Roman" w:hAnsi="Times New Roman"/>
        </w:rPr>
        <w:t xml:space="preserve"> In December 2025, SSL rule 1 described itself as "an interim rule until ZScaler provides CVS with a process to modify the RootCA stores". Workloads do not trust the Zscaler CA, so decrypting them would break them; the bypass was the expedient answer. The tenant already holds a partial solution. The intermediate CA </w:t>
      </w:r>
      <w:r>
        <w:rPr>
          <w:rFonts w:ascii="Consolas" w:cs="Consolas" w:eastAsia="Consolas" w:hAnsi="Consolas"/>
          <w:sz w:val="19"/>
          <w:szCs w:val="19"/>
        </w:rPr>
        <w:t xml:space="preserve">ZscalerGCPDigicert</w:t>
      </w:r>
      <w:r>
        <w:rPr>
          <w:rFonts w:ascii="Times New Roman" w:cs="Times New Roman" w:eastAsia="Times New Roman" w:hAnsi="Times New Roman"/>
        </w:rPr>
        <w:t xml:space="preserve">, valid May 2024 to May 2031, is enabled, and SSL rule 15 </w:t>
      </w:r>
      <w:r>
        <w:rPr>
          <w:rFonts w:ascii="Consolas" w:cs="Consolas" w:eastAsia="Consolas" w:hAnsi="Consolas"/>
          <w:sz w:val="19"/>
          <w:szCs w:val="19"/>
        </w:rPr>
        <w:t xml:space="preserve">SSL DigiCert Test</w:t>
      </w:r>
      <w:r>
        <w:rPr>
          <w:rFonts w:ascii="Times New Roman" w:cs="Times New Roman" w:eastAsia="Times New Roman" w:hAnsi="Times New Roman"/>
        </w:rPr>
        <w:t xml:space="preserve"> inspects the GCP_POV location with it. That is a workload-decryption proof of value that was never extended to production. (Chain of trust: VERIFY.)</w:t>
      </w:r>
    </w:p>
    <w:p>
      <w:pPr>
        <w:pStyle w:val="ListParagraph"/>
        <w:numPr>
          <w:ilvl w:val="0"/>
          <w:numId w:val="2"/>
        </w:numPr>
        <w:spacing w:after="60" w:line="276" w:lineRule="exact"/>
        <w:jc w:val="both"/>
      </w:pPr>
      <w:r>
        <w:rPr>
          <w:rFonts w:ascii="Times New Roman" w:cs="Times New Roman" w:eastAsia="Times New Roman" w:hAnsi="Times New Roman"/>
          <w:b/>
          <w:bCs/>
        </w:rPr>
        <w:t xml:space="preserve">Scope by accretion.</w:t>
      </w:r>
      <w:r>
        <w:rPr>
          <w:rFonts w:ascii="Times New Roman" w:cs="Times New Roman" w:eastAsia="Times New Roman" w:hAnsi="Times New Roman"/>
        </w:rPr>
        <w:t xml:space="preserve"> Each new Cloud Connector group has been added to the bypass and blanket-allow rules as it came online. Between December and May, SSL rule 1 gained AWS, Azure Sandbox, and GCP RX groups, and a second any/any firewall rule was added for Azure. Between May and September, SSL rule 1 gained GCP Cloud Connector SecureHub 2.0 Prod.</w:t>
      </w:r>
    </w:p>
    <w:p>
      <w:pPr>
        <w:pStyle w:val="ListParagraph"/>
        <w:numPr>
          <w:ilvl w:val="0"/>
          <w:numId w:val="2"/>
        </w:numPr>
        <w:spacing w:after="60" w:line="276" w:lineRule="exact"/>
        <w:jc w:val="both"/>
      </w:pPr>
      <w:r>
        <w:rPr>
          <w:rFonts w:ascii="Times New Roman" w:cs="Times New Roman" w:eastAsia="Times New Roman" w:hAnsi="Times New Roman"/>
          <w:b/>
          <w:bCs/>
        </w:rPr>
        <w:t xml:space="preserve">Inconsistency is accidental, not designed.</w:t>
      </w:r>
      <w:r>
        <w:rPr>
          <w:rFonts w:ascii="Times New Roman" w:cs="Times New Roman" w:eastAsia="Times New Roman" w:hAnsi="Times New Roman"/>
        </w:rPr>
        <w:t xml:space="preserve"> W3 (AWS) is under default-deny because nobody added it to a blanket rule, not because an AWS policy was written. The strongest workload posture in the tenant exists by omission.</w:t>
      </w:r>
    </w:p>
    <w:p>
      <w:pPr>
        <w:pStyle w:val="Heading1"/>
      </w:pPr>
      <w:r>
        <w:rPr>
          <w:rFonts w:ascii="Times New Roman" w:cs="Times New Roman" w:eastAsia="Times New Roman" w:hAnsi="Times New Roman"/>
          <w:b/>
          <w:bCs/>
          <w:sz w:val="26"/>
          <w:szCs w:val="26"/>
        </w:rPr>
        <w:t xml:space="preserve">10. NOMINAL CONTROLS — CONFIGURED BUT DELIVERING NO VALUE</w:t>
      </w:r>
    </w:p>
    <w:p>
      <w:pPr>
        <w:keepNext/>
        <w:spacing w:after="80" w:before="120"/>
        <w:jc w:val="center"/>
      </w:pPr>
      <w:r>
        <w:rPr>
          <w:rFonts w:ascii="Times New Roman" w:cs="Times New Roman" w:eastAsia="Times New Roman" w:hAnsi="Times New Roman"/>
          <w:i/>
          <w:iCs/>
          <w:sz w:val="20"/>
          <w:szCs w:val="20"/>
        </w:rPr>
        <w:t xml:space="preserve">Table 10. Rules that exist but have no effect for the population they were meant to cover</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1686"/>
        <w:gridCol w:w="2282"/>
        <w:gridCol w:w="3373"/>
        <w:gridCol w:w="1587"/>
      </w:tblGrid>
      <w:tr>
        <w:trPr>
          <w:cantSplit/>
          <w:tblHeader/>
        </w:trPr>
        <w:tc>
          <w:tcPr>
            <w:tcW w:type="dxa" w:w="1686"/>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Rule(s)</w:t>
            </w:r>
          </w:p>
        </w:tc>
        <w:tc>
          <w:tcPr>
            <w:tcW w:type="dxa" w:w="2282"/>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Intended effect</w:t>
            </w:r>
          </w:p>
        </w:tc>
        <w:tc>
          <w:tcPr>
            <w:tcW w:type="dxa" w:w="3373"/>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Why it delivers nothing</w:t>
            </w:r>
          </w:p>
        </w:tc>
        <w:tc>
          <w:tcPr>
            <w:tcW w:type="dxa" w:w="1587"/>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Population</w:t>
            </w:r>
          </w:p>
        </w:tc>
      </w:tr>
      <w:tr>
        <w:trPr>
          <w:cantSplit/>
          <w:tblHeader w:val="false"/>
        </w:trPr>
        <w:tc>
          <w:tcPr>
            <w:tcW w:type="dxa" w:w="168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FW 13, 14, 17–22</w:t>
            </w:r>
          </w:p>
        </w:tc>
        <w:tc>
          <w:tcPr>
            <w:tcW w:type="dxa" w:w="22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Destination-, service-, and subnet-scoped GCP egress</w:t>
            </w:r>
          </w:p>
        </w:tc>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Rule 25 allows any/any to the same locations</w:t>
            </w:r>
          </w:p>
        </w:tc>
        <w:tc>
          <w:tcPr>
            <w:tcW w:type="dxa" w:w="158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W1, W2</w:t>
            </w:r>
          </w:p>
        </w:tc>
      </w:tr>
      <w:tr>
        <w:trPr>
          <w:cantSplit/>
          <w:tblHeader w:val="false"/>
        </w:trPr>
        <w:tc>
          <w:tcPr>
            <w:tcW w:type="dxa" w:w="168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FW 108/109</w:t>
            </w:r>
          </w:p>
        </w:tc>
        <w:tc>
          <w:tcPr>
            <w:tcW w:type="dxa" w:w="22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Country block (32 countries)</w:t>
            </w:r>
          </w:p>
        </w:tc>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Below rule 43 and the blanket rules</w:t>
            </w:r>
          </w:p>
        </w:tc>
        <w:tc>
          <w:tcPr>
            <w:tcW w:type="dxa" w:w="158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All for DNS/NTP; W1/W2 entirely</w:t>
            </w:r>
          </w:p>
        </w:tc>
      </w:tr>
      <w:tr>
        <w:trPr>
          <w:cantSplit/>
          <w:tblHeader w:val="false"/>
        </w:trPr>
        <w:tc>
          <w:tcPr>
            <w:tcW w:type="dxa" w:w="168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DLP 6</w:t>
            </w:r>
          </w:p>
        </w:tc>
        <w:tc>
          <w:tcPr>
            <w:tcW w:type="dxa" w:w="22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Block secrets to GitHub/GitLab/Box</w:t>
            </w:r>
          </w:p>
        </w:tc>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SSL 34 does not decrypt GitHub for developers. (Moved above the monitor rules in September, so shadowing by DLP 16 no longer applies.)</w:t>
            </w:r>
          </w:p>
        </w:tc>
        <w:tc>
          <w:tcPr>
            <w:tcW w:type="dxa" w:w="158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U2</w:t>
            </w:r>
          </w:p>
        </w:tc>
      </w:tr>
      <w:tr>
        <w:trPr>
          <w:cantSplit/>
          <w:tblHeader w:val="false"/>
        </w:trPr>
        <w:tc>
          <w:tcPr>
            <w:tcW w:type="dxa" w:w="168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DLP 22</w:t>
            </w:r>
          </w:p>
        </w:tc>
        <w:tc>
          <w:tcPr>
            <w:tcW w:type="dxa" w:w="22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Block SSN/HICN/bank to personal M365</w:t>
            </w:r>
          </w:p>
        </w:tc>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O365 One Click bypass outside Road Warrior; possibly shadowed by DLP 15/17 (VERIFY)</w:t>
            </w:r>
          </w:p>
        </w:tc>
        <w:tc>
          <w:tcPr>
            <w:tcW w:type="dxa" w:w="158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U3, non-RW</w:t>
            </w:r>
          </w:p>
        </w:tc>
      </w:tr>
      <w:tr>
        <w:trPr>
          <w:cantSplit/>
          <w:tblHeader w:val="false"/>
        </w:trPr>
        <w:tc>
          <w:tcPr>
            <w:tcW w:type="dxa" w:w="168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All web DLP, file type, sandbox</w:t>
            </w:r>
          </w:p>
        </w:tc>
        <w:tc>
          <w:tcPr>
            <w:tcW w:type="dxa" w:w="22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Content protection</w:t>
            </w:r>
          </w:p>
        </w:tc>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No decryption</w:t>
            </w:r>
          </w:p>
        </w:tc>
        <w:tc>
          <w:tcPr>
            <w:tcW w:type="dxa" w:w="158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U3, W1, W2, W3</w:t>
            </w:r>
          </w:p>
        </w:tc>
      </w:tr>
      <w:tr>
        <w:trPr>
          <w:cantSplit/>
          <w:tblHeader w:val="false"/>
        </w:trPr>
        <w:tc>
          <w:tcPr>
            <w:tcW w:type="dxa" w:w="168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Cloud app activity rules</w:t>
            </w:r>
          </w:p>
        </w:tc>
        <w:tc>
          <w:tcPr>
            <w:tcW w:type="dxa" w:w="22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View-only / no-upload</w:t>
            </w:r>
          </w:p>
        </w:tc>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No decryption</w:t>
            </w:r>
          </w:p>
        </w:tc>
        <w:tc>
          <w:tcPr>
            <w:tcW w:type="dxa" w:w="158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U3, W2, W3</w:t>
            </w:r>
          </w:p>
        </w:tc>
      </w:tr>
      <w:tr>
        <w:trPr>
          <w:cantSplit/>
          <w:tblHeader w:val="false"/>
        </w:trPr>
        <w:tc>
          <w:tcPr>
            <w:tcW w:type="dxa" w:w="168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Isolation rules</w:t>
            </w:r>
          </w:p>
        </w:tc>
        <w:tc>
          <w:tcPr>
            <w:tcW w:type="dxa" w:w="22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Isolate risky categories</w:t>
            </w:r>
          </w:p>
        </w:tc>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No decryption / user agent</w:t>
            </w:r>
          </w:p>
        </w:tc>
        <w:tc>
          <w:tcPr>
            <w:tcW w:type="dxa" w:w="158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U3, W*</w:t>
            </w:r>
          </w:p>
        </w:tc>
      </w:tr>
      <w:tr>
        <w:trPr>
          <w:cantSplit/>
          <w:tblHeader w:val="false"/>
        </w:trPr>
        <w:tc>
          <w:tcPr>
            <w:tcW w:type="dxa" w:w="168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SaaS API rules for EMU, HCE Prod, PEProd, GS Prod</w:t>
            </w:r>
          </w:p>
        </w:tc>
        <w:tc>
          <w:tcPr>
            <w:tcW w:type="dxa" w:w="22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Scan at rest</w:t>
            </w:r>
          </w:p>
        </w:tc>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Scans stopped since 2024</w:t>
            </w:r>
          </w:p>
        </w:tc>
        <w:tc>
          <w:tcPr>
            <w:tcW w:type="dxa" w:w="158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U2, W3</w:t>
            </w:r>
          </w:p>
        </w:tc>
      </w:tr>
      <w:tr>
        <w:trPr>
          <w:cantSplit/>
          <w:tblHeader w:val="false"/>
        </w:trPr>
        <w:tc>
          <w:tcPr>
            <w:tcW w:type="dxa" w:w="168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Cloud app System &amp; Dev 9 (Sep)</w:t>
            </w:r>
          </w:p>
        </w:tc>
        <w:tc>
          <w:tcPr>
            <w:tcW w:type="dxa" w:w="22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GitHub Signed CDN instance; upload blocked</w:t>
            </w:r>
          </w:p>
        </w:tc>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SSL 34 does not decrypt GitHub for CLDGRP_Allow_Dev (INFERRED)</w:t>
            </w:r>
          </w:p>
        </w:tc>
        <w:tc>
          <w:tcPr>
            <w:tcW w:type="dxa" w:w="158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U2</w:t>
            </w:r>
          </w:p>
        </w:tc>
      </w:tr>
      <w:tr>
        <w:trPr>
          <w:cantSplit/>
          <w:tblHeader w:val="false"/>
        </w:trPr>
        <w:tc>
          <w:tcPr>
            <w:tcW w:type="dxa" w:w="168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URL 39 Claude header (Sep)</w:t>
            </w:r>
          </w:p>
        </w:tc>
        <w:tc>
          <w:tcPr>
            <w:tcW w:type="dxa" w:w="22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Restrict Claude to CVS tenants</w:t>
            </w:r>
          </w:p>
        </w:tc>
        <w:tc>
          <w:tcPr>
            <w:tcW w:type="dxa" w:w="33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Header needs decryption</w:t>
            </w:r>
          </w:p>
        </w:tc>
        <w:tc>
          <w:tcPr>
            <w:tcW w:type="dxa" w:w="158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U3, W1–W3</w:t>
            </w:r>
          </w:p>
        </w:tc>
      </w:tr>
      <w:tr>
        <w:trPr>
          <w:cantSplit/>
          <w:tblHeader w:val="false"/>
        </w:trPr>
        <w:tc>
          <w:tcPr>
            <w:tcW w:type="dxa" w:w="1686"/>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SSL 29 AWS_Bedrock_Inspect (Sep)</w:t>
            </w:r>
          </w:p>
        </w:tc>
        <w:tc>
          <w:tcPr>
            <w:tcW w:type="dxa" w:w="2282"/>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Inspect Bedrock traffic</w:t>
            </w:r>
          </w:p>
        </w:tc>
        <w:tc>
          <w:tcPr>
            <w:tcW w:type="dxa" w:w="3373"/>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SSL 7 matches AWS Cloud Connector locations first</w:t>
            </w:r>
          </w:p>
        </w:tc>
        <w:tc>
          <w:tcPr>
            <w:tcW w:type="dxa" w:w="1587"/>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W3</w:t>
            </w:r>
          </w:p>
        </w:tc>
      </w:tr>
    </w:tbl>
    <w:p>
      <w:pPr>
        <w:spacing w:after="80"/>
      </w:pPr>
    </w:p>
    <w:p>
      <w:pPr>
        <w:pStyle w:val="Heading1"/>
        <w:pageBreakBefore/>
      </w:pPr>
      <w:r>
        <w:rPr>
          <w:rFonts w:ascii="Times New Roman" w:cs="Times New Roman" w:eastAsia="Times New Roman" w:hAnsi="Times New Roman"/>
          <w:b/>
          <w:bCs/>
          <w:sz w:val="26"/>
          <w:szCs w:val="26"/>
        </w:rPr>
        <w:t xml:space="preserve">11. RECOMMENDATIONS: A WORKLOAD ENFORCEMENT MODEL</w:t>
      </w:r>
    </w:p>
    <w:p>
      <w:pPr>
        <w:keepNext/>
        <w:spacing w:after="60" w:before="60"/>
      </w:pPr>
      <w:r>
        <w:rPr>
          <w:rFonts w:ascii="Times New Roman" w:cs="Times New Roman" w:eastAsia="Times New Roman" w:hAnsi="Times New Roman"/>
          <w:b/>
          <w:bCs/>
        </w:rPr>
        <w:t xml:space="preserve">Principle: treat server-originated traffic as its own principal, with its own rules, telemetry, and owner.</w:t>
      </w:r>
    </w:p>
    <w:p>
      <w:pPr>
        <w:keepNext/>
        <w:spacing w:after="80" w:before="120"/>
        <w:jc w:val="center"/>
      </w:pPr>
      <w:r>
        <w:rPr>
          <w:rFonts w:ascii="Times New Roman" w:cs="Times New Roman" w:eastAsia="Times New Roman" w:hAnsi="Times New Roman"/>
          <w:i/>
          <w:iCs/>
          <w:sz w:val="20"/>
          <w:szCs w:val="20"/>
        </w:rPr>
        <w:t xml:space="preserve">Table 11. Target workload model</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1389"/>
        <w:gridCol w:w="4266"/>
        <w:gridCol w:w="3273"/>
      </w:tblGrid>
      <w:tr>
        <w:trPr>
          <w:cantSplit/>
          <w:tblHeader/>
        </w:trPr>
        <w:tc>
          <w:tcPr>
            <w:tcW w:type="dxa" w:w="1389"/>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Layer</w:t>
            </w:r>
          </w:p>
        </w:tc>
        <w:tc>
          <w:tcPr>
            <w:tcW w:type="dxa" w:w="4266"/>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Target</w:t>
            </w:r>
          </w:p>
        </w:tc>
        <w:tc>
          <w:tcPr>
            <w:tcW w:type="dxa" w:w="3273"/>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Uses what already exists</w:t>
            </w:r>
          </w:p>
        </w:tc>
      </w:tr>
      <w:tr>
        <w:trPr>
          <w:cantSplit/>
          <w:tblHeader w:val="false"/>
        </w:trPr>
        <w:tc>
          <w:tcPr>
            <w:tcW w:type="dxa" w:w="13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Identity</w:t>
            </w:r>
          </w:p>
        </w:tc>
        <w:tc>
          <w:tcPr>
            <w:tcW w:type="dxa" w:w="426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Define workload classes by location group and source IP group (per VPC/VNet or application tier), maintained from the CCD IPAM/topology datasets</w:t>
            </w:r>
          </w:p>
        </w:tc>
        <w:tc>
          <w:tcPr>
            <w:tcW w:type="dxa" w:w="32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Source IP groups (URL 28/29 already reference two); location groups</w:t>
            </w:r>
          </w:p>
        </w:tc>
      </w:tr>
      <w:tr>
        <w:trPr>
          <w:cantSplit/>
          <w:tblHeader w:val="false"/>
        </w:trPr>
        <w:tc>
          <w:tcPr>
            <w:tcW w:type="dxa" w:w="13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Firewall</w:t>
            </w:r>
          </w:p>
        </w:tc>
        <w:tc>
          <w:tcPr>
            <w:tcW w:type="dxa" w:w="426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Replace FW 24/25 with per-class destination- and service-bound allows; default deny below; geo-block and malicious-IP category above</w:t>
            </w:r>
          </w:p>
        </w:tc>
        <w:tc>
          <w:tcPr>
            <w:tcW w:type="dxa" w:w="32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FW 13, 14, 17–22 as the template; W3 as the proof that default deny works</w:t>
            </w:r>
          </w:p>
        </w:tc>
      </w:tr>
      <w:tr>
        <w:trPr>
          <w:cantSplit/>
          <w:tblHeader w:val="false"/>
        </w:trPr>
        <w:tc>
          <w:tcPr>
            <w:tcW w:type="dxa" w:w="13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Decryption</w:t>
            </w:r>
          </w:p>
        </w:tc>
        <w:tc>
          <w:tcPr>
            <w:tcW w:type="dxa" w:w="426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Extend the DigiCert-chained intermediate from the GCP_POV pilot (SSL 15) to production workload classes; keep bypass only for pinned and mutual-TLS destinations</w:t>
            </w:r>
          </w:p>
        </w:tc>
        <w:tc>
          <w:tcPr>
            <w:tcW w:type="dxa" w:w="32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Consolas" w:cs="Consolas" w:eastAsia="Consolas" w:hAnsi="Consolas"/>
                <w:sz w:val="16"/>
                <w:szCs w:val="16"/>
              </w:rPr>
              <w:t xml:space="preserve">ZscalerGCPDigicert</w:t>
            </w:r>
            <w:r>
              <w:rPr>
                <w:rFonts w:ascii="Times New Roman" w:cs="Times New Roman" w:eastAsia="Times New Roman" w:hAnsi="Times New Roman"/>
                <w:sz w:val="19"/>
                <w:szCs w:val="19"/>
              </w:rPr>
              <w:t xml:space="preserve"> intermediate; SSL 15</w:t>
            </w:r>
          </w:p>
        </w:tc>
      </w:tr>
      <w:tr>
        <w:trPr>
          <w:cantSplit/>
          <w:tblHeader w:val="false"/>
        </w:trPr>
        <w:tc>
          <w:tcPr>
            <w:tcW w:type="dxa" w:w="13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Web control</w:t>
            </w:r>
          </w:p>
        </w:tc>
        <w:tc>
          <w:tcPr>
            <w:tcW w:type="dxa" w:w="426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Remove URL 35 and the whole-class GCP cloud app allows; allow-list the destinations workloads need (package registries, cloud APIs, partners)</w:t>
            </w:r>
          </w:p>
        </w:tc>
        <w:tc>
          <w:tcPr>
            <w:tcW w:type="dxa" w:w="32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Koi proxy-chaining rule (forwarding 29) already curates package/marketplace destinations</w:t>
            </w:r>
          </w:p>
        </w:tc>
      </w:tr>
      <w:tr>
        <w:trPr>
          <w:cantSplit/>
          <w:tblHeader w:val="false"/>
        </w:trPr>
        <w:tc>
          <w:tcPr>
            <w:tcW w:type="dxa" w:w="13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DLP</w:t>
            </w:r>
          </w:p>
        </w:tc>
        <w:tc>
          <w:tcPr>
            <w:tcW w:type="dxa" w:w="426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Once decrypted, apply the PHI/PCI/secrets blocks to workloads (they have no user exceptions); add Google Cloud Storage and Azure Blob to SaaS API; restart the stopped scans with scoped cost</w:t>
            </w:r>
          </w:p>
        </w:tc>
        <w:tc>
          <w:tcPr>
            <w:tcW w:type="dxa" w:w="32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Existing engines and rules</w:t>
            </w:r>
          </w:p>
        </w:tc>
      </w:tr>
      <w:tr>
        <w:trPr>
          <w:cantSplit/>
          <w:tblHeader w:val="false"/>
        </w:trPr>
        <w:tc>
          <w:tcPr>
            <w:tcW w:type="dxa" w:w="138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Detection</w:t>
            </w:r>
          </w:p>
        </w:tc>
        <w:tc>
          <w:tcPr>
            <w:tcW w:type="dxa" w:w="426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Stream firewall, web, DNS, and DLP logs for workload locations to the SIEM with location and source-IP enrichment; alert on default-deny events and new destinations</w:t>
            </w:r>
          </w:p>
        </w:tc>
        <w:tc>
          <w:tcPr>
            <w:tcW w:type="dxa" w:w="327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Default-deny events already generated for W3</w:t>
            </w:r>
          </w:p>
        </w:tc>
      </w:tr>
      <w:tr>
        <w:trPr>
          <w:cantSplit/>
          <w:tblHeader w:val="false"/>
        </w:trPr>
        <w:tc>
          <w:tcPr>
            <w:tcW w:type="dxa" w:w="1389"/>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Ownership</w:t>
            </w:r>
          </w:p>
        </w:tc>
        <w:tc>
          <w:tcPr>
            <w:tcW w:type="dxa" w:w="4266"/>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Named owner for workload egress policy; decision recorded on ZIA vs. secure-hub NGFW as the enforcement point</w:t>
            </w:r>
          </w:p>
        </w:tc>
        <w:tc>
          <w:tcPr>
            <w:tcW w:type="dxa" w:w="3273"/>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w:t>
            </w:r>
          </w:p>
        </w:tc>
      </w:tr>
    </w:tbl>
    <w:p>
      <w:pPr>
        <w:spacing w:after="80"/>
      </w:pPr>
    </w:p>
    <w:p>
      <w:pPr>
        <w:keepNext/>
        <w:spacing w:after="60" w:before="60"/>
      </w:pPr>
      <w:r>
        <w:rPr>
          <w:rFonts w:ascii="Times New Roman" w:cs="Times New Roman" w:eastAsia="Times New Roman" w:hAnsi="Times New Roman"/>
          <w:b/>
          <w:bCs/>
        </w:rPr>
        <w:t xml:space="preserve">For users, the three changes with the highest enforcement value per effort are:</w:t>
      </w:r>
    </w:p>
    <w:p>
      <w:pPr>
        <w:pStyle w:val="ListParagraph"/>
        <w:numPr>
          <w:ilvl w:val="0"/>
          <w:numId w:val="2"/>
        </w:numPr>
        <w:spacing w:after="60" w:line="276" w:lineRule="exact"/>
        <w:jc w:val="both"/>
      </w:pPr>
      <w:r>
        <w:rPr>
          <w:rFonts w:ascii="Times New Roman" w:cs="Times New Roman" w:eastAsia="Times New Roman" w:hAnsi="Times New Roman"/>
        </w:rPr>
        <w:t xml:space="preserve">move PHI identifiers (DLP 15, 18) from detect to block for non-sanctioned destinations, after the rule-resolution test;</w:t>
      </w:r>
    </w:p>
    <w:p>
      <w:pPr>
        <w:pStyle w:val="ListParagraph"/>
        <w:numPr>
          <w:ilvl w:val="0"/>
          <w:numId w:val="2"/>
        </w:numPr>
        <w:spacing w:after="60" w:line="276" w:lineRule="exact"/>
        <w:jc w:val="both"/>
      </w:pPr>
      <w:r>
        <w:rPr>
          <w:rFonts w:ascii="Times New Roman" w:cs="Times New Roman" w:eastAsia="Times New Roman" w:hAnsi="Times New Roman"/>
        </w:rPr>
        <w:t xml:space="preserve">stop allowing password-protected and unscannable downloads unscanned;</w:t>
      </w:r>
    </w:p>
    <w:p>
      <w:pPr>
        <w:pStyle w:val="ListParagraph"/>
        <w:numPr>
          <w:ilvl w:val="0"/>
          <w:numId w:val="2"/>
        </w:numPr>
        <w:spacing w:after="60" w:line="276" w:lineRule="exact"/>
        <w:jc w:val="both"/>
      </w:pPr>
      <w:r>
        <w:rPr>
          <w:rFonts w:ascii="Times New Roman" w:cs="Times New Roman" w:eastAsia="Times New Roman" w:hAnsi="Times New Roman"/>
        </w:rPr>
        <w:t xml:space="preserve">narrow SSL rule 34 so that write paths to GitHub and other code hosts are decrypted;</w:t>
      </w:r>
    </w:p>
    <w:p>
      <w:pPr>
        <w:pStyle w:val="ListParagraph"/>
        <w:numPr>
          <w:ilvl w:val="0"/>
          <w:numId w:val="2"/>
        </w:numPr>
        <w:spacing w:after="60" w:line="276" w:lineRule="exact"/>
        <w:jc w:val="both"/>
      </w:pPr>
      <w:r>
        <w:rPr>
          <w:rFonts w:ascii="Times New Roman" w:cs="Times New Roman" w:eastAsia="Times New Roman" w:hAnsi="Times New Roman"/>
        </w:rPr>
        <w:t xml:space="preserve">remove or scope the per-user decryption bypass SSL 3, and record whether the Claude DLP exceptions (11.5, 14.4) are intended.</w:t>
      </w:r>
    </w:p>
    <w:p>
      <w:pPr>
        <w:pStyle w:val="Heading1"/>
      </w:pPr>
      <w:r>
        <w:rPr>
          <w:rFonts w:ascii="Times New Roman" w:cs="Times New Roman" w:eastAsia="Times New Roman" w:hAnsi="Times New Roman"/>
          <w:b/>
          <w:bCs/>
          <w:sz w:val="26"/>
          <w:szCs w:val="26"/>
        </w:rPr>
        <w:t xml:space="preserve">12. VERIFICATION ITEMS</w:t>
      </w:r>
    </w:p>
    <w:p>
      <w:pPr>
        <w:pStyle w:val="ListParagraph"/>
        <w:numPr>
          <w:ilvl w:val="0"/>
          <w:numId w:val="2"/>
        </w:numPr>
        <w:spacing w:after="60" w:line="276" w:lineRule="exact"/>
        <w:jc w:val="both"/>
      </w:pPr>
      <w:r>
        <w:rPr>
          <w:rFonts w:ascii="Times New Roman" w:cs="Times New Roman" w:eastAsia="Times New Roman" w:hAnsi="Times New Roman"/>
        </w:rPr>
        <w:t xml:space="preserve">Membership and size of each population’s location groups and developer groups.</w:t>
      </w:r>
    </w:p>
    <w:p>
      <w:pPr>
        <w:pStyle w:val="ListParagraph"/>
        <w:numPr>
          <w:ilvl w:val="0"/>
          <w:numId w:val="2"/>
        </w:numPr>
        <w:spacing w:after="60" w:line="276" w:lineRule="exact"/>
        <w:jc w:val="both"/>
      </w:pPr>
      <w:r>
        <w:rPr>
          <w:rFonts w:ascii="Times New Roman" w:cs="Times New Roman" w:eastAsia="Times New Roman" w:hAnsi="Times New Roman"/>
        </w:rPr>
        <w:t xml:space="preserve">Trust chain of </w:t>
      </w:r>
      <w:r>
        <w:rPr>
          <w:rFonts w:ascii="Consolas" w:cs="Consolas" w:eastAsia="Consolas" w:hAnsi="Consolas"/>
          <w:sz w:val="19"/>
          <w:szCs w:val="19"/>
        </w:rPr>
        <w:t xml:space="preserve">ZscalerGCPDigicert</w:t>
      </w:r>
      <w:r>
        <w:rPr>
          <w:rFonts w:ascii="Times New Roman" w:cs="Times New Roman" w:eastAsia="Times New Roman" w:hAnsi="Times New Roman"/>
        </w:rPr>
        <w:t xml:space="preserve"> and the outcome of the GCP_POV pilot (SSL 15).</w:t>
      </w:r>
    </w:p>
    <w:p>
      <w:pPr>
        <w:pStyle w:val="ListParagraph"/>
        <w:numPr>
          <w:ilvl w:val="0"/>
          <w:numId w:val="2"/>
        </w:numPr>
        <w:spacing w:after="60" w:line="276" w:lineRule="exact"/>
        <w:jc w:val="both"/>
      </w:pPr>
      <w:r>
        <w:rPr>
          <w:rFonts w:ascii="Times New Roman" w:cs="Times New Roman" w:eastAsia="Times New Roman" w:hAnsi="Times New Roman"/>
        </w:rPr>
        <w:t xml:space="preserve">NSS/Cloud NSS log feeds, SIEM destinations, and retention for web, firewall, DNS, and DLP logs.</w:t>
      </w:r>
    </w:p>
    <w:p>
      <w:pPr>
        <w:pStyle w:val="ListParagraph"/>
        <w:numPr>
          <w:ilvl w:val="0"/>
          <w:numId w:val="2"/>
        </w:numPr>
        <w:spacing w:after="60" w:line="276" w:lineRule="exact"/>
        <w:jc w:val="both"/>
      </w:pPr>
      <w:r>
        <w:rPr>
          <w:rFonts w:ascii="Times New Roman" w:cs="Times New Roman" w:eastAsia="Times New Roman" w:hAnsi="Times New Roman"/>
        </w:rPr>
        <w:t xml:space="preserve">ZIA behavior for activity-level cloud app rules and isolation rules on traffic that is not decrypted.</w:t>
      </w:r>
    </w:p>
    <w:p>
      <w:pPr>
        <w:pStyle w:val="ListParagraph"/>
        <w:numPr>
          <w:ilvl w:val="0"/>
          <w:numId w:val="2"/>
        </w:numPr>
        <w:spacing w:after="60" w:line="276" w:lineRule="exact"/>
        <w:jc w:val="both"/>
      </w:pPr>
      <w:r>
        <w:rPr>
          <w:rFonts w:ascii="Times New Roman" w:cs="Times New Roman" w:eastAsia="Times New Roman" w:hAnsi="Times New Roman"/>
        </w:rPr>
        <w:t xml:space="preserve">Web DLP multi-rule resolution (first match vs. most restrictive), which affects DLP 22, the Claude exceptions 11.5 and 14.4, and the enabled sub-rules under disabled TST parents.</w:t>
      </w:r>
    </w:p>
    <w:p>
      <w:pPr>
        <w:pStyle w:val="ListParagraph"/>
        <w:numPr>
          <w:ilvl w:val="0"/>
          <w:numId w:val="2"/>
        </w:numPr>
        <w:spacing w:after="60" w:line="276" w:lineRule="exact"/>
        <w:jc w:val="both"/>
      </w:pPr>
      <w:r>
        <w:rPr>
          <w:rFonts w:ascii="Times New Roman" w:cs="Times New Roman" w:eastAsia="Times New Roman" w:hAnsi="Times New Roman"/>
        </w:rPr>
        <w:t xml:space="preserve">The </w:t>
      </w:r>
      <w:r>
        <w:rPr>
          <w:rFonts w:ascii="Consolas" w:cs="Consolas" w:eastAsia="Consolas" w:hAnsi="Consolas"/>
          <w:sz w:val="19"/>
          <w:szCs w:val="19"/>
        </w:rPr>
        <w:t xml:space="preserve">LOC_DEFAULT</w:t>
      </w:r>
      <w:r>
        <w:rPr>
          <w:rFonts w:ascii="Times New Roman" w:cs="Times New Roman" w:eastAsia="Times New Roman" w:hAnsi="Times New Roman"/>
        </w:rPr>
        <w:t xml:space="preserve"> = Road Warrior mapping in the September export.</w:t>
      </w:r>
    </w:p>
    <w:p>
      <w:pPr>
        <w:pStyle w:val="ListParagraph"/>
        <w:numPr>
          <w:ilvl w:val="0"/>
          <w:numId w:val="2"/>
        </w:numPr>
        <w:spacing w:after="60" w:line="276" w:lineRule="exact"/>
        <w:jc w:val="both"/>
      </w:pPr>
      <w:r>
        <w:rPr>
          <w:rFonts w:ascii="Times New Roman" w:cs="Times New Roman" w:eastAsia="Times New Roman" w:hAnsi="Times New Roman"/>
        </w:rPr>
        <w:t xml:space="preserve">Live configuration of the cloud DMZ egress firewalls (FTDv/PA), to credit or rule out downstream workload enforcement.</w:t>
      </w:r>
    </w:p>
    <w:sectPr>
      <w:headerReference w:type="default" r:id="rId7"/>
      <w:pgSz w:w="12240" w:h="15840" w:orient="portrait"/>
      <w:pgMar w:top="1440" w:right="1656" w:bottom="1440" w:left="165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928"/>
      </w:tabs>
    </w:pPr>
    <w:r>
      <w:rPr>
        <w:rFonts w:ascii="Times New Roman" w:cs="Times New Roman" w:eastAsia="Times New Roman" w:hAnsi="Times New Roman"/>
        <w:i/>
        <w:iCs/>
        <w:color w:val="888888"/>
        <w:sz w:val="16"/>
        <w:szCs w:val="16"/>
      </w:rPr>
      <w:t xml:space="preserve">User vs Workload Enforcement Model — CVS Health ZIA</w:t>
    </w:r>
    <w:r>
      <w:rPr>
        <w:rFonts w:ascii="Times New Roman" w:cs="Times New Roman" w:eastAsia="Times New Roman" w:hAnsi="Times New Roman"/>
        <w:i/>
        <w:iCs/>
        <w:color w:val="888888"/>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after="120" w:line="276" w:lineRule="exact"/>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jc w:val="left"/>
      <w:outlineLvl w:val="0"/>
    </w:pPr>
    <w:rPr>
      <w:rFonts w:ascii="Times New Roman" w:cs="Times New Roman" w:eastAsia="Times New Roman" w:hAnsi="Times New Roman"/>
      <w:b/>
      <w:bCs/>
      <w:caps/>
      <w:sz w:val="26"/>
      <w:szCs w:val="26"/>
    </w:rPr>
  </w:style>
  <w:style w:type="paragraph" w:styleId="Heading2">
    <w:name w:val="Heading 2"/>
    <w:basedOn w:val="Normal"/>
    <w:next w:val="Normal"/>
    <w:qFormat/>
    <w:pPr>
      <w:keepNext/>
      <w:spacing w:after="120" w:before="280"/>
      <w:jc w:val="left"/>
      <w:outlineLvl w:val="1"/>
    </w:pPr>
    <w:rPr>
      <w:rFonts w:ascii="Times New Roman" w:cs="Times New Roman" w:eastAsia="Times New Roman"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vs Workload Enforcement Model v1.1</dc:title>
  <dc:creator>M.J. Martin</dc:creator>
  <cp:lastModifiedBy>Un-named</cp:lastModifiedBy>
  <cp:revision>1</cp:revision>
  <dcterms:created xsi:type="dcterms:W3CDTF">2026-09-29T16:12:57.887Z</dcterms:created>
  <dcterms:modified xsi:type="dcterms:W3CDTF">2026-09-29T16:12:57.887Z</dcterms:modified>
</cp:coreProperties>
</file>

<file path=docProps/custom.xml><?xml version="1.0" encoding="utf-8"?>
<Properties xmlns="http://schemas.openxmlformats.org/officeDocument/2006/custom-properties" xmlns:vt="http://schemas.openxmlformats.org/officeDocument/2006/docPropsVTypes"/>
</file>