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C1D18"/>
          <w:sz w:val="20"/>
          <w:szCs w:val="20"/>
        </w:rPr>
        <w:t xml:space="preserve">CVS HEALTH — NETWORK SECURITY ENGINEERING</w:t>
      </w:r>
    </w:p>
    <w:p>
      <w:pPr>
        <w:spacing w:after="100" w:before="100"/>
      </w:pPr>
      <w:r>
        <w:rPr>
          <w:b/>
          <w:bCs/>
          <w:sz w:val="30"/>
          <w:szCs w:val="30"/>
        </w:rPr>
        <w:t xml:space="preserve">Capability &amp; Coverage by Location — Proxy + NGFW</w:t>
      </w:r>
    </w:p>
    <w:p>
      <w:pPr>
        <w:pBdr>
          <w:bottom w:val="single" w:color="8C1D18" w:sz="12" w:space="8"/>
        </w:pBdr>
        <w:spacing w:after="400"/>
      </w:pPr>
      <w:r>
        <w:rPr>
          <w:i/>
          <w:iCs/>
          <w:color w:val="5B6169"/>
          <w:sz w:val="19"/>
          <w:szCs w:val="19"/>
        </w:rPr>
        <w:t xml:space="preserve">Sources: PAN-OS Panorama configs (08/31/2026), SK-to-PA Security Model &amp; Parity Plan v9 (Aug 2026), Skyhigh SSL Decryption Findings Per Proxy (Jul 2026), Skyhigh Header Policy Review (Jul 2026), Zscaler Client Policy Evaluation v0.2 (2026-05-27 export). This document incorporates and corrects prior findings — see Corrections section.</w:t>
      </w:r>
    </w:p>
    <w:p>
      <w:pPr>
        <w:pStyle w:val="Heading1"/>
        <w:spacing w:after="160" w:before="360"/>
      </w:pPr>
      <w:r>
        <w:t xml:space="preserve">Architecture: CVS Enterprise vs. Aetna</w:t>
      </w:r>
    </w:p>
    <w:p>
      <w:pPr>
        <w:spacing w:after="120"/>
      </w:pPr>
      <w:r>
        <w:t xml:space="preserve">Two genuinely different security models, not one design instantiated twice. Each has a piece closer to correct than the other; neither is the target architecture on its own.</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4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Dimension</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CVS Enterprise (AZ/Shea, RI, LV-COLO, Retail)</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Aetna (Middletown &amp; Windsor)</w:t>
            </w:r>
          </w:p>
        </w:tc>
      </w:tr>
      <w:tr>
        <w:tc>
          <w:tcPr>
            <w:tcW w:type="dxa" w:w="2800"/>
            <w:tcMar>
              <w:top w:type="dxa" w:w="80"/>
              <w:left w:type="dxa" w:w="100"/>
              <w:bottom w:type="dxa" w:w="80"/>
              <w:right w:type="dxa" w:w="100"/>
            </w:tcMar>
          </w:tcPr>
          <w:p>
            <w:pPr>
              <w:jc w:val="left"/>
            </w:pPr>
            <w:r>
              <w:rPr>
                <w:b w:val="false"/>
                <w:bCs w:val="false"/>
                <w:sz w:val="16"/>
                <w:szCs w:val="16"/>
              </w:rPr>
              <w:t xml:space="preserve">Proxy decrypt posture</w:t>
            </w:r>
          </w:p>
        </w:tc>
        <w:tc>
          <w:tcPr>
            <w:tcW w:type="dxa" w:w="4200"/>
            <w:tcMar>
              <w:top w:type="dxa" w:w="80"/>
              <w:left w:type="dxa" w:w="100"/>
              <w:bottom w:type="dxa" w:w="80"/>
              <w:right w:type="dxa" w:w="100"/>
            </w:tcMar>
          </w:tcPr>
          <w:p>
            <w:pPr>
              <w:jc w:val="left"/>
            </w:pPr>
            <w:r>
              <w:rPr>
                <w:b w:val="false"/>
                <w:bCs w:val="false"/>
                <w:sz w:val="16"/>
                <w:szCs w:val="16"/>
              </w:rPr>
              <w:t xml:space="preserve">Opt-in, deny-by-default (Skyhigh)</w:t>
            </w:r>
          </w:p>
        </w:tc>
        <w:tc>
          <w:tcPr>
            <w:tcW w:type="dxa" w:w="4200"/>
            <w:tcMar>
              <w:top w:type="dxa" w:w="80"/>
              <w:left w:type="dxa" w:w="100"/>
              <w:bottom w:type="dxa" w:w="80"/>
              <w:right w:type="dxa" w:w="100"/>
            </w:tcMar>
          </w:tcPr>
          <w:p>
            <w:pPr>
              <w:jc w:val="left"/>
            </w:pPr>
            <w:r>
              <w:rPr>
                <w:b w:val="false"/>
                <w:bCs w:val="false"/>
                <w:sz w:val="16"/>
                <w:szCs w:val="16"/>
              </w:rPr>
              <w:t xml:space="preserve">Opt-out, decrypt-by-default (Skyhigh)</w:t>
            </w:r>
          </w:p>
        </w:tc>
      </w:tr>
      <w:tr>
        <w:tc>
          <w:tcPr>
            <w:tcW w:type="dxa" w:w="2800"/>
            <w:tcMar>
              <w:top w:type="dxa" w:w="80"/>
              <w:left w:type="dxa" w:w="100"/>
              <w:bottom w:type="dxa" w:w="80"/>
              <w:right w:type="dxa" w:w="100"/>
            </w:tcMar>
          </w:tcPr>
          <w:p>
            <w:pPr>
              <w:jc w:val="left"/>
            </w:pPr>
            <w:r>
              <w:rPr>
                <w:b w:val="false"/>
                <w:bCs w:val="false"/>
                <w:sz w:val="16"/>
                <w:szCs w:val="16"/>
              </w:rPr>
              <w:t xml:space="preserve">Redirection mechanism</w:t>
            </w:r>
          </w:p>
        </w:tc>
        <w:tc>
          <w:tcPr>
            <w:tcW w:type="dxa" w:w="4200"/>
            <w:tcMar>
              <w:top w:type="dxa" w:w="80"/>
              <w:left w:type="dxa" w:w="100"/>
              <w:bottom w:type="dxa" w:w="80"/>
              <w:right w:type="dxa" w:w="100"/>
            </w:tcMar>
          </w:tcPr>
          <w:p>
            <w:pPr>
              <w:jc w:val="left"/>
            </w:pPr>
            <w:r>
              <w:rPr>
                <w:b w:val="false"/>
                <w:bCs w:val="false"/>
                <w:sz w:val="16"/>
                <w:szCs w:val="16"/>
              </w:rPr>
              <w:t xml:space="preserve">Network-layer WCCP, on Cisco ASA/Firepower</w:t>
            </w:r>
          </w:p>
        </w:tc>
        <w:tc>
          <w:tcPr>
            <w:tcW w:type="dxa" w:w="4200"/>
            <w:tcMar>
              <w:top w:type="dxa" w:w="80"/>
              <w:left w:type="dxa" w:w="100"/>
              <w:bottom w:type="dxa" w:w="80"/>
              <w:right w:type="dxa" w:w="100"/>
            </w:tcMar>
          </w:tcPr>
          <w:p>
            <w:pPr>
              <w:jc w:val="left"/>
            </w:pPr>
            <w:r>
              <w:rPr>
                <w:b w:val="false"/>
                <w:bCs w:val="false"/>
                <w:sz w:val="16"/>
                <w:szCs w:val="16"/>
              </w:rPr>
              <w:t xml:space="preserve">Client-side PAC file (GPO/MDM-pushed)</w:t>
            </w:r>
          </w:p>
        </w:tc>
      </w:tr>
      <w:tr>
        <w:tc>
          <w:tcPr>
            <w:tcW w:type="dxa" w:w="2800"/>
            <w:tcMar>
              <w:top w:type="dxa" w:w="80"/>
              <w:left w:type="dxa" w:w="100"/>
              <w:bottom w:type="dxa" w:w="80"/>
              <w:right w:type="dxa" w:w="100"/>
            </w:tcMar>
          </w:tcPr>
          <w:p>
            <w:pPr>
              <w:jc w:val="left"/>
            </w:pPr>
            <w:r>
              <w:rPr>
                <w:b w:val="false"/>
                <w:bCs w:val="false"/>
                <w:sz w:val="16"/>
                <w:szCs w:val="16"/>
              </w:rPr>
              <w:t xml:space="preserve">Panorama pair</w:t>
            </w:r>
          </w:p>
        </w:tc>
        <w:tc>
          <w:tcPr>
            <w:tcW w:type="dxa" w:w="4200"/>
            <w:tcMar>
              <w:top w:type="dxa" w:w="80"/>
              <w:left w:type="dxa" w:w="100"/>
              <w:bottom w:type="dxa" w:w="80"/>
              <w:right w:type="dxa" w:w="100"/>
            </w:tcMar>
          </w:tcPr>
          <w:p>
            <w:pPr>
              <w:jc w:val="left"/>
            </w:pPr>
            <w:r>
              <w:rPr>
                <w:b w:val="false"/>
                <w:bCs w:val="false"/>
                <w:sz w:val="16"/>
                <w:szCs w:val="16"/>
              </w:rPr>
              <w:t xml:space="preserve">PAZSHDC/RRISHDC</w:t>
            </w:r>
          </w:p>
        </w:tc>
        <w:tc>
          <w:tcPr>
            <w:tcW w:type="dxa" w:w="4200"/>
            <w:tcMar>
              <w:top w:type="dxa" w:w="80"/>
              <w:left w:type="dxa" w:w="100"/>
              <w:bottom w:type="dxa" w:w="80"/>
              <w:right w:type="dxa" w:w="100"/>
            </w:tcMar>
          </w:tcPr>
          <w:p>
            <w:pPr>
              <w:jc w:val="left"/>
            </w:pPr>
            <w:r>
              <w:rPr>
                <w:b w:val="false"/>
                <w:bCs w:val="false"/>
                <w:sz w:val="16"/>
                <w:szCs w:val="16"/>
              </w:rPr>
              <w:t xml:space="preserve">MID/WIN</w:t>
            </w:r>
          </w:p>
        </w:tc>
      </w:tr>
      <w:tr>
        <w:tc>
          <w:tcPr>
            <w:tcW w:type="dxa" w:w="2800"/>
            <w:tcMar>
              <w:top w:type="dxa" w:w="80"/>
              <w:left w:type="dxa" w:w="100"/>
              <w:bottom w:type="dxa" w:w="80"/>
              <w:right w:type="dxa" w:w="100"/>
            </w:tcMar>
          </w:tcPr>
          <w:p>
            <w:pPr>
              <w:jc w:val="left"/>
            </w:pPr>
            <w:r>
              <w:rPr>
                <w:b w:val="false"/>
                <w:bCs w:val="false"/>
                <w:sz w:val="16"/>
                <w:szCs w:val="16"/>
              </w:rPr>
              <w:t xml:space="preserve">Dominant PA profile-group</w:t>
            </w:r>
          </w:p>
        </w:tc>
        <w:tc>
          <w:tcPr>
            <w:tcW w:type="dxa" w:w="4200"/>
            <w:tcMar>
              <w:top w:type="dxa" w:w="80"/>
              <w:left w:type="dxa" w:w="100"/>
              <w:bottom w:type="dxa" w:w="80"/>
              <w:right w:type="dxa" w:w="100"/>
            </w:tcMar>
          </w:tcPr>
          <w:p>
            <w:pPr>
              <w:jc w:val="left"/>
            </w:pPr>
            <w:r>
              <w:rPr>
                <w:b w:val="false"/>
                <w:bCs w:val="false"/>
                <w:sz w:val="16"/>
                <w:szCs w:val="16"/>
              </w:rPr>
              <w:t xml:space="preserve">Alert-All-SPG (~98.9%) — alert-only fields present</w:t>
            </w:r>
          </w:p>
        </w:tc>
        <w:tc>
          <w:tcPr>
            <w:tcW w:type="dxa" w:w="4200"/>
            <w:tcMar>
              <w:top w:type="dxa" w:w="80"/>
              <w:left w:type="dxa" w:w="100"/>
              <w:bottom w:type="dxa" w:w="80"/>
              <w:right w:type="dxa" w:w="100"/>
            </w:tcMar>
          </w:tcPr>
          <w:p>
            <w:pPr>
              <w:jc w:val="left"/>
            </w:pPr>
            <w:r>
              <w:rPr>
                <w:b w:val="false"/>
                <w:bCs w:val="false"/>
                <w:sz w:val="16"/>
                <w:szCs w:val="16"/>
              </w:rPr>
              <w:t xml:space="preserve">hcb_DMZ/hcb_GLR (~90%) — fields absent entirely</w:t>
            </w:r>
          </w:p>
        </w:tc>
      </w:tr>
      <w:tr>
        <w:tc>
          <w:tcPr>
            <w:tcW w:type="dxa" w:w="2800"/>
            <w:tcMar>
              <w:top w:type="dxa" w:w="80"/>
              <w:left w:type="dxa" w:w="100"/>
              <w:bottom w:type="dxa" w:w="80"/>
              <w:right w:type="dxa" w:w="100"/>
            </w:tcMar>
          </w:tcPr>
          <w:p>
            <w:pPr>
              <w:jc w:val="left"/>
            </w:pPr>
            <w:r>
              <w:rPr>
                <w:b w:val="false"/>
                <w:bCs w:val="false"/>
                <w:sz w:val="16"/>
                <w:szCs w:val="16"/>
              </w:rPr>
              <w:t xml:space="preserve">Real enforcement</w:t>
            </w:r>
          </w:p>
        </w:tc>
        <w:tc>
          <w:tcPr>
            <w:tcW w:type="dxa" w:w="4200"/>
            <w:tcMar>
              <w:top w:type="dxa" w:w="80"/>
              <w:left w:type="dxa" w:w="100"/>
              <w:bottom w:type="dxa" w:w="80"/>
              <w:right w:type="dxa" w:w="100"/>
            </w:tcMar>
          </w:tcPr>
          <w:p>
            <w:pPr>
              <w:jc w:val="left"/>
            </w:pPr>
            <w:r>
              <w:rPr>
                <w:b w:val="false"/>
                <w:bCs w:val="false"/>
                <w:sz w:val="16"/>
                <w:szCs w:val="16"/>
              </w:rPr>
              <w:t xml:space="preserve">Narrow, affiliate-specific (NAB, Meritain)</w:t>
            </w:r>
          </w:p>
        </w:tc>
        <w:tc>
          <w:tcPr>
            <w:tcW w:type="dxa" w:w="4200"/>
            <w:tcMar>
              <w:top w:type="dxa" w:w="80"/>
              <w:left w:type="dxa" w:w="100"/>
              <w:bottom w:type="dxa" w:w="80"/>
              <w:right w:type="dxa" w:w="100"/>
            </w:tcMar>
          </w:tcPr>
          <w:p>
            <w:pPr>
              <w:jc w:val="left"/>
            </w:pPr>
            <w:r>
              <w:rPr>
                <w:b w:val="false"/>
                <w:bCs w:val="false"/>
                <w:sz w:val="16"/>
                <w:szCs w:val="16"/>
              </w:rPr>
              <w:t xml:space="preserve">None found at this scale</w:t>
            </w:r>
          </w:p>
        </w:tc>
      </w:tr>
      <w:tr>
        <w:tc>
          <w:tcPr>
            <w:tcW w:type="dxa" w:w="2800"/>
            <w:tcMar>
              <w:top w:type="dxa" w:w="80"/>
              <w:left w:type="dxa" w:w="100"/>
              <w:bottom w:type="dxa" w:w="80"/>
              <w:right w:type="dxa" w:w="100"/>
            </w:tcMar>
          </w:tcPr>
          <w:p>
            <w:pPr>
              <w:jc w:val="left"/>
            </w:pPr>
            <w:r>
              <w:rPr>
                <w:b w:val="false"/>
                <w:bCs w:val="false"/>
                <w:sz w:val="16"/>
                <w:szCs w:val="16"/>
              </w:rPr>
              <w:t xml:space="preserve">Rulebase default-deny</w:t>
            </w:r>
          </w:p>
        </w:tc>
        <w:tc>
          <w:tcPr>
            <w:tcW w:type="dxa" w:w="4200"/>
            <w:tcMar>
              <w:top w:type="dxa" w:w="80"/>
              <w:left w:type="dxa" w:w="100"/>
              <w:bottom w:type="dxa" w:w="80"/>
              <w:right w:type="dxa" w:w="100"/>
            </w:tcMar>
          </w:tcPr>
          <w:p>
            <w:pPr>
              <w:jc w:val="left"/>
            </w:pPr>
            <w:r>
              <w:rPr>
                <w:b w:val="false"/>
                <w:bCs w:val="false"/>
                <w:sz w:val="16"/>
                <w:szCs w:val="16"/>
              </w:rPr>
              <w:t xml:space="preserve">Implicit (PAN-OS platform default)</w:t>
            </w:r>
          </w:p>
        </w:tc>
        <w:tc>
          <w:tcPr>
            <w:tcW w:type="dxa" w:w="4200"/>
            <w:tcMar>
              <w:top w:type="dxa" w:w="80"/>
              <w:left w:type="dxa" w:w="100"/>
              <w:bottom w:type="dxa" w:w="80"/>
              <w:right w:type="dxa" w:w="100"/>
            </w:tcMar>
          </w:tcPr>
          <w:p>
            <w:pPr>
              <w:jc w:val="left"/>
            </w:pPr>
            <w:r>
              <w:rPr>
                <w:b w:val="false"/>
                <w:bCs w:val="false"/>
                <w:sz w:val="16"/>
                <w:szCs w:val="16"/>
              </w:rPr>
              <w:t xml:space="preserve">Explicit (hand-built "cleanup rule," every device-group)</w:t>
            </w:r>
          </w:p>
        </w:tc>
      </w:tr>
      <w:tr>
        <w:tc>
          <w:tcPr>
            <w:tcW w:type="dxa" w:w="2800"/>
            <w:tcMar>
              <w:top w:type="dxa" w:w="80"/>
              <w:left w:type="dxa" w:w="100"/>
              <w:bottom w:type="dxa" w:w="80"/>
              <w:right w:type="dxa" w:w="100"/>
            </w:tcMar>
          </w:tcPr>
          <w:p>
            <w:pPr>
              <w:jc w:val="left"/>
            </w:pPr>
            <w:r>
              <w:rPr>
                <w:b w:val="false"/>
                <w:bCs w:val="false"/>
                <w:sz w:val="16"/>
                <w:szCs w:val="16"/>
              </w:rPr>
              <w:t xml:space="preserve">Cross-company integration zone</w:t>
            </w:r>
          </w:p>
        </w:tc>
        <w:tc>
          <w:tcPr>
            <w:tcW w:type="dxa" w:w="4200"/>
            <w:tcMar>
              <w:top w:type="dxa" w:w="80"/>
              <w:left w:type="dxa" w:w="100"/>
              <w:bottom w:type="dxa" w:w="80"/>
              <w:right w:type="dxa" w:w="100"/>
            </w:tcMar>
          </w:tcPr>
          <w:p>
            <w:pPr>
              <w:jc w:val="left"/>
            </w:pPr>
            <w:r>
              <w:rPr>
                <w:b w:val="false"/>
                <w:bCs w:val="false"/>
                <w:sz w:val="16"/>
                <w:szCs w:val="16"/>
              </w:rPr>
              <w:t xml:space="preserve">Not separately named on this side</w:t>
            </w:r>
          </w:p>
        </w:tc>
        <w:tc>
          <w:tcPr>
            <w:tcW w:type="dxa" w:w="4200"/>
            <w:tcMar>
              <w:top w:type="dxa" w:w="80"/>
              <w:left w:type="dxa" w:w="100"/>
              <w:bottom w:type="dxa" w:w="80"/>
              <w:right w:type="dxa" w:w="100"/>
            </w:tcMar>
          </w:tcPr>
          <w:p>
            <w:pPr>
              <w:jc w:val="left"/>
            </w:pPr>
            <w:r>
              <w:rPr>
                <w:b w:val="false"/>
                <w:bCs w:val="false"/>
                <w:sz w:val="16"/>
                <w:szCs w:val="16"/>
              </w:rPr>
              <w:t xml:space="preserve">aet-cvs-xcomp / hcb_CVS_security_profile — Aetna owns this</w:t>
            </w:r>
          </w:p>
        </w:tc>
      </w:tr>
    </w:tbl>
    <w:p>
      <w:pPr>
        <w:spacing w:after="120"/>
      </w:pPr>
      <w:r>
        <w:rPr>
          <w:b/>
          <w:bCs/>
        </w:rPr>
        <w:t xml:space="preserve">The target model (Target_Policy_and_Enforcement_Model.docx) is built by taking the better half of each — Aetna's explicit-deny rulebase discipline, CVS's habit of building at least one real enforcement tier — rather than extending either estate's current architecture as-is.</w:t>
      </w:r>
    </w:p>
    <w:p>
      <w:pPr>
        <w:pStyle w:val="Heading1"/>
        <w:spacing w:after="160" w:before="360"/>
      </w:pPr>
      <w:r>
        <w:t xml:space="preserve">Coverage Matrix by Location</w:t>
      </w:r>
    </w:p>
    <w:p>
      <w:pPr>
        <w:spacing w:after="120"/>
      </w:pPr>
      <w:r>
        <w:t xml:space="preserve">Three enforcement layers exist depending on location: the Skyhigh proxy (Aetna-heritage or CVS-heritage instance), Zscaler (managed client devices only, both heritages), and the Palo Alto NGFW. State reflects the dominant traffic path for that location unless otherwise noted.</w:t>
      </w:r>
    </w:p>
    <w:p>
      <w:pPr>
        <w:pStyle w:val="Heading2"/>
        <w:spacing w:after="120" w:before="260"/>
      </w:pPr>
      <w:r>
        <w:t xml:space="preserve">Aetna (Middletown &amp; Windsor)</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800"/>
        <w:gridCol w:w="1750"/>
        <w:gridCol w:w="1750"/>
        <w:gridCol w:w="1750"/>
        <w:gridCol w:w="1750"/>
        <w:gridCol w:w="2000"/>
        <w:gridCol w:w="2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800"/>
            <w:tcMar>
              <w:top w:type="dxa" w:w="80"/>
              <w:left w:type="dxa" w:w="100"/>
              <w:bottom w:type="dxa" w:w="80"/>
              <w:right w:type="dxa" w:w="100"/>
            </w:tcMar>
          </w:tcPr>
          <w:p>
            <w:pPr>
              <w:jc w:val="left"/>
            </w:pPr>
            <w:r>
              <w:rPr>
                <w:b w:val="false"/>
                <w:bCs w:val="false"/>
                <w:sz w:val="16"/>
                <w:szCs w:val="16"/>
              </w:rPr>
              <w:t xml:space="preserve">Skyhigh (Aetna-SH-Proxy)</w:t>
            </w:r>
          </w:p>
        </w:tc>
        <w:tc>
          <w:tcPr>
            <w:shd w:fill="1A7A3C" w:val="clear"/>
            <w:tcMar>
              <w:top w:type="dxa" w:w="80"/>
              <w:left w:type="dxa" w:w="100"/>
              <w:bottom w:type="dxa" w:w="80"/>
              <w:right w:type="dxa" w:w="100"/>
            </w:tcMar>
          </w:tcPr>
          <w:p>
            <w:pPr>
              <w:jc w:val="center"/>
            </w:pPr>
            <w:r>
              <w:rPr>
                <w:b/>
                <w:bCs/>
                <w:color w:val="FFFFFF"/>
                <w:sz w:val="16"/>
                <w:szCs w:val="16"/>
              </w:rPr>
              <w:t xml:space="preserve">REAL — opt-out, decrypt by default</w:t>
            </w:r>
          </w:p>
        </w:tc>
        <w:tc>
          <w:tcPr>
            <w:shd w:fill="1A7A3C" w:val="clear"/>
            <w:tcMar>
              <w:top w:type="dxa" w:w="80"/>
              <w:left w:type="dxa" w:w="100"/>
              <w:bottom w:type="dxa" w:w="80"/>
              <w:right w:type="dxa" w:w="100"/>
            </w:tcMar>
          </w:tcPr>
          <w:p>
            <w:pPr>
              <w:jc w:val="center"/>
            </w:pPr>
            <w:r>
              <w:rPr>
                <w:b/>
                <w:bCs/>
                <w:color w:val="FFFFFF"/>
                <w:sz w:val="16"/>
                <w:szCs w:val="16"/>
              </w:rPr>
              <w:t xml:space="preserve">REAL — blocks on cert-trust violations</w:t>
            </w:r>
          </w:p>
        </w:tc>
        <w:tc>
          <w:tcPr>
            <w:shd w:fill="1A7A3C" w:val="clear"/>
            <w:tcMar>
              <w:top w:type="dxa" w:w="80"/>
              <w:left w:type="dxa" w:w="100"/>
              <w:bottom w:type="dxa" w:w="80"/>
              <w:right w:type="dxa" w:w="100"/>
            </w:tcMar>
          </w:tcPr>
          <w:p>
            <w:pPr>
              <w:jc w:val="center"/>
            </w:pPr>
            <w:r>
              <w:rPr>
                <w:b/>
                <w:bCs/>
                <w:color w:val="FFFFFF"/>
                <w:sz w:val="16"/>
                <w:szCs w:val="16"/>
              </w:rPr>
              <w:t xml:space="preserve">REAL — file/archive/signature blocking</w:t>
            </w:r>
          </w:p>
        </w:tc>
        <w:tc>
          <w:tcPr>
            <w:shd w:fill="8A6D1F" w:val="clear"/>
            <w:tcMar>
              <w:top w:type="dxa" w:w="80"/>
              <w:left w:type="dxa" w:w="100"/>
              <w:bottom w:type="dxa" w:w="80"/>
              <w:right w:type="dxa" w:w="100"/>
            </w:tcMar>
          </w:tcPr>
          <w:p>
            <w:pPr>
              <w:jc w:val="center"/>
            </w:pPr>
            <w:r>
              <w:rPr>
                <w:b/>
                <w:bCs/>
                <w:color w:val="FFFFFF"/>
                <w:sz w:val="16"/>
                <w:szCs w:val="16"/>
              </w:rPr>
              <w:t xml:space="preserve">ALERT — category-gated (9 cats)</w:t>
            </w:r>
          </w:p>
        </w:tc>
        <w:tc>
          <w:tcPr>
            <w:shd w:fill="999999" w:val="clear"/>
            <w:tcMar>
              <w:top w:type="dxa" w:w="80"/>
              <w:left w:type="dxa" w:w="100"/>
              <w:bottom w:type="dxa" w:w="80"/>
              <w:right w:type="dxa" w:w="100"/>
            </w:tcMar>
          </w:tcPr>
          <w:p>
            <w:pPr>
              <w:jc w:val="center"/>
            </w:pPr>
            <w:r>
              <w:rPr>
                <w:b/>
                <w:bCs/>
                <w:color w:val="FFFFFF"/>
                <w:sz w:val="16"/>
                <w:szCs w:val="16"/>
              </w:rPr>
              <w:t xml:space="preserve">UNKNOWN — DLP/ICAP stages disabled, do not fire</w:t>
            </w:r>
          </w:p>
        </w:tc>
        <w:tc>
          <w:tcPr>
            <w:shd w:fill="1A7A3C" w:val="clear"/>
            <w:tcMar>
              <w:top w:type="dxa" w:w="80"/>
              <w:left w:type="dxa" w:w="100"/>
              <w:bottom w:type="dxa" w:w="80"/>
              <w:right w:type="dxa" w:w="100"/>
            </w:tcMar>
          </w:tcPr>
          <w:p>
            <w:pPr>
              <w:jc w:val="center"/>
            </w:pPr>
            <w:r>
              <w:rPr>
                <w:b/>
                <w:bCs/>
                <w:color w:val="FFFFFF"/>
                <w:sz w:val="16"/>
                <w:szCs w:val="16"/>
              </w:rPr>
              <w:t xml:space="preserve">REAL — Restrict-Access-To-Tenants (TRv1) + Restrict-Access-Context</w:t>
            </w:r>
          </w:p>
        </w:tc>
      </w:tr>
      <w:tr>
        <w:tc>
          <w:tcPr>
            <w:tcW w:type="dxa" w:w="2800"/>
            <w:tcMar>
              <w:top w:type="dxa" w:w="80"/>
              <w:left w:type="dxa" w:w="100"/>
              <w:bottom w:type="dxa" w:w="80"/>
              <w:right w:type="dxa" w:w="100"/>
            </w:tcMar>
          </w:tcPr>
          <w:p>
            <w:pPr>
              <w:jc w:val="left"/>
            </w:pPr>
            <w:r>
              <w:rPr>
                <w:b w:val="false"/>
                <w:bCs w:val="false"/>
                <w:sz w:val="16"/>
                <w:szCs w:val="16"/>
              </w:rPr>
              <w:t xml:space="preserve">Zscaler (client devices only)</w:t>
            </w:r>
          </w:p>
        </w:tc>
        <w:tc>
          <w:tcPr>
            <w:shd w:fill="B3261E" w:val="clear"/>
            <w:tcMar>
              <w:top w:type="dxa" w:w="80"/>
              <w:left w:type="dxa" w:w="100"/>
              <w:bottom w:type="dxa" w:w="80"/>
              <w:right w:type="dxa" w:w="100"/>
            </w:tcMar>
          </w:tcPr>
          <w:p>
            <w:pPr>
              <w:jc w:val="center"/>
            </w:pPr>
            <w:r>
              <w:rPr>
                <w:b/>
                <w:bCs/>
                <w:color w:val="FFFFFF"/>
                <w:sz w:val="16"/>
                <w:szCs w:val="16"/>
              </w:rPr>
              <w:t xml:space="preserve">NONE by default — broad GCP/AWS/Azure/retail bypass</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 855 allow/247 block actions</w:t>
            </w:r>
          </w:p>
        </w:tc>
        <w:tc>
          <w:tcPr>
            <w:shd w:fill="1A7A3C" w:val="clear"/>
            <w:tcMar>
              <w:top w:type="dxa" w:w="80"/>
              <w:left w:type="dxa" w:w="100"/>
              <w:bottom w:type="dxa" w:w="80"/>
              <w:right w:type="dxa" w:w="100"/>
            </w:tcMar>
          </w:tcPr>
          <w:p>
            <w:pPr>
              <w:jc w:val="center"/>
            </w:pPr>
            <w:r>
              <w:rPr>
                <w:b/>
                <w:bCs/>
                <w:color w:val="FFFFFF"/>
                <w:sz w:val="16"/>
                <w:szCs w:val="16"/>
              </w:rPr>
              <w:t xml:space="preserve">REAL — ~50 DLP engines, gated by decrypt</w:t>
            </w:r>
          </w:p>
        </w:tc>
        <w:tc>
          <w:tcPr>
            <w:shd w:fill="1A7A3C" w:val="clear"/>
            <w:tcMar>
              <w:top w:type="dxa" w:w="80"/>
              <w:left w:type="dxa" w:w="100"/>
              <w:bottom w:type="dxa" w:w="80"/>
              <w:right w:type="dxa" w:w="100"/>
            </w:tcMar>
          </w:tcPr>
          <w:p>
            <w:pPr>
              <w:jc w:val="center"/>
            </w:pPr>
            <w:r>
              <w:rPr>
                <w:b/>
                <w:bCs/>
                <w:color w:val="FFFFFF"/>
                <w:sz w:val="16"/>
                <w:szCs w:val="16"/>
              </w:rPr>
              <w:t xml:space="preserve">REAL — AI governance via named App-ID list + isolation</w:t>
            </w:r>
          </w:p>
        </w:tc>
      </w:tr>
      <w:tr>
        <w:tc>
          <w:tcPr>
            <w:tcW w:type="dxa" w:w="2800"/>
            <w:tcMar>
              <w:top w:type="dxa" w:w="80"/>
              <w:left w:type="dxa" w:w="100"/>
              <w:bottom w:type="dxa" w:w="80"/>
              <w:right w:type="dxa" w:w="100"/>
            </w:tcMar>
          </w:tcPr>
          <w:p>
            <w:pPr>
              <w:jc w:val="left"/>
            </w:pPr>
            <w:r>
              <w:rPr>
                <w:b w:val="false"/>
                <w:bCs w:val="false"/>
                <w:sz w:val="16"/>
                <w:szCs w:val="16"/>
              </w:rPr>
              <w:t xml:space="preserve">PA NGFW — hcb_DMZ / hcb_GLR (~90% of Aetna traffic)</w:t>
            </w:r>
          </w:p>
        </w:tc>
        <w:tc>
          <w:tcPr>
            <w:shd w:fill="FFFFFF" w:val="clear"/>
            <w:tcMar>
              <w:top w:type="dxa" w:w="80"/>
              <w:left w:type="dxa" w:w="100"/>
              <w:bottom w:type="dxa" w:w="80"/>
              <w:right w:type="dxa" w:w="100"/>
            </w:tcMar>
          </w:tcPr>
          <w:p>
            <w:pPr>
              <w:jc w:val="center"/>
            </w:pPr>
            <w:r>
              <w:rPr>
                <w:b/>
                <w:bCs/>
                <w:color w:val="000000"/>
                <w:sz w:val="16"/>
                <w:szCs w:val="16"/>
              </w:rPr>
              <w:t xml:space="preserve">Disputed — see Corrections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hcb_security_profile_grp-Aws (59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1A7A3C" w:val="clear"/>
            <w:tcMar>
              <w:top w:type="dxa" w:w="80"/>
              <w:left w:type="dxa" w:w="100"/>
              <w:bottom w:type="dxa" w:w="80"/>
              <w:right w:type="dxa" w:w="100"/>
            </w:tcMar>
          </w:tcPr>
          <w:p>
            <w:pPr>
              <w:jc w:val="center"/>
            </w:pPr>
            <w:r>
              <w:rPr>
                <w:b/>
                <w:bCs/>
                <w:color w:val="FFFFFF"/>
                <w:sz w:val="16"/>
                <w:szCs w:val="16"/>
              </w:rPr>
              <w:t xml:space="preserve">BLOCK — 11 categories</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hcb_officeext (111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1A7A3C" w:val="clear"/>
            <w:tcMar>
              <w:top w:type="dxa" w:w="80"/>
              <w:left w:type="dxa" w:w="100"/>
              <w:bottom w:type="dxa" w:w="80"/>
              <w:right w:type="dxa" w:w="100"/>
            </w:tcMar>
          </w:tcPr>
          <w:p>
            <w:pPr>
              <w:jc w:val="center"/>
            </w:pPr>
            <w:r>
              <w:rPr>
                <w:b/>
                <w:bCs/>
                <w:color w:val="FFFFFF"/>
                <w:sz w:val="16"/>
                <w:szCs w:val="16"/>
              </w:rPr>
              <w:t xml:space="preserve">ALERT — 0 categories actually blocked</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bl>
    <w:p>
      <w:pPr>
        <w:spacing w:after="120"/>
      </w:pPr>
      <w:r>
        <w:rPr>
          <w:i/>
          <w:iCs/>
          <w:color w:val="5B6169"/>
          <w:sz w:val="19"/>
          <w:szCs w:val="19"/>
        </w:rPr>
        <w:t xml:space="preserve">Net position, Aetna: the Skyhigh proxy is doing essentially all real content enforcement today, including a working (if TRv1, not TRv2) tenant-restriction header. The PA layer beneath it — which will become sole enforcement once Skyhigh is retired — has almost nothing on the traffic majority.</w:t>
      </w:r>
    </w:p>
    <w:p>
      <w:pPr>
        <w:pStyle w:val="Heading2"/>
        <w:spacing w:after="120" w:before="260"/>
      </w:pPr>
      <w:r>
        <w:t xml:space="preserve">CVS Enterprise — LV-COLO (Vegas), RI, AZ (Shea), Retail</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750"/>
        <w:gridCol w:w="1650"/>
        <w:gridCol w:w="1750"/>
        <w:gridCol w:w="2000"/>
        <w:gridCol w:w="1950"/>
      </w:tblGrid>
      <w:tr>
        <w:trPr>
          <w:tblHeader/>
        </w:trPr>
        <w:tc>
          <w:tcPr>
            <w:tcW w:type="dxa" w:w="29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90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6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195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900"/>
            <w:tcMar>
              <w:top w:type="dxa" w:w="80"/>
              <w:left w:type="dxa" w:w="100"/>
              <w:bottom w:type="dxa" w:w="80"/>
              <w:right w:type="dxa" w:w="100"/>
            </w:tcMar>
          </w:tcPr>
          <w:p>
            <w:pPr>
              <w:jc w:val="left"/>
            </w:pPr>
            <w:r>
              <w:rPr>
                <w:b w:val="false"/>
                <w:bCs w:val="false"/>
                <w:sz w:val="16"/>
                <w:szCs w:val="16"/>
              </w:rPr>
              <w:t xml:space="preserve">Skyhigh (CVS-roxy-SH)</w:t>
            </w:r>
          </w:p>
        </w:tc>
        <w:tc>
          <w:tcPr>
            <w:shd w:fill="999999" w:val="clear"/>
            <w:tcMar>
              <w:top w:type="dxa" w:w="80"/>
              <w:left w:type="dxa" w:w="100"/>
              <w:bottom w:type="dxa" w:w="80"/>
              <w:right w:type="dxa" w:w="100"/>
            </w:tcMar>
          </w:tcPr>
          <w:p>
            <w:pPr>
              <w:jc w:val="center"/>
            </w:pPr>
            <w:r>
              <w:rPr>
                <w:b/>
                <w:bCs/>
                <w:color w:val="FFFFFF"/>
                <w:sz w:val="16"/>
                <w:szCs w:val="16"/>
              </w:rPr>
              <w:t xml:space="preserve">UNKNOWN — opt-in, live allow-list content not in backup (0 cached items)</w:t>
            </w:r>
          </w:p>
        </w:tc>
        <w:tc>
          <w:tcPr>
            <w:shd w:fill="1A7A3C" w:val="clear"/>
            <w:tcMar>
              <w:top w:type="dxa" w:w="80"/>
              <w:left w:type="dxa" w:w="100"/>
              <w:bottom w:type="dxa" w:w="80"/>
              <w:right w:type="dxa" w:w="100"/>
            </w:tcMar>
          </w:tcPr>
          <w:p>
            <w:pPr>
              <w:jc w:val="center"/>
            </w:pPr>
            <w:r>
              <w:rPr>
                <w:b/>
                <w:bCs/>
                <w:color w:val="FFFFFF"/>
                <w:sz w:val="16"/>
                <w:szCs w:val="16"/>
              </w:rPr>
              <w:t xml:space="preserve">ALERT only — cert-verification blocking exists but disabled</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FFFFFF" w:val="clear"/>
            <w:tcMar>
              <w:top w:type="dxa" w:w="80"/>
              <w:left w:type="dxa" w:w="100"/>
              <w:bottom w:type="dxa" w:w="80"/>
              <w:right w:type="dxa" w:w="100"/>
            </w:tcMar>
          </w:tcPr>
          <w:p>
            <w:pPr>
              <w:jc w:val="center"/>
            </w:pPr>
            <w:r>
              <w:rPr>
                <w:b/>
                <w:bCs/>
                <w:color w:val="000000"/>
                <w:sz w:val="16"/>
                <w:szCs w:val="16"/>
              </w:rPr>
              <w:t xml:space="preserve">Gated by same opt-in decrypt scope</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1A7A3C" w:val="clear"/>
            <w:tcMar>
              <w:top w:type="dxa" w:w="80"/>
              <w:left w:type="dxa" w:w="100"/>
              <w:bottom w:type="dxa" w:w="80"/>
              <w:right w:type="dxa" w:w="100"/>
            </w:tcMar>
          </w:tcPr>
          <w:p>
            <w:pPr>
              <w:jc w:val="center"/>
            </w:pPr>
            <w:r>
              <w:rPr>
                <w:b/>
                <w:bCs/>
                <w:color w:val="FFFFFF"/>
                <w:sz w:val="16"/>
                <w:szCs w:val="16"/>
              </w:rPr>
              <w:t xml:space="preserve">REAL — same TRv2-style headers as Aetna proxy, same tenant GUID</w:t>
            </w:r>
          </w:p>
        </w:tc>
      </w:tr>
      <w:tr>
        <w:tc>
          <w:tcPr>
            <w:tcW w:type="dxa" w:w="2900"/>
            <w:tcMar>
              <w:top w:type="dxa" w:w="80"/>
              <w:left w:type="dxa" w:w="100"/>
              <w:bottom w:type="dxa" w:w="80"/>
              <w:right w:type="dxa" w:w="100"/>
            </w:tcMar>
          </w:tcPr>
          <w:p>
            <w:pPr>
              <w:jc w:val="left"/>
            </w:pPr>
            <w:r>
              <w:rPr>
                <w:b w:val="false"/>
                <w:bCs w:val="false"/>
                <w:sz w:val="16"/>
                <w:szCs w:val="16"/>
              </w:rPr>
              <w:t xml:space="preserve">Zscaler (client devices only)</w:t>
            </w:r>
          </w:p>
        </w:tc>
        <w:tc>
          <w:tcPr>
            <w:shd w:fill="B3261E" w:val="clear"/>
            <w:tcMar>
              <w:top w:type="dxa" w:w="80"/>
              <w:left w:type="dxa" w:w="100"/>
              <w:bottom w:type="dxa" w:w="80"/>
              <w:right w:type="dxa" w:w="100"/>
            </w:tcMar>
          </w:tcPr>
          <w:p>
            <w:pPr>
              <w:jc w:val="center"/>
            </w:pPr>
            <w:r>
              <w:rPr>
                <w:b/>
                <w:bCs/>
                <w:color w:val="FFFFFF"/>
                <w:sz w:val="16"/>
                <w:szCs w:val="16"/>
              </w:rPr>
              <w:t xml:space="preserve">NONE by default — broad bypass, same as Aetna-side</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 same policy, both heritages</w:t>
            </w:r>
          </w:p>
        </w:tc>
        <w:tc>
          <w:tcPr>
            <w:shd w:fill="1A7A3C" w:val="clear"/>
            <w:tcMar>
              <w:top w:type="dxa" w:w="80"/>
              <w:left w:type="dxa" w:w="100"/>
              <w:bottom w:type="dxa" w:w="80"/>
              <w:right w:type="dxa" w:w="100"/>
            </w:tcMar>
          </w:tcPr>
          <w:p>
            <w:pPr>
              <w:jc w:val="center"/>
            </w:pPr>
            <w:r>
              <w:rPr>
                <w:b/>
                <w:bCs/>
                <w:color w:val="FFFFFF"/>
                <w:sz w:val="16"/>
                <w:szCs w:val="16"/>
              </w:rPr>
              <w:t xml:space="preserve">REAL — ~50 DLP engines, gated by decrypt</w:t>
            </w:r>
          </w:p>
        </w:tc>
        <w:tc>
          <w:tcPr>
            <w:shd w:fill="1A7A3C" w:val="clear"/>
            <w:tcMar>
              <w:top w:type="dxa" w:w="80"/>
              <w:left w:type="dxa" w:w="100"/>
              <w:bottom w:type="dxa" w:w="80"/>
              <w:right w:type="dxa" w:w="100"/>
            </w:tcMar>
          </w:tcPr>
          <w:p>
            <w:pPr>
              <w:jc w:val="center"/>
            </w:pPr>
            <w:r>
              <w:rPr>
                <w:b/>
                <w:bCs/>
                <w:color w:val="FFFFFF"/>
                <w:sz w:val="16"/>
                <w:szCs w:val="16"/>
              </w:rPr>
              <w:t xml:space="preserve">REAL — same AI governance, both heritages</w:t>
            </w:r>
          </w:p>
        </w:tc>
      </w:tr>
      <w:tr>
        <w:tc>
          <w:tcPr>
            <w:tcW w:type="dxa" w:w="2900"/>
            <w:tcMar>
              <w:top w:type="dxa" w:w="80"/>
              <w:left w:type="dxa" w:w="100"/>
              <w:bottom w:type="dxa" w:w="80"/>
              <w:right w:type="dxa" w:w="100"/>
            </w:tcMar>
          </w:tcPr>
          <w:p>
            <w:pPr>
              <w:jc w:val="left"/>
            </w:pPr>
            <w:r>
              <w:rPr>
                <w:b w:val="false"/>
                <w:bCs w:val="false"/>
                <w:sz w:val="16"/>
                <w:szCs w:val="16"/>
              </w:rPr>
              <w:t xml:space="preserve">PA NGFW — Alert-All-SPG (~99.7% of RI/AZ)</w:t>
            </w:r>
          </w:p>
        </w:tc>
        <w:tc>
          <w:tcPr>
            <w:shd w:fill="FFFFFF" w:val="clear"/>
            <w:tcMar>
              <w:top w:type="dxa" w:w="80"/>
              <w:left w:type="dxa" w:w="100"/>
              <w:bottom w:type="dxa" w:w="80"/>
              <w:right w:type="dxa" w:w="100"/>
            </w:tcMar>
          </w:tcPr>
          <w:p>
            <w:pPr>
              <w:jc w:val="center"/>
            </w:pPr>
            <w:r>
              <w:rPr>
                <w:b/>
                <w:bCs/>
                <w:color w:val="000000"/>
                <w:sz w:val="16"/>
                <w:szCs w:val="16"/>
              </w:rPr>
              <w:t xml:space="preserve">2 of 16 rules decrypt (Claude, denied-categories w/ rule-order gap)</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900"/>
            <w:tcMar>
              <w:top w:type="dxa" w:w="80"/>
              <w:left w:type="dxa" w:w="100"/>
              <w:bottom w:type="dxa" w:w="80"/>
              <w:right w:type="dxa" w:w="100"/>
            </w:tcMar>
          </w:tcPr>
          <w:p>
            <w:pPr>
              <w:jc w:val="left"/>
            </w:pPr>
            <w:r>
              <w:rPr>
                <w:b w:val="false"/>
                <w:bCs w:val="false"/>
                <w:sz w:val="16"/>
                <w:szCs w:val="16"/>
              </w:rPr>
              <w:t xml:space="preserve">PA NGFW — SPG-PPOM-All / SPG-LV-Colo-All / SPG-LV-Colo-Exceptions / SPG-Proxy-* family (small %, NAB-scoped)</w:t>
            </w:r>
          </w:p>
        </w:tc>
        <w:tc>
          <w:tcPr>
            <w:shd w:fill="FFFFFF" w:val="clear"/>
            <w:tcMar>
              <w:top w:type="dxa" w:w="80"/>
              <w:left w:type="dxa" w:w="100"/>
              <w:bottom w:type="dxa" w:w="80"/>
              <w:right w:type="dxa" w:w="100"/>
            </w:tcMar>
          </w:tcPr>
          <w:p>
            <w:pPr>
              <w:jc w:val="center"/>
            </w:pPr>
            <w:r>
              <w:rPr>
                <w:b/>
                <w:bCs/>
                <w:color w:val="000000"/>
                <w:sz w:val="16"/>
                <w:szCs w:val="16"/>
              </w:rPr>
              <w:t xml:space="preserve">Same 2-of-16 as above — no dedicated carve-out</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 platform-wide pattern)</w:t>
            </w:r>
          </w:p>
        </w:tc>
        <w:tc>
          <w:tcPr>
            <w:shd w:fill="1A7A3C" w:val="clear"/>
            <w:tcMar>
              <w:top w:type="dxa" w:w="80"/>
              <w:left w:type="dxa" w:w="100"/>
              <w:bottom w:type="dxa" w:w="80"/>
              <w:right w:type="dxa" w:w="100"/>
            </w:tcMar>
          </w:tcPr>
          <w:p>
            <w:pPr>
              <w:jc w:val="center"/>
            </w:pPr>
            <w:r>
              <w:rPr>
                <w:b/>
                <w:bCs/>
                <w:color w:val="FFFFFF"/>
                <w:sz w:val="16"/>
                <w:szCs w:val="16"/>
              </w:rPr>
              <w:t xml:space="preserve">BLOCK — 4-rule Best Practice profile</w:t>
            </w:r>
          </w:p>
        </w:tc>
        <w:tc>
          <w:tcPr>
            <w:shd w:fill="1A7A3C" w:val="clear"/>
            <w:tcMar>
              <w:top w:type="dxa" w:w="80"/>
              <w:left w:type="dxa" w:w="100"/>
              <w:bottom w:type="dxa" w:w="80"/>
              <w:right w:type="dxa" w:w="100"/>
            </w:tcMar>
          </w:tcPr>
          <w:p>
            <w:pPr>
              <w:jc w:val="center"/>
            </w:pPr>
            <w:r>
              <w:rPr>
                <w:b/>
                <w:bCs/>
                <w:color w:val="FFFFFF"/>
                <w:sz w:val="16"/>
                <w:szCs w:val="16"/>
              </w:rPr>
              <w:t xml:space="preserve">BLOCK — 36-44 categories depending on variant</w:t>
            </w:r>
          </w:p>
        </w:tc>
        <w:tc>
          <w:tcPr>
            <w:shd w:fill="1A7A3C" w:val="clear"/>
            <w:tcMar>
              <w:top w:type="dxa" w:w="80"/>
              <w:left w:type="dxa" w:w="100"/>
              <w:bottom w:type="dxa" w:w="80"/>
              <w:right w:type="dxa" w:w="100"/>
            </w:tcMar>
          </w:tcPr>
          <w:p>
            <w:pPr>
              <w:jc w:val="center"/>
            </w:pPr>
            <w:r>
              <w:rPr>
                <w:b/>
                <w:bCs/>
                <w:color w:val="FFFFFF"/>
                <w:sz w:val="16"/>
                <w:szCs w:val="16"/>
              </w:rPr>
              <w:t xml:space="preserve">ALERT — 28 patterns (22 financial/PII + 6 healthcare), not block</w:t>
            </w:r>
          </w:p>
        </w:tc>
        <w:tc>
          <w:tcPr>
            <w:shd w:fill="B3261E" w:val="clear"/>
            <w:tcMar>
              <w:top w:type="dxa" w:w="80"/>
              <w:left w:type="dxa" w:w="100"/>
              <w:bottom w:type="dxa" w:w="80"/>
              <w:right w:type="dxa" w:w="100"/>
            </w:tcMar>
          </w:tcPr>
          <w:p>
            <w:pPr>
              <w:jc w:val="center"/>
            </w:pPr>
            <w:r>
              <w:rPr>
                <w:b/>
                <w:bCs/>
                <w:color w:val="FFFFFF"/>
                <w:sz w:val="16"/>
                <w:szCs w:val="16"/>
              </w:rPr>
              <w:t xml:space="preserve">TEST-ONLY — single host, unverified decrypt</w:t>
            </w:r>
          </w:p>
        </w:tc>
      </w:tr>
      <w:tr>
        <w:tc>
          <w:tcPr>
            <w:tcW w:type="dxa" w:w="2900"/>
            <w:tcMar>
              <w:top w:type="dxa" w:w="80"/>
              <w:left w:type="dxa" w:w="100"/>
              <w:bottom w:type="dxa" w:w="80"/>
              <w:right w:type="dxa" w:w="100"/>
            </w:tcMar>
          </w:tcPr>
          <w:p>
            <w:pPr>
              <w:jc w:val="left"/>
            </w:pPr>
            <w:r>
              <w:rPr>
                <w:b w:val="false"/>
                <w:bCs w:val="false"/>
                <w:sz w:val="16"/>
                <w:szCs w:val="16"/>
              </w:rPr>
              <w:t xml:space="preserve">PA NGFW — Meritain-SPG-WG-General/HR/IT/Elevated-Rights</w:t>
            </w:r>
          </w:p>
        </w:tc>
        <w:tc>
          <w:tcPr>
            <w:shd w:fill="1A7A3C" w:val="clear"/>
            <w:tcMar>
              <w:top w:type="dxa" w:w="80"/>
              <w:left w:type="dxa" w:w="100"/>
              <w:bottom w:type="dxa" w:w="80"/>
              <w:right w:type="dxa" w:w="100"/>
            </w:tcMar>
          </w:tcPr>
          <w:p>
            <w:pPr>
              <w:jc w:val="center"/>
            </w:pPr>
            <w:r>
              <w:rPr>
                <w:b/>
                <w:bCs/>
                <w:color w:val="FFFFFF"/>
                <w:sz w:val="16"/>
                <w:szCs w:val="16"/>
              </w:rPr>
              <w:t xml:space="preserve">REAL — dedicated decrypt rules incl. Microsoft-Login</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w:t>
            </w:r>
          </w:p>
        </w:tc>
        <w:tc>
          <w:tcPr>
            <w:shd w:fill="1A7A3C" w:val="clear"/>
            <w:tcMar>
              <w:top w:type="dxa" w:w="80"/>
              <w:left w:type="dxa" w:w="100"/>
              <w:bottom w:type="dxa" w:w="80"/>
              <w:right w:type="dxa" w:w="100"/>
            </w:tcMar>
          </w:tcPr>
          <w:p>
            <w:pPr>
              <w:jc w:val="center"/>
            </w:pPr>
            <w:r>
              <w:rPr>
                <w:b/>
                <w:bCs/>
                <w:color w:val="FFFFFF"/>
                <w:sz w:val="16"/>
                <w:szCs w:val="16"/>
              </w:rPr>
              <w:t xml:space="preserve">BLOCK</w:t>
            </w:r>
          </w:p>
        </w:tc>
        <w:tc>
          <w:tcPr>
            <w:shd w:fill="1A7A3C" w:val="clear"/>
            <w:tcMar>
              <w:top w:type="dxa" w:w="80"/>
              <w:left w:type="dxa" w:w="100"/>
              <w:bottom w:type="dxa" w:w="80"/>
              <w:right w:type="dxa" w:w="100"/>
            </w:tcMar>
          </w:tcPr>
          <w:p>
            <w:pPr>
              <w:jc w:val="center"/>
            </w:pPr>
            <w:r>
              <w:rPr>
                <w:b/>
                <w:bCs/>
                <w:color w:val="FFFFFF"/>
                <w:sz w:val="16"/>
                <w:szCs w:val="16"/>
              </w:rPr>
              <w:t xml:space="preserve">BLOCK — 39-43 categories</w:t>
            </w:r>
          </w:p>
        </w:tc>
        <w:tc>
          <w:tcPr>
            <w:shd w:fill="8A6D1F" w:val="clear"/>
            <w:tcMar>
              <w:top w:type="dxa" w:w="80"/>
              <w:left w:type="dxa" w:w="100"/>
              <w:bottom w:type="dxa" w:w="80"/>
              <w:right w:type="dxa" w:w="100"/>
            </w:tcMar>
          </w:tcPr>
          <w:p>
            <w:pPr>
              <w:jc w:val="center"/>
            </w:pPr>
            <w:r>
              <w:rPr>
                <w:b/>
                <w:bCs/>
                <w:color w:val="FFFFFF"/>
                <w:sz w:val="16"/>
                <w:szCs w:val="16"/>
              </w:rPr>
              <w:t xml:space="preserve">ALERT — 28 patterns (NAB)</w:t>
            </w:r>
          </w:p>
        </w:tc>
        <w:tc>
          <w:tcPr>
            <w:shd w:fill="B3261E" w:val="clear"/>
            <w:tcMar>
              <w:top w:type="dxa" w:w="80"/>
              <w:left w:type="dxa" w:w="100"/>
              <w:bottom w:type="dxa" w:w="80"/>
              <w:right w:type="dxa" w:w="100"/>
            </w:tcMar>
          </w:tcPr>
          <w:p>
            <w:pPr>
              <w:jc w:val="center"/>
            </w:pPr>
            <w:r>
              <w:rPr>
                <w:b/>
                <w:bCs/>
                <w:color w:val="FFFFFF"/>
                <w:sz w:val="16"/>
                <w:szCs w:val="16"/>
              </w:rPr>
              <w:t xml:space="preserve">NONE confirmed wired to this population</w:t>
            </w:r>
          </w:p>
        </w:tc>
      </w:tr>
    </w:tbl>
    <w:p>
      <w:pPr>
        <w:spacing w:after="120"/>
      </w:pPr>
      <w:r>
        <w:rPr>
          <w:i/>
          <w:iCs/>
          <w:color w:val="5B6169"/>
          <w:sz w:val="19"/>
          <w:szCs w:val="19"/>
        </w:rPr>
        <w:t xml:space="preserve">Net position, CVS Enterprise: the proxy's actual decrypt/inspection scope cannot be verified from the available backup — its allow-lists are live-sourced and were empty in the export. The PA layer's real enforcement is concentrated in a small, NAB/Meritain-affiliated minority; the dominant traffic path (Alert-All-SPG) has file-blocking and AV present but alert-only, and no DLP or real URL blocking at all.</w:t>
      </w:r>
    </w:p>
    <w:p>
      <w:pPr>
        <w:pStyle w:val="Heading1"/>
        <w:spacing w:after="160" w:before="360"/>
      </w:pPr>
      <w:r>
        <w:t xml:space="preserve">New Findings Since Yesterday's Document</w:t>
      </w:r>
    </w:p>
    <w:p>
      <w:pPr>
        <w:pStyle w:val="ListParagraph"/>
        <w:numPr>
          <w:ilvl w:val="0"/>
          <w:numId w:val="1"/>
        </w:numPr>
        <w:spacing w:after="80"/>
      </w:pPr>
      <w:r>
        <w:t xml:space="preserve">NAB's Data Filtering profile has 28 patterns, not 22 as previously stated — a second rule (Healthcare: CLIA, DEA, Health-Generic, ICD9, ICD10, NPI) exists alongside the financial/PII rule already documented. Action is alert on both rules.</w:t>
      </w:r>
    </w:p>
    <w:p>
      <w:pPr>
        <w:pStyle w:val="ListParagraph"/>
        <w:numPr>
          <w:ilvl w:val="0"/>
          <w:numId w:val="1"/>
        </w:numPr>
        <w:spacing w:after="80"/>
      </w:pPr>
      <w:r>
        <w:t xml:space="preserve">A second Tenant Restriction policy exists — Block-Personal-Accounts, targeting login.live.com, header value restrict-msa (standard TRv2 shorthand) — separate from Block-MS-Personal-Accounts. Wiring/enforcement status not yet verified.</w:t>
      </w:r>
    </w:p>
    <w:p>
      <w:pPr>
        <w:pStyle w:val="ListParagraph"/>
        <w:numPr>
          <w:ilvl w:val="0"/>
          <w:numId w:val="1"/>
        </w:numPr>
        <w:spacing w:after="80"/>
      </w:pPr>
      <w:r>
        <w:t xml:space="preserve">Both Skyhigh proxies (Aetna and CVS instances) implement real Tenant Restriction headers today (Restrict-Access-To-Tenants / Restrict-Access-Context — TRv1, not TRv2), using the same tenant GUID found dormant in the PA config. This is currently the only working tenant-restriction enforcement anywhere in the estate — the PA-side TRv2 pilot is not it.</w:t>
      </w:r>
    </w:p>
    <w:p>
      <w:pPr>
        <w:pStyle w:val="ListParagraph"/>
        <w:numPr>
          <w:ilvl w:val="0"/>
          <w:numId w:val="1"/>
        </w:numPr>
        <w:spacing w:after="80"/>
      </w:pPr>
      <w:r>
        <w:t xml:space="preserve">Aetna's dominant traffic path (hcb_DMZ_security_profile, hcb_GLR_security_profile — ~90% of Aetna's rules) has File Blocking, URL Filtering, and Data Filtering fields entirely ABSENT, not merely alert-only. This is a stronger finding than previously stated.</w:t>
      </w:r>
    </w:p>
    <w:p>
      <w:pPr>
        <w:pStyle w:val="ListParagraph"/>
        <w:numPr>
          <w:ilvl w:val="0"/>
          <w:numId w:val="1"/>
        </w:numPr>
        <w:spacing w:after="80"/>
      </w:pPr>
      <w:r>
        <w:t xml:space="preserve">Zscaler (client-device coverage, both heritages) has a materially more sophisticated posture than either PA or Skyhigh — named-application AI governance (90 apps, weekly updated) plus browser isolation as a third enforcement path beyond allow/block. Neither capability has a direct NGFW equivalent; substitution requires an explicit per-AI-tier decision (block / allow-with-DLP / dedicated isolation product), not a configuration change.</w:t>
      </w:r>
    </w:p>
    <w:p>
      <w:pPr>
        <w:pStyle w:val="ListParagraph"/>
        <w:numPr>
          <w:ilvl w:val="0"/>
          <w:numId w:val="1"/>
        </w:numPr>
        <w:spacing w:after="80"/>
      </w:pPr>
      <w:r>
        <w:t xml:space="preserve">Zscaler's default TLS inspection is also "Do Not Inspect," with named bypasses for GCP/AWS/Azure/retail — the identical structural pattern found on both Skyhigh proxies and the PA estate. This is now confirmed as a cross-platform pattern, not a PA-specific finding.</w:t>
      </w:r>
    </w:p>
    <w:p>
      <w:pPr>
        <w:pStyle w:val="ListParagraph"/>
        <w:numPr>
          <w:ilvl w:val="0"/>
          <w:numId w:val="1"/>
        </w:numPr>
        <w:spacing w:after="80"/>
      </w:pPr>
      <w:r>
        <w:t xml:space="preserve">136 Zscaler rules are present but disabled, including DNS-security and malicious-IP rules — an unverified-intentionality gap of the same kind found in the PA estate's dormant/mislabeled objects.</w:t>
      </w:r>
    </w:p>
    <w:p>
      <w:pPr>
        <w:pStyle w:val="ListParagraph"/>
        <w:numPr>
          <w:ilvl w:val="0"/>
          <w:numId w:val="1"/>
        </w:numPr>
        <w:spacing w:after="80"/>
      </w:pPr>
      <w:r>
        <w:t xml:space="preserve">Aetna's Skyhigh proxy actively blocks on certificate-trust violations (self-signed, expired, revoked, untrusted CA). CVS's Skyhigh proxy has the identical blocking rule set built but disabled — monitor-only in practice. This is a real, current gap on the CVS proxy, independent of anything on the PA side.</w:t>
      </w:r>
    </w:p>
    <w:p>
      <w:pPr>
        <w:pStyle w:val="Heading1"/>
        <w:spacing w:after="160" w:before="360"/>
      </w:pPr>
      <w:r>
        <w:t xml:space="preserve">Redirection Layer — What Actually Reaches Each Proxy</w:t>
      </w:r>
    </w:p>
    <w:p>
      <w:pPr>
        <w:spacing w:after="120"/>
      </w:pPr>
      <w:r>
        <w:t xml:space="preserve">This is the layer that precedes decrypt entirely. Neither Skyhigh proxy sees traffic transparently — each depends on a separate redirection mechanism, and traffic that never reaches the mechanism never reaches the proxy, regardless of what the proxy's own policy says. Sources: live Aetna proxy.pac (pac.txt) and the live CVS WCCP ACL/bypass list exports (WCCP-ACL.xlsx, WCCP_Bybass_List-11-8.xlsx).</w:t>
      </w:r>
    </w:p>
    <w:p>
      <w:pPr>
        <w:pStyle w:val="Heading2"/>
        <w:spacing w:after="120" w:before="260"/>
      </w:pPr>
      <w:r>
        <w:t xml:space="preserve">Aetna — proxy.pac (client-side)</w:t>
      </w:r>
    </w:p>
    <w:p>
      <w:pPr>
        <w:pStyle w:val="ListParagraph"/>
        <w:numPr>
          <w:ilvl w:val="0"/>
          <w:numId w:val="1"/>
        </w:numPr>
        <w:spacing w:after="80"/>
      </w:pPr>
      <w:r>
        <w:t xml:space="preserve">Default behavior, confirmed from the file's final rule: everything not explicitly matched is sent to the proxy (PROXY proxy:9119; PROXY proxyf:9119).</w:t>
      </w:r>
    </w:p>
    <w:p>
      <w:pPr>
        <w:pStyle w:val="ListParagraph"/>
        <w:numPr>
          <w:ilvl w:val="0"/>
          <w:numId w:val="1"/>
        </w:numPr>
        <w:spacing w:after="80"/>
      </w:pPr>
      <w:r>
        <w:t xml:space="preserve">Confirmed explicit DIRECT bypasses (never reach the proxy): Outlook/O365 mail (outlook.office365.com, outlook.office.com, autodiscover-s.outlook.com) — correct by design, mail-DLP is a separate control plane, not this function's scope — plus Windows Virtual Desktop (.wvd.microsoft.com), and a large named list of specific IPs/hosts (Coventry — .cvty.com, First Health — .firsthealth.com, and dozens of internal/vendor hosts).</w:t>
      </w:r>
    </w:p>
    <w:p>
      <w:pPr>
        <w:pStyle w:val="ListParagraph"/>
        <w:numPr>
          <w:ilvl w:val="0"/>
          <w:numId w:val="1"/>
        </w:numPr>
        <w:spacing w:after="80"/>
      </w:pPr>
      <w:r>
        <w:t xml:space="preserve">No entry for login.live.com, login.microsoft.com, login.microsoftonline.com, or login.windows.net anywhere in the file — this traffic falls to the default rule and IS sent to the proxy, assuming the client honors this PAC file.</w:t>
      </w:r>
    </w:p>
    <w:p>
      <w:pPr>
        <w:pStyle w:val="ListParagraph"/>
        <w:numPr>
          <w:ilvl w:val="0"/>
          <w:numId w:val="1"/>
        </w:numPr>
        <w:spacing w:after="80"/>
      </w:pPr>
      <w:r>
        <w:t xml:space="preserve">Dependency that does not go away: this entire mechanism requires the client to have received and be honoring this PAC file (GPO/MDM-pushed). A non-compliant, unmanaged, or misconfigured client bypasses all of it and reaches the legacy L3/L4 firewall directly, with no application-layer inspection of any kind.</w:t>
      </w:r>
    </w:p>
    <w:p>
      <w:pPr>
        <w:pStyle w:val="Heading2"/>
        <w:spacing w:after="120" w:before="260"/>
      </w:pPr>
      <w:r>
        <w:t xml:space="preserve">CVS (Shea/RI/AZ/Retail) — WCCP (network-side)</w:t>
      </w:r>
    </w:p>
    <w:p>
      <w:pPr>
        <w:pStyle w:val="ListParagraph"/>
        <w:numPr>
          <w:ilvl w:val="0"/>
          <w:numId w:val="1"/>
        </w:numPr>
        <w:spacing w:after="80"/>
      </w:pPr>
      <w:r>
        <w:t xml:space="preserve">Default behavior, confirmed from the ACL: a broad permit any any rule sits near the end of the 89-line wccp_95 ACL — everything not explicitly excluded ahead of it is redirected to the proxy.</w:t>
      </w:r>
    </w:p>
    <w:p>
      <w:pPr>
        <w:pStyle w:val="ListParagraph"/>
        <w:numPr>
          <w:ilvl w:val="0"/>
          <w:numId w:val="1"/>
        </w:numPr>
        <w:spacing w:after="80"/>
      </w:pPr>
      <w:r>
        <w:t xml:space="preserve">Confirmed explicit exclusions ahead of the default permit: CrowdStrike destinations, VPN Desktop Subnets, the Zscaler tunnel (zscaler_tunnel object-group) and Retail Zscaler App Connectors, plus a long tail of specific partner/vendor IPs.</w:t>
      </w:r>
    </w:p>
    <w:p>
      <w:pPr>
        <w:pStyle w:val="ListParagraph"/>
        <w:numPr>
          <w:ilvl w:val="0"/>
          <w:numId w:val="1"/>
        </w:numPr>
        <w:spacing w:after="80"/>
      </w:pPr>
      <w:r>
        <w:t xml:space="preserve">A separate, larger bypass-list dataset (1,289–1,338 entries across 59 named groups) breaks down into three categories: generic technical exclusions (wccp-exclude-src-https, rfc1918 private space — the majority of entries by volume), named vendor/SaaS bypasses (O365, BING.com, webex.com, FEDEX.com, salesforce.com, worldpay-api, Pitney-Bowes, eGain, Novologix, AWS-ESL), and a long tail of ticket-numbered ad hoc exclusions (PBM18286, PBM18511, PBM18516, PBM18981, PBM19752, PBM19885, PBM20002, PBM20543, and numbered src-/dest- objects) — the same change-ticket-driven exception sprawl pattern already documented in the PA internal DMZ (Tufin/RITM-named rules).</w:t>
      </w:r>
    </w:p>
    <w:p>
      <w:pPr>
        <w:pStyle w:val="ListParagraph"/>
        <w:numPr>
          <w:ilvl w:val="0"/>
          <w:numId w:val="1"/>
        </w:numPr>
        <w:spacing w:after="80"/>
      </w:pPr>
      <w:r>
        <w:rPr>
          <w:b/>
          <w:bCs/>
        </w:rPr>
        <w:t xml:space="preserve">Real, unresolved finding: the named "O365" bypass group contains 15 Microsoft-owned IP ranges (40.96.0.0/13, 52.96.0.0/14, 132.245.0.0/16, 104.47.0.0/17, and others) excluded from WCCP redirection entirely. Whether login.microsoftonline.com resolves into any of these ranges is not confirmed — Microsoft's published O365 IP ranges have historically not cleanly separated authentication infrastructure from mail/collaboration services. If it does, CVS-side Tenant Restriction traffic never reaches the proxy at all, a full layer earlier than the proxy's own opt-in decrypt policy. Recommended verification: resolve login.microsoftonline.com live and diff against these 15 CIDR blocks — a five-minute check, not yet performed.</w:t>
      </w:r>
    </w:p>
    <w:p>
      <w:pPr>
        <w:pStyle w:val="ListParagraph"/>
        <w:numPr>
          <w:ilvl w:val="0"/>
          <w:numId w:val="1"/>
        </w:numPr>
        <w:spacing w:after="80"/>
      </w:pPr>
      <w:r>
        <w:t xml:space="preserve">Resolves an open ambiguity from the parity plan: "AZ" is confirmed as Arizona/Phoenix (a physical site, listed as "Phoenix DC" in the Proxy Egress Address Space data), not Azure — Shea, Retail, Store, Middletown, Windsor, and Phoenix DC each have their own distinct public egress IP ranges.</w:t>
      </w:r>
    </w:p>
    <w:p>
      <w:pPr>
        <w:pStyle w:val="Heading2"/>
        <w:spacing w:after="120" w:before="260"/>
      </w:pPr>
      <w:r>
        <w:t xml:space="preserve">Net Position — Redirection Layer</w:t>
      </w:r>
    </w:p>
    <w:p>
      <w:pPr>
        <w:spacing w:after="120"/>
      </w:pPr>
      <w:r>
        <w:rPr>
          <w:b/>
          <w:bCs/>
        </w:rPr>
        <w:t xml:space="preserve">Both mechanisms share the same structural shape: broad default-to-proxy behavior, with specific named and ad hoc exclusions layered on top. Neither is transparent interception — both are cooperative (PAC) or topological-but-still-rule-dependent (WCCP) mechanisms that can be bypassed by traffic outside their configured scope, independent of anything the proxy's own SSL/content policy says. This is the layer that has to be checked first, before decrypt, before header-insertion — a control can be perfectly built at every downstream layer and still never see the traffic if redirection excludes it upstream.</w:t>
      </w:r>
    </w:p>
    <w:p>
      <w:pPr>
        <w:pStyle w:val="Heading1"/>
        <w:spacing w:after="160" w:before="360"/>
      </w:pPr>
      <w:r>
        <w:t xml:space="preserve">PAN-DB Content Categories — Full List by Layer (AZ/RI/LV, PPOM/LV-Colo Profiles)</w:t>
      </w:r>
    </w:p>
    <w:p>
      <w:pPr>
        <w:spacing w:after="120"/>
      </w:pPr>
      <w:r>
        <w:t xml:space="preserve">Category-level summaries elsewhere in this document (e.g., "BLOCK — 36-44 categories") collapse three genuinely separate mechanisms into one number. This section lists what's actually in each, and where the same category does more than one job.</w:t>
      </w:r>
    </w:p>
    <w:p>
      <w:pPr>
        <w:pStyle w:val="Heading2"/>
        <w:spacing w:after="120" w:before="260"/>
      </w:pPr>
      <w:r>
        <w:t xml:space="preserve">Layer 2 — Decryption Policy: categories that trigger decrypt</w:t>
      </w:r>
    </w:p>
    <w:p>
      <w:pPr>
        <w:spacing w:after="120"/>
      </w:pPr>
      <w:r>
        <w:t xml:space="preserve">ALL-TO-INTERNET-DECRYPT-DENIED-CATEGORIES (RI/AZ, last rule, action = decrypt) — 38 PAN-DB categories plus 2 custom objects:</w:t>
      </w:r>
    </w:p>
    <w:p>
      <w:pPr>
        <w:spacing w:after="120"/>
      </w:pPr>
      <w:r>
        <w:rPr>
          <w:i/>
          <w:iCs/>
          <w:sz w:val="19"/>
          <w:szCs w:val="19"/>
        </w:rPr>
        <w:t xml:space="preserve">abortion, abused-drugs, adult, alcohol-and-tobacco, browser-runtime-attack, command-and-control, compromised-website, copyright-infringement, dating, dynamic-dns, encrypted-dns, extremism, file-converter, gambling, games, grayware, hacking, insufficient-content, internet-communications-and-telephony, malware, marijuana, not-resolved, nudity, online-storage-and-backup, parked, peer-to-peer, phishing, proxy-avoidance-and-anonymizers, questionable, ransomware, remote-access, scanning-activity, sex-education, shareware-and-freeware, social-networking, streaming-media, swimsuits-and-intimate-apparel, weapons, web-based-email — plus custom objects Proxy-Zscaler-Blacklist and SOC-Deny-List-Domain.</w:t>
      </w:r>
    </w:p>
    <w:p>
      <w:pPr>
        <w:spacing w:after="120"/>
      </w:pPr>
      <w:r>
        <w:t xml:space="preserve">LAN-TO-INTERNET-DECRYPT-ALLOWED-CATEGORIES (Aetna only, no AZ/RI equivalent) — 9 categories:</w:t>
      </w:r>
    </w:p>
    <w:p>
      <w:pPr>
        <w:spacing w:after="120"/>
      </w:pPr>
      <w:r>
        <w:rPr>
          <w:i/>
          <w:iCs/>
          <w:sz w:val="19"/>
          <w:szCs w:val="19"/>
        </w:rPr>
        <w:t xml:space="preserve">content-delivery-networks, internet-communications-and-telephony, online-storage-and-backup, personal-sites-and-blogs, recreation-and-hobbies, search-engines, social-networking, translation, Youtube.</w:t>
      </w:r>
    </w:p>
    <w:p>
      <w:pPr>
        <w:pStyle w:val="Heading2"/>
        <w:spacing w:after="120" w:before="260"/>
      </w:pPr>
      <w:r>
        <w:t xml:space="preserve">Layer 3 — URL Filtering: categories that actually block</w:t>
      </w:r>
    </w:p>
    <w:p>
      <w:pPr>
        <w:spacing w:after="120"/>
      </w:pPr>
      <w:r>
        <w:t xml:space="preserve">URL-Filtering-PPOM-All block field (confirmed live) — 42 PAN-DB categories plus 1 custom object:</w:t>
      </w:r>
    </w:p>
    <w:p>
      <w:pPr>
        <w:spacing w:after="120"/>
      </w:pPr>
      <w:r>
        <w:rPr>
          <w:i/>
          <w:iCs/>
          <w:sz w:val="19"/>
          <w:szCs w:val="19"/>
        </w:rPr>
        <w:t xml:space="preserve">abused-drugs, adult, alcohol-and-tobacco, auctions, browser-runtime-attack, business-and-economy, command-and-control, compromised-website, dating, dynamic-dns, encrypted-dns, extremism, file-converter, gambling, games, grayware, hacking, insufficient-content, internet-communications-and-telephony, malware, marijuana, not-resolved, nudity, online-storage-and-backup, parked, peer-to-peer, personal-sites-and-blogs, philosophy-and-political-advocacy, phishing, proxy-avoidance-and-anonymizers, questionable, ransomware, reference-and-research, remote-access, scanning-activity, sex-education, shareware-and-freeware, social-networking, streaming-media, swimsuits-and-intimate-apparel, unknown, weapons, web-based-email — plus custom object Proxy-Zscaler-Blacklist.</w:t>
      </w:r>
    </w:p>
    <w:p>
      <w:pPr>
        <w:spacing w:after="120"/>
      </w:pPr>
      <w:r>
        <w:rPr>
          <w:i/>
          <w:iCs/>
          <w:sz w:val="19"/>
          <w:szCs w:val="19"/>
        </w:rPr>
        <w:t xml:space="preserve">Same profile's alert-only categories (everything not on the block list, ~89 categories total in the profile) — includes every AI-* category (AI-code-assistant, AI-conversational-assistant, AI-data-and-workflow-optimizer, AI-media-service, AI-meeting-assistant, AI-platform-service, AI-website-generator, AI-writing-assistant, artificial-intelligence), plus financial-services, government, health-and-medicine, high/medium/low-risk, military, news, religion, shopping, sports, travel, and named exceptions (Outlook, BoxAccess, Cisco Webex, GitHub, Windows Update, Zoom, youtube.com).</w:t>
      </w:r>
    </w:p>
    <w:p>
      <w:pPr>
        <w:pStyle w:val="Heading2"/>
        <w:spacing w:after="120" w:before="260"/>
      </w:pPr>
      <w:r>
        <w:t xml:space="preserve">Overlap — Same Category, Multiple Layers</w:t>
      </w:r>
    </w:p>
    <w:p>
      <w:pPr>
        <w:spacing w:after="120"/>
      </w:pPr>
      <w:r>
        <w:rPr>
          <w:b/>
          <w:bCs/>
        </w:rPr>
        <w:t xml:space="preserve">The following categories appear in both the decrypt-trigger list and the URL-filtering block list: online-storage-and-backup, web-based-email, social-networking, gambling, malware, phishing, ransomware, hacking (and most of the other denied-category entries — the two lists are near-identical in content, differing mainly in the custom objects attached). This overlap is not necessarily a problem — a category can legitimately need both decrypt-for-visibility and block-once-visible — but it has not been confirmed as deliberate, coordinated design versus three independently-built lists that happen to overlap. Worth a direct confirmation with whoever owns each of these three layers before treating the overlap as intentional.</w:t>
      </w:r>
    </w:p>
    <w:p>
      <w:pPr>
        <w:pStyle w:val="Heading1"/>
        <w:spacing w:after="160" w:before="360"/>
      </w:pPr>
      <w:r>
        <w:t xml:space="preserve">Aetna Proxy Architecture — Confirmed From Traffic Workflow Diagram</w:t>
      </w:r>
    </w:p>
    <w:p>
      <w:pPr>
        <w:spacing w:after="120"/>
      </w:pPr>
      <w:r>
        <w:t xml:space="preserve">New source this section: Aetna Proxy Traffic Workflow (high-level architecture diagram). Confirms several mechanisms only partially inferred from config data previously.</w:t>
      </w:r>
    </w:p>
    <w:p>
      <w:pPr>
        <w:pStyle w:val="ListParagraph"/>
        <w:numPr>
          <w:ilvl w:val="0"/>
          <w:numId w:val="1"/>
        </w:numPr>
        <w:spacing w:after="80"/>
      </w:pPr>
      <w:r>
        <w:t xml:space="preserve">DLP inspection is scoped specifically to POST/PUT requests (step 7 of the documented workflow) — not general web traffic, not GET/download traffic. This confirms, from an independent source, what the config's data-filtering direction field (c2s) already implied: Aetna's DLP only ever inspects outbound data submission, never inbound/download traffic. Architecturally correct for DLP's actual purpose (catching data leaving the org), but worth stating precisely — "DLP scans web traffic" is not an accurate summary; "DLP scans outbound uploads and form submissions specifically" is.</w:t>
      </w:r>
    </w:p>
    <w:p>
      <w:pPr>
        <w:pStyle w:val="ListParagraph"/>
        <w:numPr>
          <w:ilvl w:val="0"/>
          <w:numId w:val="1"/>
        </w:numPr>
        <w:spacing w:after="80"/>
      </w:pPr>
      <w:r>
        <w:t xml:space="preserve">Proxy authentication is real and identity-tied, not anonymous or purely IP-based. Every client authenticates to Aetna's Domain Controllers via NTLM, transparently (no user-visible prompt), before the proxy serves any request. This is a materially stronger access-control primitive than most of what's found on the Palo Alto side, where matching is almost entirely IP/subnet-based — source-user (AD-group) matching was confirmed exactly once across the whole PA estate, on NAB's own egress rule.</w:t>
      </w:r>
    </w:p>
    <w:p>
      <w:pPr>
        <w:pStyle w:val="ListParagraph"/>
        <w:numPr>
          <w:ilvl w:val="0"/>
          <w:numId w:val="1"/>
        </w:numPr>
        <w:spacing w:after="80"/>
      </w:pPr>
      <w:r>
        <w:t xml:space="preserve">DLP is architecturally a distinct, separate service the proxy calls out to (its own labeled component in the workflow), not a native proxy engine feature. This is worth reconciling against an earlier finding from the Skyhigh SSL Decryption Findings report: Aetna's ICAP hooks to Symantec were confirmed pointing at empty server lists (a broken AV integration). Whether this diagram's DLP callout is the same broken mechanism or a separate, genuinely working integration has not been resolved — do not assume either way without checking the DLP server's actual operational status directly.</w:t>
      </w:r>
    </w:p>
    <w:p>
      <w:pPr>
        <w:pStyle w:val="ListParagraph"/>
        <w:numPr>
          <w:ilvl w:val="0"/>
          <w:numId w:val="1"/>
        </w:numPr>
        <w:spacing w:after="80"/>
      </w:pPr>
      <w:r>
        <w:t xml:space="preserve">Pac.aetna.com and Proxy.aetna.com are both F5 GTM-load-balanced across Windsor and Middletown for fault tolerance — consistent with the redundant mid-fw-proxy-1/2 and win-fw-proxy-1/2 firewall pairs named in the diagram.</w:t>
      </w:r>
    </w:p>
    <w:p>
      <w:pPr>
        <w:pStyle w:val="ListParagraph"/>
        <w:numPr>
          <w:ilvl w:val="0"/>
          <w:numId w:val="1"/>
        </w:numPr>
        <w:spacing w:after="80"/>
      </w:pPr>
      <w:r>
        <w:t xml:space="preserve">Proxy logs feed into NiFi (a real dataflow pipeline, not simple local logging) — and a dedicated Security Feed Server provides the allow/block website list to the proxy. This is very likely the actual serving mechanism behind SOCDenyList and DenyListProd, both already confirmed live and fetch-verified elsewhere in this document — this diagram shows where that content is generated and served from, not just that it exists.</w:t>
      </w:r>
    </w:p>
    <w:p>
      <w:pPr>
        <w:pStyle w:val="Heading1"/>
        <w:spacing w:after="160" w:before="360"/>
      </w:pPr>
      <w:r>
        <w:t xml:space="preserve">File Inspection Requirements — Reconciled Against All Known Sources</w:t>
      </w:r>
    </w:p>
    <w:p>
      <w:pPr>
        <w:spacing w:after="120"/>
      </w:pPr>
      <w:r>
        <w:rPr>
          <w:b/>
          <w:bCs/>
        </w:rPr>
        <w:t xml:space="preserve">Scope correction, stated first because it changes what "complete DLP coverage" means: mail was never in scope for this function. Mail-based file egress (Outlook attachments) is covered by a separate mail-DLP control plane (Exchange Online Protection / M365's own policies), not by the web proxy or the firewall. The Outlook/O365-mail exclusions found at every layer this session (PA decrypt, Aetna PAC, Skyhigh SSL bypass, CVS WCCP) are correct architecture, not a gap — this function was never meant to inspect that channel.</w:t>
      </w:r>
    </w:p>
    <w:p>
      <w:pPr>
        <w:spacing w:after="120"/>
      </w:pPr>
      <w:r>
        <w:rPr>
          <w:b/>
          <w:bCs/>
        </w:rPr>
        <w:t xml:space="preserve">The correctly-scoped requirement is web/proxy-based file egress — uploads to websites, cloud storage, and SaaS platforms. The concrete example already confirmed in-scope: SharePoint/OneDrive traffic is NOT on Aetna's PAC bypass list (only Outlook mail hosts are), reaches the Skyhigh proxy under its opt-out/decrypt-by-default posture, and has explicit DLP watchlist coverage (CVS Health Sharepoint URLs, ApprovedCloudStorage). This is the correct parity target for the 7-pattern PA build — not O365 broadly, and not mail at all.</w:t>
      </w:r>
    </w:p>
    <w:p>
      <w:pPr>
        <w:spacing w:after="120"/>
      </w:pPr>
      <w:r>
        <w:rPr>
          <w:i/>
          <w:iCs/>
          <w:color w:val="5B6169"/>
          <w:sz w:val="19"/>
          <w:szCs w:val="19"/>
        </w:rPr>
        <w:t xml:space="preserve">Open question that remains genuinely unresolved, now correctly scoped: whether CVS's WCCP-level "O365" bypass (15 Microsoft IP ranges, not domain names) is as surgical as Aetna's PAC (which excludes mail hosts specifically) or is broader and also excludes SharePoint/OneDrive traffic from ever reaching the CVS-side proxy or, eventually, the PA decrypt scope. This is the one remaining verification step for file-inspection parity — not a general "is O365 decrypted" question, which was the wrong frame.</w:t>
      </w:r>
    </w:p>
    <w:p>
      <w:pPr>
        <w:spacing w:after="120"/>
      </w:pPr>
      <w:r>
        <w:t xml:space="preserve">Three separate pattern-development threads exist across the material reviewed. This section reconciles them against the original 7-pattern ask (SSN, PCI, Driver's License, Member ID, MBI, SSN-Masked, HICN) rather than treating each source in isolation.</w:t>
      </w:r>
    </w:p>
    <w:p>
      <w:pPr>
        <w:pStyle w:val="ListParagraph"/>
        <w:numPr>
          <w:ilvl w:val="0"/>
          <w:numId w:val="1"/>
        </w:numPr>
        <w:spacing w:after="80"/>
      </w:pPr>
      <w:r>
        <w:t xml:space="preserve">Thread 1 — the 7-pattern coverage workbook (PA_File_Data_Filtering_Coverage.xlsx): the original ask this document tracks against.</w:t>
      </w:r>
    </w:p>
    <w:p>
      <w:pPr>
        <w:pStyle w:val="ListParagraph"/>
        <w:numPr>
          <w:ilvl w:val="0"/>
          <w:numId w:val="1"/>
        </w:numPr>
        <w:spacing w:after="80"/>
      </w:pPr>
      <w:r>
        <w:t xml:space="preserve">Thread 2 — NAB's live 28-pattern Data Filtering profile (CVS/AZ/RI/LV side): 22 financial/PII patterns + 6 healthcare patterns (CLIA, DEA, Health-Generic, ICD9, ICD10, NPI), alert-only, already wired to production traffic.</w:t>
      </w:r>
    </w:p>
    <w:p>
      <w:pPr>
        <w:pStyle w:val="ListParagraph"/>
        <w:numPr>
          <w:ilvl w:val="0"/>
          <w:numId w:val="1"/>
        </w:numPr>
        <w:spacing w:after="80"/>
      </w:pPr>
      <w:r>
        <w:t xml:space="preserve">Thread 3 — Aetna-side staged Data Filtering objects (AET-DataFilter-STAGED), built this engagement, not yet live: SSN/Credit Card (native PAN-OS predefined patterns), Member ID/Long Member ID (custom regex ported from SK), US Driver's License (51 custom regex patterns, all states + DC).</w:t>
      </w:r>
    </w:p>
    <w:p>
      <w:pPr>
        <w:pStyle w:val="Heading2"/>
        <w:spacing w:after="120" w:before="260"/>
      </w:pPr>
      <w:r>
        <w:t xml:space="preserve">Ground Truth: What Skyhigh Actually Enforces Live Today (Aetna)</w:t>
      </w:r>
    </w:p>
    <w:p>
      <w:pPr>
        <w:spacing w:after="120"/>
      </w:pPr>
      <w:r>
        <w:t xml:space="preserve">This is the parity target — what the PA migration needs to match or exceed, not a wishlist: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800"/>
      </w:tblGrid>
      <w:tr>
        <w:trPr>
          <w:tblHeader/>
        </w:trPr>
        <w:tc>
          <w:tcPr>
            <w:tcW w:type="dxa" w:w="2600"/>
            <w:shd w:fill="8C1D18" w:val="clear"/>
            <w:tcMar>
              <w:top w:type="dxa" w:w="80"/>
              <w:left w:type="dxa" w:w="100"/>
              <w:bottom w:type="dxa" w:w="80"/>
              <w:right w:type="dxa" w:w="100"/>
            </w:tcMar>
          </w:tcPr>
          <w:p>
            <w:pPr>
              <w:jc w:val="left"/>
            </w:pPr>
            <w:r>
              <w:rPr>
                <w:b/>
                <w:bCs/>
                <w:color w:val="FFFFFF"/>
                <w:sz w:val="16"/>
                <w:szCs w:val="16"/>
              </w:rPr>
              <w:t xml:space="preserve">Category</w:t>
            </w:r>
          </w:p>
        </w:tc>
        <w:tc>
          <w:tcPr>
            <w:tcW w:type="dxa" w:w="5200"/>
            <w:shd w:fill="8C1D18" w:val="clear"/>
            <w:tcMar>
              <w:top w:type="dxa" w:w="80"/>
              <w:left w:type="dxa" w:w="100"/>
              <w:bottom w:type="dxa" w:w="80"/>
              <w:right w:type="dxa" w:w="100"/>
            </w:tcMar>
          </w:tcPr>
          <w:p>
            <w:pPr>
              <w:jc w:val="left"/>
            </w:pPr>
            <w:r>
              <w:rPr>
                <w:b/>
                <w:bCs/>
                <w:color w:val="FFFFFF"/>
                <w:sz w:val="16"/>
                <w:szCs w:val="16"/>
              </w:rPr>
              <w:t xml:space="preserve">SK Detection Method</w:t>
            </w:r>
          </w:p>
        </w:tc>
        <w:tc>
          <w:tcPr>
            <w:tcW w:type="dxa" w:w="2800"/>
            <w:shd w:fill="8C1D18" w:val="clear"/>
            <w:tcMar>
              <w:top w:type="dxa" w:w="80"/>
              <w:left w:type="dxa" w:w="100"/>
              <w:bottom w:type="dxa" w:w="80"/>
              <w:right w:type="dxa" w:w="100"/>
            </w:tcMar>
          </w:tcPr>
          <w:p>
            <w:pPr>
              <w:jc w:val="left"/>
            </w:pPr>
            <w:r>
              <w:rPr>
                <w:b/>
                <w:bCs/>
                <w:color w:val="FFFFFF"/>
                <w:sz w:val="16"/>
                <w:szCs w:val="16"/>
              </w:rPr>
              <w:t xml:space="preserve">Enforced Live on SK?</w:t>
            </w:r>
          </w:p>
        </w:tc>
      </w:tr>
      <w:tr>
        <w:tc>
          <w:tcPr>
            <w:tcW w:type="dxa" w:w="2600"/>
            <w:tcMar>
              <w:top w:type="dxa" w:w="80"/>
              <w:left w:type="dxa" w:w="100"/>
              <w:bottom w:type="dxa" w:w="80"/>
              <w:right w:type="dxa" w:w="100"/>
            </w:tcMar>
          </w:tcPr>
          <w:p>
            <w:pPr>
              <w:jc w:val="left"/>
            </w:pPr>
            <w:r>
              <w:rPr>
                <w:b w:val="false"/>
                <w:bCs w:val="false"/>
                <w:sz w:val="16"/>
                <w:szCs w:val="16"/>
              </w:rPr>
              <w:t xml:space="preserve">SSN</w:t>
            </w:r>
          </w:p>
        </w:tc>
        <w:tc>
          <w:tcPr>
            <w:tcW w:type="dxa" w:w="5200"/>
            <w:tcMar>
              <w:top w:type="dxa" w:w="80"/>
              <w:left w:type="dxa" w:w="100"/>
              <w:bottom w:type="dxa" w:w="80"/>
              <w:right w:type="dxa" w:w="100"/>
            </w:tcMar>
          </w:tcPr>
          <w:p>
            <w:pPr>
              <w:jc w:val="left"/>
            </w:pPr>
            <w:r>
              <w:rPr>
                <w:b w:val="false"/>
                <w:bCs w:val="false"/>
                <w:sz w:val="16"/>
                <w:szCs w:val="16"/>
              </w:rPr>
              <w:t xml:space="preserve">Vendor SSA-check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PCI / Payment Card</w:t>
            </w:r>
          </w:p>
        </w:tc>
        <w:tc>
          <w:tcPr>
            <w:tcW w:type="dxa" w:w="5200"/>
            <w:tcMar>
              <w:top w:type="dxa" w:w="80"/>
              <w:left w:type="dxa" w:w="100"/>
              <w:bottom w:type="dxa" w:w="80"/>
              <w:right w:type="dxa" w:w="100"/>
            </w:tcMar>
          </w:tcPr>
          <w:p>
            <w:pPr>
              <w:jc w:val="left"/>
            </w:pPr>
            <w:r>
              <w:rPr>
                <w:b w:val="false"/>
                <w:bCs w:val="false"/>
                <w:sz w:val="16"/>
                <w:szCs w:val="16"/>
              </w:rPr>
              <w:t xml:space="preserve">Vendor Luhn-check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Masked SSN</w:t>
            </w:r>
          </w:p>
        </w:tc>
        <w:tc>
          <w:tcPr>
            <w:tcW w:type="dxa" w:w="5200"/>
            <w:tcMar>
              <w:top w:type="dxa" w:w="80"/>
              <w:left w:type="dxa" w:w="100"/>
              <w:bottom w:type="dxa" w:w="80"/>
              <w:right w:type="dxa" w:w="100"/>
            </w:tcMar>
          </w:tcPr>
          <w:p>
            <w:pPr>
              <w:jc w:val="left"/>
            </w:pPr>
            <w:r>
              <w:rPr>
                <w:b w:val="false"/>
                <w:bCs w:val="false"/>
                <w:sz w:val="16"/>
                <w:szCs w:val="16"/>
              </w:rPr>
              <w:t xml:space="preserve">Regex: [*]{3}-[*]{2}-\d{4}</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HICN</w:t>
            </w:r>
          </w:p>
        </w:tc>
        <w:tc>
          <w:tcPr>
            <w:tcW w:type="dxa" w:w="5200"/>
            <w:tcMar>
              <w:top w:type="dxa" w:w="80"/>
              <w:left w:type="dxa" w:w="100"/>
              <w:bottom w:type="dxa" w:w="80"/>
              <w:right w:type="dxa" w:w="100"/>
            </w:tcMar>
          </w:tcPr>
          <w:p>
            <w:pPr>
              <w:jc w:val="left"/>
            </w:pPr>
            <w:r>
              <w:rPr>
                <w:b w:val="false"/>
                <w:bCs w:val="false"/>
                <w:sz w:val="16"/>
                <w:szCs w:val="16"/>
              </w:rPr>
              <w:t xml:space="preserve">Regex + required keyword match</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Member ID</w:t>
            </w:r>
          </w:p>
        </w:tc>
        <w:tc>
          <w:tcPr>
            <w:tcW w:type="dxa" w:w="5200"/>
            <w:tcMar>
              <w:top w:type="dxa" w:w="80"/>
              <w:left w:type="dxa" w:w="100"/>
              <w:bottom w:type="dxa" w:w="80"/>
              <w:right w:type="dxa" w:w="100"/>
            </w:tcMar>
          </w:tcPr>
          <w:p>
            <w:pPr>
              <w:jc w:val="left"/>
            </w:pPr>
            <w:r>
              <w:rPr>
                <w:b w:val="false"/>
                <w:bCs w:val="false"/>
                <w:sz w:val="16"/>
                <w:szCs w:val="16"/>
              </w:rPr>
              <w:t xml:space="preserve">Regex: [Ww]\d{9}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 does not block</w:t>
            </w:r>
          </w:p>
        </w:tc>
      </w:tr>
      <w:tr>
        <w:tc>
          <w:tcPr>
            <w:tcW w:type="dxa" w:w="2600"/>
            <w:tcMar>
              <w:top w:type="dxa" w:w="80"/>
              <w:left w:type="dxa" w:w="100"/>
              <w:bottom w:type="dxa" w:w="80"/>
              <w:right w:type="dxa" w:w="100"/>
            </w:tcMar>
          </w:tcPr>
          <w:p>
            <w:pPr>
              <w:jc w:val="left"/>
            </w:pPr>
            <w:r>
              <w:rPr>
                <w:b w:val="false"/>
                <w:bCs w:val="false"/>
                <w:sz w:val="16"/>
                <w:szCs w:val="16"/>
              </w:rPr>
              <w:t xml:space="preserve">Long Member ID</w:t>
            </w:r>
          </w:p>
        </w:tc>
        <w:tc>
          <w:tcPr>
            <w:tcW w:type="dxa" w:w="5200"/>
            <w:tcMar>
              <w:top w:type="dxa" w:w="80"/>
              <w:left w:type="dxa" w:w="100"/>
              <w:bottom w:type="dxa" w:w="80"/>
              <w:right w:type="dxa" w:w="100"/>
            </w:tcMar>
          </w:tcPr>
          <w:p>
            <w:pPr>
              <w:jc w:val="left"/>
            </w:pPr>
            <w:r>
              <w:rPr>
                <w:b w:val="false"/>
                <w:bCs w:val="false"/>
                <w:sz w:val="16"/>
                <w:szCs w:val="16"/>
              </w:rPr>
              <w:t xml:space="preserve">Regex: [Ww]0{1,4}\d{9}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GEMS ID</w:t>
            </w:r>
          </w:p>
        </w:tc>
        <w:tc>
          <w:tcPr>
            <w:tcW w:type="dxa" w:w="5200"/>
            <w:tcMar>
              <w:top w:type="dxa" w:w="80"/>
              <w:left w:type="dxa" w:w="100"/>
              <w:bottom w:type="dxa" w:w="80"/>
              <w:right w:type="dxa" w:w="100"/>
            </w:tcMar>
          </w:tcPr>
          <w:p>
            <w:pPr>
              <w:jc w:val="left"/>
            </w:pPr>
            <w:r>
              <w:rPr>
                <w:b w:val="false"/>
                <w:bCs w:val="false"/>
                <w:sz w:val="16"/>
                <w:szCs w:val="16"/>
              </w:rPr>
              <w:t xml:space="preserve">Regex: [Gg]0\d{9}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Dependent ID</w:t>
            </w:r>
          </w:p>
        </w:tc>
        <w:tc>
          <w:tcPr>
            <w:tcW w:type="dxa" w:w="5200"/>
            <w:tcMar>
              <w:top w:type="dxa" w:w="80"/>
              <w:left w:type="dxa" w:w="100"/>
              <w:bottom w:type="dxa" w:w="80"/>
              <w:right w:type="dxa" w:w="100"/>
            </w:tcMar>
          </w:tcPr>
          <w:p>
            <w:pPr>
              <w:jc w:val="left"/>
            </w:pPr>
            <w:r>
              <w:rPr>
                <w:b w:val="false"/>
                <w:bCs w:val="false"/>
                <w:sz w:val="16"/>
                <w:szCs w:val="16"/>
              </w:rPr>
              <w:t xml:space="preserve">Regex: [Ww]\d{11} (shares Member ID exclusion list)</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bl>
    <w:p>
      <w:pPr>
        <w:spacing w:after="120"/>
      </w:pPr>
      <w:r>
        <w:rPr>
          <w:b/>
          <w:bCs/>
        </w:rPr>
        <w:t xml:space="preserve">Critical precision gap, stated plainly: SK validates SSN and PCI with vendor checksum classifiers (SSA algorithm, Luhn algorithm) — these confirm the number is structurally valid, not just correctly formatted. Palo Alto's native predefined patterns for the same two categories are regex/format-matching only, with no checksum validation of any kind. Migrating these two patterns to PA as currently built will increase false-positive rate relative to what SK delivers today — this is a real fidelity loss, not a like-for-like swap, unless a checksum-capable Advanced DLP capability is used instead.</w:t>
      </w:r>
    </w:p>
    <w:p>
      <w:pPr>
        <w:pStyle w:val="Heading2"/>
        <w:spacing w:after="120" w:before="260"/>
      </w:pPr>
      <w:r>
        <w:t xml:space="preserve">Reconciled Status — All 7 Original Patterns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400"/>
        <w:gridCol w:w="2500"/>
      </w:tblGrid>
      <w:tr>
        <w:trPr>
          <w:tblHeader/>
        </w:trPr>
        <w:tc>
          <w:tcPr>
            <w:tcW w:type="dxa" w:w="1900"/>
            <w:shd w:fill="8C1D18" w:val="clear"/>
            <w:tcMar>
              <w:top w:type="dxa" w:w="80"/>
              <w:left w:type="dxa" w:w="100"/>
              <w:bottom w:type="dxa" w:w="80"/>
              <w:right w:type="dxa" w:w="100"/>
            </w:tcMar>
          </w:tcPr>
          <w:p>
            <w:pPr>
              <w:jc w:val="left"/>
            </w:pPr>
            <w:r>
              <w:rPr>
                <w:b/>
                <w:bCs/>
                <w:color w:val="FFFFFF"/>
                <w:sz w:val="16"/>
                <w:szCs w:val="16"/>
              </w:rPr>
              <w:t xml:space="preserve">Pattern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SK Live Status (Aetna)</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Live Status (NAB, CVS side)</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Staged Status (Aetna side)</w:t>
            </w:r>
          </w:p>
        </w:tc>
        <w:tc>
          <w:tcPr>
            <w:tcW w:type="dxa" w:w="2500"/>
            <w:shd w:fill="8C1D18" w:val="clear"/>
            <w:tcMar>
              <w:top w:type="dxa" w:w="80"/>
              <w:left w:type="dxa" w:w="100"/>
              <w:bottom w:type="dxa" w:w="80"/>
              <w:right w:type="dxa" w:w="100"/>
            </w:tcMar>
          </w:tcPr>
          <w:p>
            <w:pPr>
              <w:jc w:val="left"/>
            </w:pPr>
            <w:r>
              <w:rPr>
                <w:b/>
                <w:bCs/>
                <w:color w:val="FFFFFF"/>
                <w:sz w:val="16"/>
                <w:szCs w:val="16"/>
              </w:rPr>
              <w:t xml:space="preserve">Net Gap</w:t>
            </w:r>
          </w:p>
        </w:tc>
      </w:tr>
      <w:tr>
        <w:tc>
          <w:tcPr>
            <w:tcW w:type="dxa" w:w="1900"/>
            <w:tcMar>
              <w:top w:type="dxa" w:w="80"/>
              <w:left w:type="dxa" w:w="100"/>
              <w:bottom w:type="dxa" w:w="80"/>
              <w:right w:type="dxa" w:w="100"/>
            </w:tcMar>
          </w:tcPr>
          <w:p>
            <w:pPr>
              <w:jc w:val="left"/>
            </w:pPr>
            <w:r>
              <w:rPr>
                <w:b w:val="false"/>
                <w:bCs w:val="false"/>
                <w:sz w:val="16"/>
                <w:szCs w:val="16"/>
              </w:rPr>
              <w:t xml:space="preserve">SSN</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alert-only, predefined pattern,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PA has no live SSN enforcement on Aetna; CVS-side is alert-only and lower-fidelity than SK</w:t>
            </w:r>
          </w:p>
        </w:tc>
      </w:tr>
      <w:tr>
        <w:tc>
          <w:tcPr>
            <w:tcW w:type="dxa" w:w="1900"/>
            <w:tcMar>
              <w:top w:type="dxa" w:w="80"/>
              <w:left w:type="dxa" w:w="100"/>
              <w:bottom w:type="dxa" w:w="80"/>
              <w:right w:type="dxa" w:w="100"/>
            </w:tcMar>
          </w:tcPr>
          <w:p>
            <w:pPr>
              <w:jc w:val="left"/>
            </w:pPr>
            <w:r>
              <w:rPr>
                <w:b w:val="false"/>
                <w:bCs w:val="false"/>
                <w:sz w:val="16"/>
                <w:szCs w:val="16"/>
              </w:rPr>
              <w:t xml:space="preserve">PCI (Card Data)</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same NAB profile, alert-only,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Same fidelity loss as SSN; not yet wired on Aetna at all</w:t>
            </w:r>
          </w:p>
        </w:tc>
      </w:tr>
      <w:tr>
        <w:tc>
          <w:tcPr>
            <w:tcW w:type="dxa" w:w="1900"/>
            <w:tcMar>
              <w:top w:type="dxa" w:w="80"/>
              <w:left w:type="dxa" w:w="100"/>
              <w:bottom w:type="dxa" w:w="80"/>
              <w:right w:type="dxa" w:w="100"/>
            </w:tcMar>
          </w:tcPr>
          <w:p>
            <w:pPr>
              <w:jc w:val="left"/>
            </w:pPr>
            <w:r>
              <w:rPr>
                <w:b w:val="false"/>
                <w:bCs w:val="false"/>
                <w:sz w:val="16"/>
                <w:szCs w:val="16"/>
              </w:rPr>
              <w:t xml:space="preserve">Driver's License - US</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Staged — 51 custom regex patterns, all states + DC, built this engagement</w:t>
            </w:r>
          </w:p>
        </w:tc>
        <w:tc>
          <w:tcPr>
            <w:tcW w:type="dxa" w:w="2500"/>
            <w:tcMar>
              <w:top w:type="dxa" w:w="80"/>
              <w:left w:type="dxa" w:w="100"/>
              <w:bottom w:type="dxa" w:w="80"/>
              <w:right w:type="dxa" w:w="100"/>
            </w:tcMar>
          </w:tcPr>
          <w:p>
            <w:pPr>
              <w:jc w:val="left"/>
            </w:pPr>
            <w:r>
              <w:rPr>
                <w:b w:val="false"/>
                <w:bCs w:val="false"/>
                <w:sz w:val="16"/>
                <w:szCs w:val="16"/>
              </w:rPr>
              <w:t xml:space="preserve">This is a net-new capability, not a parity item — SK apparently does not enforce this today either</w:t>
            </w:r>
          </w:p>
        </w:tc>
      </w:tr>
      <w:tr>
        <w:tc>
          <w:tcPr>
            <w:tcW w:type="dxa" w:w="1900"/>
            <w:tcMar>
              <w:top w:type="dxa" w:w="80"/>
              <w:left w:type="dxa" w:w="100"/>
              <w:bottom w:type="dxa" w:w="80"/>
              <w:right w:type="dxa" w:w="100"/>
            </w:tcMar>
          </w:tcPr>
          <w:p>
            <w:pPr>
              <w:jc w:val="left"/>
            </w:pPr>
            <w:r>
              <w:rPr>
                <w:b w:val="false"/>
                <w:bCs w:val="false"/>
                <w:sz w:val="16"/>
                <w:szCs w:val="16"/>
              </w:rPr>
              <w:t xml:space="preserve">Member ID</w:t>
            </w:r>
          </w:p>
        </w:tc>
        <w:tc>
          <w:tcPr>
            <w:tcW w:type="dxa" w:w="2400"/>
            <w:tcMar>
              <w:top w:type="dxa" w:w="80"/>
              <w:left w:type="dxa" w:w="100"/>
              <w:bottom w:type="dxa" w:w="80"/>
              <w:right w:type="dxa" w:w="100"/>
            </w:tcMar>
          </w:tcPr>
          <w:p>
            <w:pPr>
              <w:jc w:val="left"/>
            </w:pPr>
            <w:r>
              <w:rPr>
                <w:b w:val="false"/>
                <w:bCs w:val="false"/>
                <w:sz w:val="16"/>
                <w:szCs w:val="16"/>
              </w:rPr>
              <w:t xml:space="preserve">NO — detected/tagged only on SK itself, not enforced</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Staged — custom regex ported from SK, not yet live</w:t>
            </w:r>
          </w:p>
        </w:tc>
        <w:tc>
          <w:tcPr>
            <w:tcW w:type="dxa" w:w="2500"/>
            <w:tcMar>
              <w:top w:type="dxa" w:w="80"/>
              <w:left w:type="dxa" w:w="100"/>
              <w:bottom w:type="dxa" w:w="80"/>
              <w:right w:type="dxa" w:w="100"/>
            </w:tcMar>
          </w:tcPr>
          <w:p>
            <w:pPr>
              <w:jc w:val="left"/>
            </w:pPr>
            <w:r>
              <w:rPr>
                <w:b w:val="false"/>
                <w:bCs w:val="false"/>
                <w:sz w:val="16"/>
                <w:szCs w:val="16"/>
              </w:rPr>
              <w:t xml:space="preserve">Neither platform currently blocks on this pattern; parity target is "detect," not "block," based on SK's own live behavior</w:t>
            </w:r>
          </w:p>
        </w:tc>
      </w:tr>
      <w:tr>
        <w:tc>
          <w:tcPr>
            <w:tcW w:type="dxa" w:w="1900"/>
            <w:tcMar>
              <w:top w:type="dxa" w:w="80"/>
              <w:left w:type="dxa" w:w="100"/>
              <w:bottom w:type="dxa" w:w="80"/>
              <w:right w:type="dxa" w:w="100"/>
            </w:tcMar>
          </w:tcPr>
          <w:p>
            <w:pPr>
              <w:jc w:val="left"/>
            </w:pPr>
            <w:r>
              <w:rPr>
                <w:b w:val="false"/>
                <w:bCs w:val="false"/>
                <w:sz w:val="16"/>
                <w:szCs w:val="16"/>
              </w:rPr>
              <w:t xml:space="preserve">MBI (Medicare Beneficiary ID)</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 (HICN is the pre-2019 predecessor; MBI is its post-2018 replacement)</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No live enforcement or staged build identified on either platform for MBI specifically — confirm this is genuinely new, not overlooked</w:t>
            </w:r>
          </w:p>
        </w:tc>
      </w:tr>
      <w:tr>
        <w:tc>
          <w:tcPr>
            <w:tcW w:type="dxa" w:w="1900"/>
            <w:tcMar>
              <w:top w:type="dxa" w:w="80"/>
              <w:left w:type="dxa" w:w="100"/>
              <w:bottom w:type="dxa" w:w="80"/>
              <w:right w:type="dxa" w:w="100"/>
            </w:tcMar>
          </w:tcPr>
          <w:p>
            <w:pPr>
              <w:jc w:val="left"/>
            </w:pPr>
            <w:r>
              <w:rPr>
                <w:b w:val="false"/>
                <w:bCs w:val="false"/>
                <w:sz w:val="16"/>
                <w:szCs w:val="16"/>
              </w:rPr>
              <w:t xml:space="preserve">SSN - Masked/Redacted</w:t>
            </w:r>
          </w:p>
        </w:tc>
        <w:tc>
          <w:tcPr>
            <w:tcW w:type="dxa" w:w="2400"/>
            <w:tcMar>
              <w:top w:type="dxa" w:w="80"/>
              <w:left w:type="dxa" w:w="100"/>
              <w:bottom w:type="dxa" w:w="80"/>
              <w:right w:type="dxa" w:w="100"/>
            </w:tcMar>
          </w:tcPr>
          <w:p>
            <w:pPr>
              <w:jc w:val="left"/>
            </w:pPr>
            <w:r>
              <w:rPr>
                <w:b w:val="false"/>
                <w:bCs w:val="false"/>
                <w:sz w:val="16"/>
                <w:szCs w:val="16"/>
              </w:rPr>
              <w:t xml:space="preserve">YES — regex, blocks, 3 rules</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PA has no equivalent anywhere yet — this is a real, live SK capability with no PA-side counterpart identified</w:t>
            </w:r>
          </w:p>
        </w:tc>
      </w:tr>
      <w:tr>
        <w:tc>
          <w:tcPr>
            <w:tcW w:type="dxa" w:w="1900"/>
            <w:tcMar>
              <w:top w:type="dxa" w:w="80"/>
              <w:left w:type="dxa" w:w="100"/>
              <w:bottom w:type="dxa" w:w="80"/>
              <w:right w:type="dxa" w:w="100"/>
            </w:tcMar>
          </w:tcPr>
          <w:p>
            <w:pPr>
              <w:jc w:val="left"/>
            </w:pPr>
            <w:r>
              <w:rPr>
                <w:b w:val="false"/>
                <w:bCs w:val="false"/>
                <w:sz w:val="16"/>
                <w:szCs w:val="16"/>
              </w:rPr>
              <w:t xml:space="preserve">HICN (Legacy)</w:t>
            </w:r>
          </w:p>
        </w:tc>
        <w:tc>
          <w:tcPr>
            <w:tcW w:type="dxa" w:w="2400"/>
            <w:tcMar>
              <w:top w:type="dxa" w:w="80"/>
              <w:left w:type="dxa" w:w="100"/>
              <w:bottom w:type="dxa" w:w="80"/>
              <w:right w:type="dxa" w:w="100"/>
            </w:tcMar>
          </w:tcPr>
          <w:p>
            <w:pPr>
              <w:jc w:val="left"/>
            </w:pPr>
            <w:r>
              <w:rPr>
                <w:b w:val="false"/>
                <w:bCs w:val="false"/>
                <w:sz w:val="16"/>
                <w:szCs w:val="16"/>
              </w:rPr>
              <w:t xml:space="preserve">YES — regex + keyword, blocks, 3 rules</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 (MBI/HICN may have been treated as one item — confirm)</w:t>
            </w:r>
          </w:p>
        </w:tc>
        <w:tc>
          <w:tcPr>
            <w:tcW w:type="dxa" w:w="2500"/>
            <w:tcMar>
              <w:top w:type="dxa" w:w="80"/>
              <w:left w:type="dxa" w:w="100"/>
              <w:bottom w:type="dxa" w:w="80"/>
              <w:right w:type="dxa" w:w="100"/>
            </w:tcMar>
          </w:tcPr>
          <w:p>
            <w:pPr>
              <w:jc w:val="left"/>
            </w:pPr>
            <w:r>
              <w:rPr>
                <w:b w:val="false"/>
                <w:bCs w:val="false"/>
                <w:sz w:val="16"/>
                <w:szCs w:val="16"/>
              </w:rPr>
              <w:t xml:space="preserve">Same as Masked SSN — live on SK, no PA counterpart identified in material reviewed</w:t>
            </w:r>
          </w:p>
        </w:tc>
      </w:tr>
    </w:tbl>
    <w:p>
      <w:pPr>
        <w:pStyle w:val="Heading2"/>
        <w:spacing w:after="120" w:before="260"/>
      </w:pPr>
      <w:r>
        <w:t xml:space="preserve">File-Type Blocking — SK vs. PA, Structural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3900"/>
      </w:tblGrid>
      <w:tr>
        <w:trPr>
          <w:tblHeader/>
        </w:trPr>
        <w:tc>
          <w:tcPr>
            <w:tcW w:type="dxa" w:w="3000"/>
            <w:shd w:fill="8C1D18" w:val="clear"/>
            <w:tcMar>
              <w:top w:type="dxa" w:w="80"/>
              <w:left w:type="dxa" w:w="100"/>
              <w:bottom w:type="dxa" w:w="80"/>
              <w:right w:type="dxa" w:w="100"/>
            </w:tcMar>
          </w:tcPr>
          <w:p>
            <w:pPr>
              <w:jc w:val="left"/>
            </w:pPr>
            <w:r>
              <w:rPr>
                <w:b/>
                <w:bCs/>
                <w:color w:val="FFFFFF"/>
                <w:sz w:val="16"/>
                <w:szCs w:val="16"/>
              </w:rPr>
              <w:t xml:space="preserve">Mechanism</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Skyhigh (Aetna, live)</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Palo Alto (File_Blocking_Best_Practice_SP)</w:t>
            </w:r>
          </w:p>
        </w:tc>
      </w:tr>
      <w:tr>
        <w:tc>
          <w:tcPr>
            <w:tcW w:type="dxa" w:w="3000"/>
            <w:tcMar>
              <w:top w:type="dxa" w:w="80"/>
              <w:left w:type="dxa" w:w="100"/>
              <w:bottom w:type="dxa" w:w="80"/>
              <w:right w:type="dxa" w:w="100"/>
            </w:tcMar>
          </w:tcPr>
          <w:p>
            <w:pPr>
              <w:jc w:val="left"/>
            </w:pPr>
            <w:r>
              <w:rPr>
                <w:b w:val="false"/>
                <w:bCs w:val="false"/>
                <w:sz w:val="16"/>
                <w:szCs w:val="16"/>
              </w:rPr>
              <w:t xml:space="preserve">Blocked extensions</w:t>
            </w:r>
          </w:p>
        </w:tc>
        <w:tc>
          <w:tcPr>
            <w:tcW w:type="dxa" w:w="3900"/>
            <w:tcMar>
              <w:top w:type="dxa" w:w="80"/>
              <w:left w:type="dxa" w:w="100"/>
              <w:bottom w:type="dxa" w:w="80"/>
              <w:right w:type="dxa" w:w="100"/>
            </w:tcMar>
          </w:tcPr>
          <w:p>
            <w:pPr>
              <w:jc w:val="left"/>
            </w:pPr>
            <w:r>
              <w:rPr>
                <w:b w:val="false"/>
                <w:bCs w:val="false"/>
                <w:sz w:val="16"/>
                <w:szCs w:val="16"/>
              </w:rPr>
              <w:t xml:space="preserve">9 extensions: hta, iq, job, lnk, pif, shs, vbe, wsc, wsh</w:t>
            </w:r>
          </w:p>
        </w:tc>
        <w:tc>
          <w:tcPr>
            <w:tcW w:type="dxa" w:w="3900"/>
            <w:tcMar>
              <w:top w:type="dxa" w:w="80"/>
              <w:left w:type="dxa" w:w="100"/>
              <w:bottom w:type="dxa" w:w="80"/>
              <w:right w:type="dxa" w:w="100"/>
            </w:tcMar>
          </w:tcPr>
          <w:p>
            <w:pPr>
              <w:jc w:val="left"/>
            </w:pPr>
            <w:r>
              <w:rPr>
                <w:b w:val="false"/>
                <w:bCs w:val="false"/>
                <w:sz w:val="16"/>
                <w:szCs w:val="16"/>
              </w:rPr>
              <w:t xml:space="preserve">19 extensions — broader coverage, confirmed live where this profile is wired</w:t>
            </w:r>
          </w:p>
        </w:tc>
      </w:tr>
      <w:tr>
        <w:tc>
          <w:tcPr>
            <w:tcW w:type="dxa" w:w="3000"/>
            <w:tcMar>
              <w:top w:type="dxa" w:w="80"/>
              <w:left w:type="dxa" w:w="100"/>
              <w:bottom w:type="dxa" w:w="80"/>
              <w:right w:type="dxa" w:w="100"/>
            </w:tcMar>
          </w:tcPr>
          <w:p>
            <w:pPr>
              <w:jc w:val="left"/>
            </w:pPr>
            <w:r>
              <w:rPr>
                <w:b w:val="false"/>
                <w:bCs w:val="false"/>
                <w:sz w:val="16"/>
                <w:szCs w:val="16"/>
              </w:rPr>
              <w:t xml:space="preserve">Content-signature executable detection</w:t>
            </w:r>
          </w:p>
        </w:tc>
        <w:tc>
          <w:tcPr>
            <w:tcW w:type="dxa" w:w="3900"/>
            <w:tcMar>
              <w:top w:type="dxa" w:w="80"/>
              <w:left w:type="dxa" w:w="100"/>
              <w:bottom w:type="dxa" w:w="80"/>
              <w:right w:type="dxa" w:w="100"/>
            </w:tcMar>
          </w:tcPr>
          <w:p>
            <w:pPr>
              <w:jc w:val="left"/>
            </w:pPr>
            <w:r>
              <w:rPr>
                <w:b w:val="false"/>
                <w:bCs w:val="false"/>
                <w:sz w:val="16"/>
                <w:szCs w:val="16"/>
              </w:rPr>
              <w:t xml:space="preserve">38 media types (application/x-msdownload, java-vm, dotnet-assembly, x-elf, x-mac-dylib, and 29 others)</w:t>
            </w:r>
          </w:p>
        </w:tc>
        <w:tc>
          <w:tcPr>
            <w:tcW w:type="dxa" w:w="3900"/>
            <w:tcMar>
              <w:top w:type="dxa" w:w="80"/>
              <w:left w:type="dxa" w:w="100"/>
              <w:bottom w:type="dxa" w:w="80"/>
              <w:right w:type="dxa" w:w="100"/>
            </w:tcMar>
          </w:tcPr>
          <w:p>
            <w:pPr>
              <w:jc w:val="left"/>
            </w:pPr>
            <w:r>
              <w:rPr>
                <w:b w:val="false"/>
                <w:bCs w:val="false"/>
                <w:sz w:val="16"/>
                <w:szCs w:val="16"/>
              </w:rPr>
              <w:t xml:space="preserve">Covered under "Block high risk file types" rule — exact media-type list not independently diffed against SK's 38 this pass</w:t>
            </w:r>
          </w:p>
        </w:tc>
      </w:tr>
      <w:tr>
        <w:tc>
          <w:tcPr>
            <w:tcW w:type="dxa" w:w="3000"/>
            <w:tcMar>
              <w:top w:type="dxa" w:w="80"/>
              <w:left w:type="dxa" w:w="100"/>
              <w:bottom w:type="dxa" w:w="80"/>
              <w:right w:type="dxa" w:w="100"/>
            </w:tcMar>
          </w:tcPr>
          <w:p>
            <w:pPr>
              <w:jc w:val="left"/>
            </w:pPr>
            <w:r>
              <w:rPr>
                <w:b w:val="false"/>
                <w:bCs w:val="false"/>
                <w:sz w:val="16"/>
                <w:szCs w:val="16"/>
              </w:rPr>
              <w:t xml:space="preserve">Encrypted archive blocking</w:t>
            </w:r>
          </w:p>
        </w:tc>
        <w:tc>
          <w:tcPr>
            <w:tcW w:type="dxa" w:w="3900"/>
            <w:tcMar>
              <w:top w:type="dxa" w:w="80"/>
              <w:left w:type="dxa" w:w="100"/>
              <w:bottom w:type="dxa" w:w="80"/>
              <w:right w:type="dxa" w:w="100"/>
            </w:tcMar>
          </w:tcPr>
          <w:p>
            <w:pPr>
              <w:jc w:val="left"/>
            </w:pPr>
            <w:r>
              <w:rPr>
                <w:b w:val="false"/>
                <w:bCs w:val="false"/>
                <w:sz w:val="16"/>
                <w:szCs w:val="16"/>
              </w:rPr>
              <w:t xml:space="preserve">58 recognized archive/compression formats</w:t>
            </w:r>
          </w:p>
        </w:tc>
        <w:tc>
          <w:tcPr>
            <w:tcW w:type="dxa" w:w="3900"/>
            <w:tcMar>
              <w:top w:type="dxa" w:w="80"/>
              <w:left w:type="dxa" w:w="100"/>
              <w:bottom w:type="dxa" w:w="80"/>
              <w:right w:type="dxa" w:w="100"/>
            </w:tcMar>
          </w:tcPr>
          <w:p>
            <w:pPr>
              <w:jc w:val="left"/>
            </w:pPr>
            <w:r>
              <w:rPr>
                <w:b w:val="false"/>
                <w:bCs w:val="false"/>
                <w:sz w:val="16"/>
                <w:szCs w:val="16"/>
              </w:rPr>
              <w:t xml:space="preserve">3 formats explicitly named (7z, rar, zip) under "Block encrypted files" — narrower named scope than SK's 58</w:t>
            </w:r>
          </w:p>
        </w:tc>
      </w:tr>
      <w:tr>
        <w:tc>
          <w:tcPr>
            <w:tcW w:type="dxa" w:w="3000"/>
            <w:tcMar>
              <w:top w:type="dxa" w:w="80"/>
              <w:left w:type="dxa" w:w="100"/>
              <w:bottom w:type="dxa" w:w="80"/>
              <w:right w:type="dxa" w:w="100"/>
            </w:tcMar>
          </w:tcPr>
          <w:p>
            <w:pPr>
              <w:jc w:val="left"/>
            </w:pPr>
            <w:r>
              <w:rPr>
                <w:b w:val="false"/>
                <w:bCs w:val="false"/>
                <w:sz w:val="16"/>
                <w:szCs w:val="16"/>
              </w:rPr>
              <w:t xml:space="preserve">Nested archive depth</w:t>
            </w:r>
          </w:p>
        </w:tc>
        <w:tc>
          <w:tcPr>
            <w:tcW w:type="dxa" w:w="3900"/>
            <w:tcMar>
              <w:top w:type="dxa" w:w="80"/>
              <w:left w:type="dxa" w:w="100"/>
              <w:bottom w:type="dxa" w:w="80"/>
              <w:right w:type="dxa" w:w="100"/>
            </w:tcMar>
          </w:tcPr>
          <w:p>
            <w:pPr>
              <w:jc w:val="left"/>
            </w:pPr>
            <w:r>
              <w:rPr>
                <w:b w:val="false"/>
                <w:bCs w:val="false"/>
                <w:sz w:val="16"/>
                <w:szCs w:val="16"/>
              </w:rPr>
              <w:t xml:space="preserve">Blocks nesting &gt;= 8 levels, regardless of content</w:t>
            </w:r>
          </w:p>
        </w:tc>
        <w:tc>
          <w:tcPr>
            <w:tcW w:type="dxa" w:w="3900"/>
            <w:tcMar>
              <w:top w:type="dxa" w:w="80"/>
              <w:left w:type="dxa" w:w="100"/>
              <w:bottom w:type="dxa" w:w="80"/>
              <w:right w:type="dxa" w:w="100"/>
            </w:tcMar>
          </w:tcPr>
          <w:p>
            <w:pPr>
              <w:jc w:val="left"/>
            </w:pPr>
            <w:r>
              <w:rPr>
                <w:b w:val="false"/>
                <w:bCs w:val="false"/>
                <w:sz w:val="16"/>
                <w:szCs w:val="16"/>
              </w:rPr>
              <w:t xml:space="preserve">No equivalent mechanism identified in the PA profile reviewed</w:t>
            </w:r>
          </w:p>
        </w:tc>
      </w:tr>
      <w:tr>
        <w:tc>
          <w:tcPr>
            <w:tcW w:type="dxa" w:w="3000"/>
            <w:tcMar>
              <w:top w:type="dxa" w:w="80"/>
              <w:left w:type="dxa" w:w="100"/>
              <w:bottom w:type="dxa" w:w="80"/>
              <w:right w:type="dxa" w:w="100"/>
            </w:tcMar>
          </w:tcPr>
          <w:p>
            <w:pPr>
              <w:jc w:val="left"/>
            </w:pPr>
            <w:r>
              <w:rPr>
                <w:b w:val="false"/>
                <w:bCs w:val="false"/>
                <w:sz w:val="16"/>
                <w:szCs w:val="16"/>
              </w:rPr>
              <w:t xml:space="preserve">Encrypted Office/PDF</w:t>
            </w:r>
          </w:p>
        </w:tc>
        <w:tc>
          <w:tcPr>
            <w:tcW w:type="dxa" w:w="3900"/>
            <w:tcMar>
              <w:top w:type="dxa" w:w="80"/>
              <w:left w:type="dxa" w:w="100"/>
              <w:bottom w:type="dxa" w:w="80"/>
              <w:right w:type="dxa" w:w="100"/>
            </w:tcMar>
          </w:tcPr>
          <w:p>
            <w:pPr>
              <w:jc w:val="left"/>
            </w:pPr>
            <w:r>
              <w:rPr>
                <w:b w:val="false"/>
                <w:bCs w:val="false"/>
                <w:sz w:val="16"/>
                <w:szCs w:val="16"/>
              </w:rPr>
              <w:t xml:space="preserve">Covered under the general encrypted-archive rule (no separate rule)</w:t>
            </w:r>
          </w:p>
        </w:tc>
        <w:tc>
          <w:tcPr>
            <w:tcW w:type="dxa" w:w="3900"/>
            <w:tcMar>
              <w:top w:type="dxa" w:w="80"/>
              <w:left w:type="dxa" w:w="100"/>
              <w:bottom w:type="dxa" w:w="80"/>
              <w:right w:type="dxa" w:w="100"/>
            </w:tcMar>
          </w:tcPr>
          <w:p>
            <w:pPr>
              <w:jc w:val="left"/>
            </w:pPr>
            <w:r>
              <w:rPr>
                <w:b w:val="false"/>
                <w:bCs w:val="false"/>
                <w:sz w:val="16"/>
                <w:szCs w:val="16"/>
              </w:rPr>
              <w:t xml:space="preserve">Separate dedicated rule: "Block MS Encrypted Files" — a PA-specific rule with no direct SK equivalent by name, though outcome may overlap</w:t>
            </w:r>
          </w:p>
        </w:tc>
      </w:tr>
    </w:tbl>
    <w:p>
      <w:pPr>
        <w:spacing w:after="120"/>
      </w:pPr>
      <w:r>
        <w:rPr>
          <w:i/>
          <w:iCs/>
          <w:color w:val="5B6169"/>
          <w:sz w:val="19"/>
          <w:szCs w:val="19"/>
        </w:rPr>
        <w:t xml:space="preserve">Two PA File Blocking variants exist that weaken this profile for specific traffic and are worth flagging on their own: File_Blocking_No_PDF_Enc (used by SPG-LV-No-PDF-Enc) removes the encrypted-Office/PDF block entirely for its scoped traffic; Trusted-FBP (used by Trusted-Apps) blocks nothing at all — alert-only across every file type, functionally no file blocking despite being attached via a profile-setting that looks like enforcement to a rulebase reader who doesn't open the profile itself.</w:t>
      </w:r>
    </w:p>
    <w:p>
      <w:pPr>
        <w:spacing w:after="120"/>
      </w:pPr>
      <w:r>
        <w:t xml:space="preserve">Tenant Restriction cannot function without decrypting a specific, narrow set of Microsoft authentication domains first. This is not a broad Microsoft/O365 decrypt requirement — it is four named domains:</w:t>
      </w:r>
    </w:p>
    <w:p>
      <w:pPr>
        <w:pStyle w:val="ListParagraph"/>
        <w:numPr>
          <w:ilvl w:val="0"/>
          <w:numId w:val="1"/>
        </w:numPr>
        <w:spacing w:after="80"/>
      </w:pPr>
      <w:r>
        <w:rPr>
          <w:b/>
          <w:bCs/>
        </w:rPr>
        <w:t xml:space="preserve">login.live.com</w:t>
      </w:r>
    </w:p>
    <w:p>
      <w:pPr>
        <w:pStyle w:val="ListParagraph"/>
        <w:numPr>
          <w:ilvl w:val="0"/>
          <w:numId w:val="1"/>
        </w:numPr>
        <w:spacing w:after="80"/>
      </w:pPr>
      <w:r>
        <w:rPr>
          <w:b/>
          <w:bCs/>
        </w:rPr>
        <w:t xml:space="preserve">login.microsoft.com</w:t>
      </w:r>
    </w:p>
    <w:p>
      <w:pPr>
        <w:pStyle w:val="ListParagraph"/>
        <w:numPr>
          <w:ilvl w:val="0"/>
          <w:numId w:val="1"/>
        </w:numPr>
        <w:spacing w:after="80"/>
      </w:pPr>
      <w:r>
        <w:rPr>
          <w:b/>
          <w:bCs/>
        </w:rPr>
        <w:t xml:space="preserve">login.microsoftonline.com</w:t>
      </w:r>
    </w:p>
    <w:p>
      <w:pPr>
        <w:pStyle w:val="ListParagraph"/>
        <w:numPr>
          <w:ilvl w:val="0"/>
          <w:numId w:val="1"/>
        </w:numPr>
        <w:spacing w:after="80"/>
      </w:pPr>
      <w:r>
        <w:rPr>
          <w:b/>
          <w:bCs/>
        </w:rPr>
        <w:t xml:space="preserve">login.windows.net</w:t>
      </w:r>
    </w:p>
    <w:p>
      <w:pPr>
        <w:spacing w:after="120"/>
      </w:pPr>
      <w:r>
        <w:t xml:space="preserve">On Palo Alto, these are built into a named category ("MS Login" on Aetna, "Microsoft-Login-SSL-Inspection" on AZ/RI/LV) and referenced by a decrypt rule. A decrypt rule matching this category must exist, be enabled, and be scoped to the same population the header-insertion rule targets — all three conditions, not any one of them.</w:t>
      </w:r>
    </w:p>
    <w:p>
      <w:pPr>
        <w:pStyle w:val="Heading2"/>
        <w:spacing w:after="120" w:before="260"/>
      </w:pPr>
      <w:r>
        <w:t xml:space="preserve">Scorecard — Decrypt Dependency Met, by Location</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200"/>
        <w:gridCol w:w="3200"/>
        <w:gridCol w:w="1800"/>
      </w:tblGrid>
      <w:tr>
        <w:trPr>
          <w:tblHeader/>
        </w:trPr>
        <w:tc>
          <w:tcPr>
            <w:tcW w:type="dxa" w:w="3200"/>
            <w:shd w:fill="8C1D18" w:val="clear"/>
            <w:tcMar>
              <w:top w:type="dxa" w:w="80"/>
              <w:left w:type="dxa" w:w="100"/>
              <w:bottom w:type="dxa" w:w="80"/>
              <w:right w:type="dxa" w:w="100"/>
            </w:tcMar>
          </w:tcPr>
          <w:p>
            <w:pPr>
              <w:jc w:val="left"/>
            </w:pPr>
            <w:r>
              <w:rPr>
                <w:b/>
                <w:bCs/>
                <w:color w:val="FFFFFF"/>
                <w:sz w:val="16"/>
                <w:szCs w:val="16"/>
              </w:rPr>
              <w:t xml:space="preserve">Location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Decrypt Rule Exists</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Rule Enabled</w:t>
            </w:r>
          </w:p>
        </w:tc>
        <w:tc>
          <w:tcPr>
            <w:tcW w:type="dxa" w:w="3200"/>
            <w:shd w:fill="8C1D18" w:val="clear"/>
            <w:tcMar>
              <w:top w:type="dxa" w:w="80"/>
              <w:left w:type="dxa" w:w="100"/>
              <w:bottom w:type="dxa" w:w="80"/>
              <w:right w:type="dxa" w:w="100"/>
            </w:tcMar>
          </w:tcPr>
          <w:p>
            <w:pPr>
              <w:jc w:val="left"/>
            </w:pPr>
            <w:r>
              <w:rPr>
                <w:b/>
                <w:bCs/>
                <w:color w:val="FFFFFF"/>
                <w:sz w:val="16"/>
                <w:szCs w:val="16"/>
              </w:rPr>
              <w:t xml:space="preserve">Header-Insertion Scoped to Same Population</w:t>
            </w:r>
          </w:p>
        </w:tc>
        <w:tc>
          <w:tcPr>
            <w:tcW w:type="dxa" w:w="1800"/>
            <w:shd w:fill="8C1D18" w:val="clear"/>
            <w:tcMar>
              <w:top w:type="dxa" w:w="80"/>
              <w:left w:type="dxa" w:w="100"/>
              <w:bottom w:type="dxa" w:w="80"/>
              <w:right w:type="dxa" w:w="100"/>
            </w:tcMar>
          </w:tcPr>
          <w:p>
            <w:pPr>
              <w:jc w:val="left"/>
            </w:pPr>
            <w:r>
              <w:rPr>
                <w:b/>
                <w:bCs/>
                <w:color w:val="FFFFFF"/>
                <w:sz w:val="16"/>
                <w:szCs w:val="16"/>
              </w:rPr>
              <w:t xml:space="preserve">Net: Dependency Met</w:t>
            </w:r>
          </w:p>
        </w:tc>
      </w:tr>
      <w:tr>
        <w:tc>
          <w:tcPr>
            <w:tcW w:type="dxa" w:w="3200"/>
            <w:tcMar>
              <w:top w:type="dxa" w:w="80"/>
              <w:left w:type="dxa" w:w="100"/>
              <w:bottom w:type="dxa" w:w="80"/>
              <w:right w:type="dxa" w:w="100"/>
            </w:tcMar>
          </w:tcPr>
          <w:p>
            <w:pPr>
              <w:jc w:val="left"/>
            </w:pPr>
            <w:r>
              <w:rPr>
                <w:b w:val="false"/>
                <w:bCs w:val="false"/>
                <w:sz w:val="16"/>
                <w:szCs w:val="16"/>
              </w:rPr>
              <w:t xml:space="preserve">Aetna — Middletown</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Aetna — Windsor</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AZ (Shea)</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RI</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general population</w:t>
            </w:r>
          </w:p>
        </w:tc>
        <w:tc>
          <w:tcPr>
            <w:tcW w:type="dxa" w:w="2400"/>
            <w:tcMar>
              <w:top w:type="dxa" w:w="80"/>
              <w:left w:type="dxa" w:w="100"/>
              <w:bottom w:type="dxa" w:w="80"/>
              <w:right w:type="dxa" w:w="100"/>
            </w:tcMar>
          </w:tcPr>
          <w:p>
            <w:pPr>
              <w:jc w:val="left"/>
            </w:pPr>
            <w:r>
              <w:rPr>
                <w:b w:val="false"/>
                <w:bCs w:val="false"/>
                <w:sz w:val="16"/>
                <w:szCs w:val="16"/>
              </w:rPr>
              <w:t xml:space="preserve">NO — no rule scoped to general population</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Meritain</w:t>
            </w:r>
          </w:p>
        </w:tc>
        <w:tc>
          <w:tcPr>
            <w:tcW w:type="dxa" w:w="2400"/>
            <w:tcMar>
              <w:top w:type="dxa" w:w="80"/>
              <w:left w:type="dxa" w:w="100"/>
              <w:bottom w:type="dxa" w:w="80"/>
              <w:right w:type="dxa" w:w="100"/>
            </w:tcMar>
          </w:tcPr>
          <w:p>
            <w:pPr>
              <w:jc w:val="left"/>
            </w:pPr>
            <w:r>
              <w:rPr>
                <w:b w:val="false"/>
                <w:bCs w:val="false"/>
                <w:sz w:val="16"/>
                <w:szCs w:val="16"/>
              </w:rPr>
              <w:t xml:space="preserve">YES — MERITAIN-TO-INTERNET-MICROSOFT-LOGIN</w:t>
            </w:r>
          </w:p>
        </w:tc>
        <w:tc>
          <w:tcPr>
            <w:tcW w:type="dxa" w:w="2200"/>
            <w:tcMar>
              <w:top w:type="dxa" w:w="80"/>
              <w:left w:type="dxa" w:w="100"/>
              <w:bottom w:type="dxa" w:w="80"/>
              <w:right w:type="dxa" w:w="100"/>
            </w:tcMar>
          </w:tcPr>
          <w:p>
            <w:pPr>
              <w:jc w:val="left"/>
            </w:pPr>
            <w:r>
              <w:rPr>
                <w:b w:val="false"/>
                <w:bCs w:val="false"/>
                <w:sz w:val="16"/>
                <w:szCs w:val="16"/>
              </w:rPr>
              <w:t xml:space="preserve">YES — disabled no, confirmed</w:t>
            </w:r>
          </w:p>
        </w:tc>
        <w:tc>
          <w:tcPr>
            <w:tcW w:type="dxa" w:w="3200"/>
            <w:tcMar>
              <w:top w:type="dxa" w:w="80"/>
              <w:left w:type="dxa" w:w="100"/>
              <w:bottom w:type="dxa" w:w="80"/>
              <w:right w:type="dxa" w:w="100"/>
            </w:tcMar>
          </w:tcPr>
          <w:p>
            <w:pPr>
              <w:jc w:val="left"/>
            </w:pPr>
            <w:r>
              <w:rPr>
                <w:b w:val="false"/>
                <w:bCs w:val="false"/>
                <w:sz w:val="16"/>
                <w:szCs w:val="16"/>
              </w:rPr>
              <w:t xml:space="preserve">NO — header-insertion rule scoped to an unrelated single test host (10.47.152.25), outside Meritain-Users-Subnets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pilot test host (10.47.152.25)</w:t>
            </w:r>
          </w:p>
        </w:tc>
        <w:tc>
          <w:tcPr>
            <w:tcW w:type="dxa" w:w="2400"/>
            <w:tcMar>
              <w:top w:type="dxa" w:w="80"/>
              <w:left w:type="dxa" w:w="100"/>
              <w:bottom w:type="dxa" w:w="80"/>
              <w:right w:type="dxa" w:w="100"/>
            </w:tcMar>
          </w:tcPr>
          <w:p>
            <w:pPr>
              <w:jc w:val="left"/>
            </w:pPr>
            <w:r>
              <w:rPr>
                <w:b w:val="false"/>
                <w:bCs w:val="false"/>
                <w:sz w:val="16"/>
                <w:szCs w:val="16"/>
              </w:rPr>
              <w:t xml:space="preserve">NO — host falls outside Meritain-Users-Subnets, the only enabled decrypt scope</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YES — this is the host the header-insertion rule targets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bl>
    <w:p>
      <w:pPr>
        <w:spacing w:after="120"/>
      </w:pPr>
      <w:r>
        <w:rPr>
          <w:b/>
          <w:bCs/>
        </w:rPr>
        <w:t xml:space="preserve">Net result: zero locations meet all three conditions. Every location fails on a different condition — Aetna fails on enablement, AZ/RI fail on rule existence, Meritain fails on header-insertion scope alignment, and the pilot host fails on decrypt scope alignment. There is no location where fixing a single thing completes the chain; each one requires a different specific fix.</w:t>
      </w:r>
    </w:p>
    <w:p>
      <w:pPr>
        <w:pStyle w:val="Heading1"/>
        <w:spacing w:after="160" w:before="360"/>
      </w:pPr>
      <w:r>
        <w:t xml:space="preserve">Correction: A Conflict Resolved This Session</w:t>
      </w:r>
    </w:p>
    <w:p>
      <w:pPr>
        <w:spacing w:after="120"/>
      </w:pPr>
      <w:r>
        <w:rPr>
          <w:b/>
          <w:bCs/>
        </w:rPr>
        <w:t xml:space="preserve">The SK-to-PA Parity Plan stated Aetna's MS-Login decrypt rule (LAN-TO-INTERNET-DECRYPT-MS-LOGIN) is disabled. This session had earlier stated the opposite, based on an incomplete check (rule order was verified; the disabled field itself was never actually checked). Re-pulled directly from the raw config: disabled yes is explicitly present on both the Middletown and Windsor instances of this rule. The Parity Plan was correct. This session's earlier claim that "Aetna decrypts Microsoft login traffic correctly" was wrong and is corrected here. Meritain's equivalent rule (MERITAIN-TO-INTERNET-MICROSOFT-LOGIN) was independently re-checked and confirmed disabled no — genuinely enabled, the only such rule anywhere in the estate.</w:t>
      </w:r>
    </w:p>
    <w:p>
      <w:pPr>
        <w:pBdr>
          <w:top w:val="single" w:color="CCCCCC" w:sz="6" w:space="8"/>
        </w:pBdr>
        <w:spacing w:before="400"/>
      </w:pPr>
      <w:r>
        <w:rPr>
          <w:i/>
          <w:iCs/>
          <w:color w:val="5B6169"/>
          <w:sz w:val="17"/>
          <w:szCs w:val="17"/>
        </w:rPr>
        <w:t xml:space="preserve">This document supersedes the capability characterizations in Status_and_Next_Steps.docx for: DLP/File Inspection, Tenant Restriction, and URL/Content Category Enforcement. Licensing, NAT, Aetna Affiliate Hosting, Internet Egress, and Internal DMZ findings from that document are unaffected by this update.</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2026-09-18T19:17:31.727Z</dcterms:created>
  <dcterms:modified xsi:type="dcterms:W3CDTF">2026-09-18T19:17:31.736Z</dcterms:modified>
</cp:coreProperties>
</file>

<file path=docProps/custom.xml><?xml version="1.0" encoding="utf-8"?>
<Properties xmlns="http://schemas.openxmlformats.org/officeDocument/2006/custom-properties" xmlns:vt="http://schemas.openxmlformats.org/officeDocument/2006/docPropsVTypes"/>
</file>