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End w:id="0"/>
    <w:p>
      <w:r>
        <w:rPr>
          <w:i/>
        </w:rPr>
        <w:t xml:space="preserve">Palo Alto answers below were verified against the Panorama configuration exports dated 2026-08-31: CVS Panorama PAZSHDC/RRISHDC-SEC-PAN-PROD-01 (RI, AZ/Shea and Las Vegas egress) and Aetna Panorama MID/WIN-PAN-PROD-01 (Middletown/Windsor GLR and the Azure East hub). "Configured" means present and enabled in Panorama; the firewall captures do not include the pushed rulebase, so live hit counts should be confirmed on the devices. McAfee statements were not re-verified in this review.</w:t>
      </w:r>
    </w:p>
    <w:p>
      <w:r>
        <w:rPr>
          <w:i/>
        </w:rPr>
        <w:t>Zscaler (ZIA) statements below are taken from the ZIA "Print All Policies" export of 27 May 2026 (compared with the 2 December 2025 export). They describe configured rules only; rule hit counts, logs and location-group membership are not in the export and were not reviewed. Rule numbers refer to the May 2026 export.</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Current state of Palo DLP policy deployment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Vegas: </w:t>
      </w:r>
      <w:r>
        <w:rPr/>
        <w:t xml:space="preserve">Meritain users (Meritain-Users-Subnets, 10.47.128.0/21) are decrypted by default — MERITAIN-TO-INTERNET-DECRYPT-ALL and an SSH-proxy decrypt rule are enabled after 19 exception rules. LV-COLO subnets, Atlanta-Austin subnets and PPOM/NAB subnets are not covered by any decrypt rule.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Claude decryption is configured in Vegas but the rule is disabled. Illumio is a no-decrypt exemption, not a decryption target.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CVS (RI and AZ): </w:t>
      </w:r>
      <w:r>
        <w:rPr/>
        <w:t xml:space="preserve">one decrypt rule is enabled (ALL-TO-INTERNET-DECRYPT-DENIED-CATEGORIES), covering 41 categories/lists including the 3,726-entry Proxy-Zscaler-Blacklist and the SOC deny-list feed. URL filtering blocks 40 of those 41, so decryption only sees traffic that is being blocked anyway. Traffic users are allowed to reach is not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the Claude decrypt rule exists in RI and AZ and is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The enabled decrypt rule has no decryption profile attached, so expired, untrusted and unsupported certificates are not blocked on those sessions.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Aetna: </w:t>
      </w:r>
      <w:r>
        <w:rPr/>
        <w:t xml:space="preserve"/>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decryption is configured on the Aetna Panorama. 8 enabled decrypt rules across the Azure East hub (8 firewalls) and Middletown/Windsor GLR (4 firewalls) cover Claude, a 636-site forced-decrypt list (ZZ-Decrypt-Websites), 9 "allowed" categories plus YouTube (including online-storage and social-networking), and 39 "denied" categories. Decryption certificates are installed on the firewalls. The Microsoft login decrypt rule is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Large no-decrypt exemptions apply first: financial-services/government/health, all CVS/Aetna brand domains, the Microsoft 365 feed, and a "Pinned Certs" list that includes *.amazonaws.com and *.appspot.com.</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SSL rule 38 "InspectALL" (criteria: Any) is the last enabled rule and decrypts traffic not matched by an earlier rule. 19 enabled Do Not Inspect rules are evaluated before it.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Decrypt rules scoped to location "Road Warrior":</w:t>
      </w:r>
      <w:r>
        <w:t xml:space="preserve"> rule 25 (Microsoft Login Services), rule 26 (Teams, OneDrive, OneDrive Personal, Outlook, Outlook Personal, SharePoint, Power BI), rule 14 (Anaconda), rule 11 (category G-CVS-Bad Cert-Isolate). Rule 35 decrypts category CVSH_DPS_Unauthorized_URLs_for_Uploads with no location scope. Rule 38 settings: untrusted server certificates Block, OCSP enabled, TLS 1.2 minimum client and server.</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Do Not Inspect rules evaluated before rule 38:</w:t>
      </w:r>
      <w:r>
        <w:t xml:space="preserve"> rules 1, 2, 6, 7, 9 (GCP, AWS and Azure Cloud Connector location groups and GCP-Egress); rule 23 (location groups Retail Stores, IoT Traffic Group, CVSConnect); rule 33 (73 cloud apps incl. GitHub, for 8 departments, 8 groups and 3 users); rule 24 (67 cloud apps, GCP-Egress); rule 34 (categories Finance, Health, Online Trading &amp; Brokerage, no location or user scope); rule 31 (Office 365 category, Bypass Other Policies, no location scope, evaluated after rule 26); rules 27, 28, 29, 30, 32 (untrusted-cert apps, SIPA URLs, Recommended SSL Exemptions, cert-pinned apps, UCaaS); rules 10, 18, 19, 21 (user-, group- or location-scoped).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Rule 38 has "Block No Server Name Indication" and "Block Undecryptable Traffic" set to Disabled. Rule 17 (Inspect, location GCP_POV) uses intermediate CA "ZscalerGCPDigicert"; no other enabled Inspect rule references a workload location group.</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Data Filtering policy (DLP):</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the CVS Panorama uses Palo Alto Enterprise DLP (cloud data profiles synced to Panorama), running on a temporary license, not classic predefined Data Filtering. 27 data profiles are present; 9 are the advanced (Boolean) type.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profile is in production: "NAB - Initial Data Filtering" — 22 predefined patterns (SSN, credit card, magnetic stripe, ABA/IBAN/CUSIP, US TIN and international national IDs, AWS and RSA keys, "Company Confidential"), uploads only, action alert. No healthcare patterns (HICN, MBI, NPI) are included.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scope is broader than Vegas user traffic. The profile is attached through 19 profile groups to live rules in RI and AZ (including the general-population internet rule and every per-AD-group allowance), in Vegas (Meritain, PPOM, LV-COLO) and in the LV external DMZ. It can only inspect cleartext or decrypted traffic, which in practice means Meritain and LV-COLO (HTTP only).</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Aetna: no DLP of any kind is configured.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Two file inspection approaches are planned: </w:t>
      </w:r>
      <w:r>
        <w:rPr/>
        <w:t xml:space="preserve">Step 1, a regex-based File/Data Filtering stop-gap that does not depend on the Enterprise DLP license; and Step 2, Boolean Enterprise DLP as the target once licensing is permanent. See the File Inspection and Processing section below and PA_File_Data_Filtering_Coverage_v3.xlsx.</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Logging for DLP only shows the firewall rule it is applied on, not the policy it triggers or data type in the policy. This means there is no way to review detections and know what the detection was for.</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Cause confirmed: all 22 data types sit in one data profile, shared by 19 profile groups, so the firewall log can only name that one profile.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to correct: a profile group can hold only one data-filtering profile, so per-data-type attribution in the firewall log does require the rule-stack rewrite — one data profile per data type, each tied to its own security profile and rule.</w:t>
      </w:r>
    </w:p>
    <w:p>
      <w:pPr>
        <w:numPr>
          <w:ilvl w:val="4"/>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Ex. SSN Firewall rule -&gt; SSN Security Profile -&gt; SSN Data Filtering profile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DLP events have no contextual information, so there is no way to review the event and understand what caused it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Enterprise DLP is already in use on the CVS Panorama under a temporary license (license status per Network Security Engineering; license terms are not visible in the configuration). The production DLP profile depends on it, so the decision is whether to make the license permanent before it expires, not whether to adopt Enterprise DLP.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with the Palo Alto account team: the expiry date, what happens to the production NAB profile and the other 26 cloud data profiles if it lapses, and whether incident detail (matched pattern, snippets) is available to the DLP team during the trial.</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No complex DLP logic to allow for tuning.</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Boolean profiles already exist and can be built and tested now, while the temporary license is active. The HIPAA profile combines SSN AND name, address, date of birth, medical condition or phone number, and a test profile (SBoyle_Test) uses OR logic. The production NAB profile is the "basic" type, so converting it to advanced is the tuning path.</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no existing profile uses NOT/exclusion logic; confirm support with Palo Alto. An application exclusion filter ("DLP App Exclusion Filter") is already applied to the NAB profile.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web DLP table has 22 parent rules and 28 sub-rules; 43 of 50 entries are enabled (7 disabled, all TEST-named).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Block actions (enabled):</w:t>
      </w:r>
      <w:r>
        <w:t xml:space="preserve"> rule 13 (_PRD_PCI, any URL); rule 20 (password-protected/encrypted file types, any URL; 9 Allow sub-rules); sub-rules 10.8–10.10 (SSN, HICN, bank, credit card, confidential proprietary/medical/MBI, encrypted files; parent scoped to categories Generative AI, DPS_DenyListProd_AIchatbots, CVSH_DPS_Unauthorized_URLs_for_Uploads, S-CVSH-Marketing_Social-Networking); sub-rules 8.1–8.2 (named apps: Snapchat, Facebook, TikTok, ChatGPT, Instagram, X, Blogger, SendSafely, LinkedIn, WebEx); rule 9 (Slack); rule 18 (WebEx); rule 19 (_PRD_Creds-Secrets to Box, GitHub, GitLab); rule 22 (SSN, HICN, bank to SharePoint, OneDrive, OneDrive Personal, Outlook, Outlook Personal; Allow sub-rules for instances CVSH-SharePoint, CVSH-OneDrive, CVS-OWA).</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Allow (log) actions:</w:t>
      </w:r>
      <w:r>
        <w:t xml:space="preserve"> rules 14 (SSN, HICN), 15 (credential engines), 16 (credit card, bank), 17 (confidential proprietary, medical, MBI), each with no URL or app restriction. In the December 2025 export the same rules were named with the suffix "_MON". Rules 14–17 are ordered above rules 18, 19 and 22. </w:t>
      </w:r>
      <w:r>
        <w:rPr>
          <w:b/>
        </w:rPr>
        <w:t>Verify:</w:t>
      </w:r>
      <w:r>
        <w:t xml:space="preserve"> whether ZIA applies the first matching DLP rule; if so, rules 18, 19 and 22 would not block SSN, HICN or bank data (test upload required).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Engine names in ZIA rules include _PRD_Restricted_HICN, CVS Health HICN, _PRD_Confidential_MBI and _PRD_Confidential_Medical. The Palo NAB profile (22 predefined patterns) contains no HICN, MBI or NPI pattern. Engine definitions are not in the ZIA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Verify:</w:t>
      </w:r>
      <w:r>
        <w:t xml:space="preserve"> ZIA DLP log and incident fields delivered to the DLP team (rule name, engine, matched content). Not visible in the policy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Other ZIA DLP tables:</w:t>
      </w:r>
      <w:r>
        <w:t xml:space="preserve"> Endpoint DLP 10 rules, all enabled, all Block (removable storage, printing, personal cloud storage). SaaS Security API DLP 80 rules (75 enabled): 71 Report Incident, 9 Quarantine. Outbound Email DLP (Mimecast tenant) 10 parent rules: rule 6 Mail_SSN (Block) enabled; the other 9 parents and all 15 exception sub-rules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Web DLP applies only to traffic decrypted under the SSL rules above; traffic matched by SSL rules 1, 2, 6, 7, 9, 23, 24, 31 (outside Road Warrior), 33 and 34 is not decrypted.</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File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the list below exactly matches File_Blocking_Best_Practice_SP; all other file types are logged.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Risky Files: 7z, bat, chm, class, cpl, dll, exe, hlp, hta, jar, ocx, PE, pif, privkey, pst, rar, scr, torrent, vbe, wsf</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Encrypted Files: encrypted-7z, encrypted-rar, encrypted-zip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MS Encrypted Files: encrypted-doc, encrypted-docx, encrypted-office2007, encrypted-pdf, encrypted-ppt, encrypted-pptx, encrypted-xls, encrypted-xlsx</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it applies wherever the DLP profile groups apply — RI and AZ as well as Vegas. One Vegas exception rule uses File_Blocking_No_PDF_Enc, which drops only encrypted-pdf. On Aetna, about 97% of enabled internet allow rules (999 of 1,022) use profile groups with no file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File blocking has the same decryption dependency as DLP: it cannot see files inside undecrypted HTTPS.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File Type Control has 23 enabled rules: 6 Block, 17 Allow. Block rules: 21 (download of Batch, DMG, Windows Executable, Windows Shortcut; no user scope), 22 (upload of Outlook ost/pst; no user scope), 2 (upload of Mac keychain; Road Warrior), 3 (Conda block category), 1 and 23 (test rules, named users). The 17 Allow rules are group-, user-, app- or category-scoped.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Security Exceptions:</w:t>
      </w:r>
      <w:r>
        <w:t xml:space="preserve"> Password-Protected Files = Allow; Unscannable Files = Allow. "Do Not Scan Content from these URLs" has 22 entries (empty in the December 2025 export), including .url.uk.m.mimecastprotect.com. Web DLP rule 20 blocks upload of password-protected/encrypted files; no ZIA rule blocks their download. The Palo File_Blocking_Best_Practice_SP profile blocks encrypted-7z/rar/zip and MS encrypted files.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Sandbox:</w:t>
      </w:r>
      <w:r>
        <w:t xml:space="preserve"> rule 4 (BA_1, no URL category scope) and the Default rule use "Allow and scan first time, block subsequent download". Rules 2 and 3 use "Quarantine first time" for executables/DLLs from 11 listed categories and for Office/PDF from Other Miscellaneous and Miscellaneous or Unknown.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File type, sandbox and AV inspection of HTTPS apply only to decrypted traffic (see SSL Decrypt).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none in effect on either Panorama.</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Testing: a TRv2 header (sec-Restrict-Tenant-Access-Policy with the tenant ID and policy ID, plus restrict-msa for login.live.com) is configured in a Vegas URL profile. It is applied only to one test host, 10.47.152.25, which is outside the decrypted Meritain subnet, so the header cannot be inserted. That profile also has a typo ("login.live,com").</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The Claude organization restriction header is attached to enabled rules in RI, AZ and Vegas, but Claude decryption is disabled there, so it has no effect either.</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tenant restriction configuration is present and enabled in the following rules.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 xml:space="preserve">Cloud App Control, IT Services rule 5: Microsoft Login Services, tenant profile "CVSH MS Tenant", location Road Warrior. SSL rule 25 decrypts Microsoft Login Services for Road Warrior. </w:t>
      </w:r>
      <w:r>
        <w:rPr>
          <w:b/>
        </w:rPr>
        <w:t>Verify:</w:t>
      </w:r>
      <w:r>
        <w:t xml:space="preserve"> whether the tenant profile inserts TRv1 or TRv2 headers (profile contents not in the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Cloud App Control, AI &amp; ML rule 78: ChatGPT/OpenAI, tenant profile "CVSH-EnterpriseCha…", location Road Warrior. Collaboration rule 19: Slack, tenant profile "YCC Slack", no location scope; rule 21 blocks other Slack. URL rule 32: Claude header insertion profile, two named users.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No enabled tenant-profile rule references the Retail Stores, IoT Traffic Group, CVSConnect or Cloud Connector location groups; SSL rules 1, 2, 6, 7, 9 and 23 exempt those locations from decryption.</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Proxy category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URL category blocking is in place on the CVS firewalls. The RI/AZ general-population profile blocks 40 categories, and the Vegas profiles (Meritain, PPOM, LV-COLO) block 38–44.</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Aetna has effectively no category blocking; nearly all Aetna internet rules use profile groups with no URL filtering.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URL rule 60 (last rule) blocks 38 predefined categories plus custom categories CVSH-URL-Block and PRD-CVSH-TLD-Block. URL rule 48 isolates Generative AI and DPS_DenyListProd_AIchatbots; rule 52 isolates Other Miscellaneous, Miscellaneous or Unknown, Newly Registered and Observed Domains, Non Categorizable.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Rules 1–59 precede rule 60: 29 name individual users; rule 30 allows location groups GCP-Egress-Prod/NonProd with no URL category criterion.</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Difference between the Palo and McAfee policy (if any)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Vegas: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 (PDC comparison)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to multiple URL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 V1 (out of date list of allowed tenants, but in place and was pending review and update to V2)</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that provided specific data type coverage for Restricted data in block mode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Meritain users are decrypted by default (not a small group of URLs); LV-COLO and PPOM/NAB are not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(test profile only)</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DLP profile (22 data types) in alert mode, with no per-type attribution in logs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URL category blocking and file blocking in place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CVS: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SSL Decrypt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(due to lack of SSL decrypt)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earlier Skyhigh config analysis found TRv1 header rules on both the Aetna and CVS proxies (same tenant ID); on the CVS proxy they would only apply to decrypted sessions.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blocking on port 80 traffic</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decryption is enabled only for categories that are then blocked, so permitted traffic is effectively not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(due to lack of SSL decrypt)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in alert mode, attached to the general-population rule and all per-group allowances, but blind to HTTPS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URL category blocking (40 categories) and file blocking in place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Aetna:</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to multiple URL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 V1 (out of date list of allowed tenants, but in place and was pending review and update to V2)</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that provided specific data type coverage for Restricted data in block mode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SSL decrypt is configured (categories plus a 636-site list), but decrypted traffic gets only alert-only AV/spyware/vulnerability inspection — no URL filtering, file blocking or DLP on nearly all rules.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DLP policy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(location scopes as noted; rule numbers from the May 2026 export)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SSL decryption: see the SSL Decrypt section above for the Inspect and Do Not Inspect rules and their scopes.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Tenant restrictions: enabled for Microsoft Login Services and ChatGPT (location Road Warrior) and Slack (no location scope).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DLP: Block actions for PCI (any URL), encrypted uploads (any URL) and the listed categories and apps; Allow (log) actions for SSN, HICN, credentials, bank, confidential, medical and MBI to other URLs (rules 14–17).</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URL category Block (rule 60), Isolate (rules 48, 52), File Type Block (rules 21, 22), sandbox rules 1–4; Security Exceptions allow password-protected and unscannable files.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Cloud Connector and GCP-Egress location groups: Do Not Inspect (SSL 1, 2, 6, 7, 9); Firewall rules 24 and 25 allow any service and destination for GCP and Azure Cloud Connector groups and GCP-Egress; URL rule 30 allows all categories for GCP-Egress. AWS Cloud Connector SecureHub groups are not in FW rules 24/25.</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If policy differences, what is needed to close the differences between McAfee and Palo</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Decryption first — </w:t>
      </w:r>
      <w:r>
        <w:rPr/>
        <w:t xml:space="preserve">it is the prerequisite for DLP, file blocking and tenant restrictions.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CVS RI/AZ: decrypt permitted traffic, not only blocked categories; attach a decryption profile to the decrypt rule.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Review the file-sharing exemptions (Box, OneDrive, Syncplicity, LeapFile, Cloudflare Storage, iCloud) and the *.amazonaws.com/*.appspot.com exemption, which remove the main exfiltration paths from inspection.</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Vegas: extend decryption to PPOM/NAB and LV-COLO.</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scope parity with Aetna McAfee.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Rewrite the firewall rules to take DLP into account </w:t>
      </w:r>
      <w:r>
        <w:rPr/>
        <w:t xml:space="preserve">— one data profile per data type, each with its own security profile and rule, so detections are attributable. Convert the NAB profile to advanced (Boolean) logic for tuning; add HICN/MBI; promote to block after burn-in; extend DLP to Aetna.</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File inspection and processing — two approaches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Step 1 — Regex-based File/Data Filtering (stop-gap). </w:t>
      </w:r>
      <w:r>
        <w:rPr/>
        <w:t xml:space="preserve">Provided as a stop-gap until permanent Palo Alto Enterprise (Advanced) DLP licensing is in place. It does not depend on that license, so it also serves as the fallback if the temporary license lapses.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it works: Classic PAN-OS Data Filtering. Custom data patterns (one regular expression per data type) are defined as Panorama objects and grouped into a Data Filtering profile. Each pattern is evaluated on its own against alert and block thresholds (match counts).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Limits: format-only matching — no checksum validation (no Luhn check for card numbers), no proximity keywords, no combining of data types, and a restricted regex syntax (no lookahead/lookbehind). Precision comes only from how tightly each regex is written.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Scope: structurally unique patterns that are safe on their own — MBI (Block after lab validation), masked SSN, HICN (Alert), Azure keys/secrets, password assignments — plus SSN and PCI as Alert-only fallbacks. File Blocking additions (OST, database files, keychain) also belong to this step.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Status: no Classic data patterns exist on either Panorama today. The v3 workbook contains amended, tested regex; the v2 MBI regex did not match valid MBIs and has been corrected.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Step 2 — Boolean Enterprise DLP (target). </w:t>
      </w:r>
      <w:r>
        <w:rPr/>
        <w:t xml:space="preserve">The Enterprise DLP service, currently on a temporary license, already hosts the production NAB profile and 26 other data profiles.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it works: data profiles are defined in the Enterprise DLP cloud service and synced into Panorama. Boolean expressions combine data types (for example the existing HIPAA profile: SSN AND name, address, date of birth, medical condition or phone number), with occurrence counts, confidence levels and proximity keywords.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What it adds: vendor-validated patterns (SSN, card numbers), keyword gating, exclusions, and incident detail for reviewing detections. These are the capabilities the DLP team needs for tuning (A AND B, NOT C) and for the Zscaler-parity keyword lists; none of them can be done in Step 1.</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Scope: SSN and PCI as primary detectors, Driver's License, Member ID, password complexity with keywords, and HIPAA-style combinations.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Common to both approaches: </w:t>
      </w:r>
      <w:r>
        <w:rPr/>
        <w:t xml:space="preserve"/>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data-filtering profile per security profile group or rule — a Step 1 profile cannot run alongside the NAB profile on the same rule. Per-data-type profiles and rules (the rule-stack rewrite) give attributable logging in either step.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Both inspect only cleartext or decrypted traffic. Neither helps RI/AZ user traffic until permitted traffic is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Both start in Alert and move to Block after burn-in. As each Step 2 equivalent is proven, decide per pattern whether to retire the Step 1 regex or keep it as a license-lapse fallback.</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Enterprise DLP license: </w:t>
      </w:r>
      <w:r>
        <w:rPr/>
        <w:t xml:space="preserve">convert the temporary license to permanent before it expires — the production DLP profile already depends on it. Use the remaining trial period to test Boolean tuning and incident visibility so the purchase is backed by results.</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Aetna content inspection: </w:t>
      </w:r>
      <w:r>
        <w:rPr/>
        <w:t xml:space="preserve">attach URL filtering, file blocking and DLP to the traffic Aetna already decrypts.</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Tenant Restrictions implementation: </w:t>
      </w:r>
      <w:r>
        <w:rPr/>
        <w:t xml:space="preserve">complete the chain at one pilot scope (Meritain): add the header to the Meritain URL profiles, fix the login.live.com typo, verify end to end, then expand. Evaluate Microsoft Entra cross-tenant access policies as the longer-term control.</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 configuration relevant to closing Palo gaps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ZIA web DLP rules reference HICN, MBI and medical engines (engine definitions not exported); these could be compared with the Palo data profiles once the ZIA engine definitions are obtained.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The ZIA Microsoft tenant restriction uses two rules together: SSL rule 25 (decrypt Microsoft Login Services) and Cloud App IT Services rule 5 (tenant profile). The Palo Meritain TRv2 pilot requires the equivalent pairing: decryption of login.microsoftonline.com plus header insertion.</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ZIA items open in the ZIA Configuration Analysis (Sept 2026): SSL and firewall rules for Cloud Connector/GCP-Egress locations; DLP rules 14–17 Allow vs. Block and their order; Security Exceptions for password-protected files; SSL rule 33 scope.</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Who is managing the Palo DLP policy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Firewall Ops. DLP team has read-only access but rule application is entirely dependent on firewall rule configuration.</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Note: </w:t>
      </w:r>
      <w:r>
        <w:rPr/>
        <w:t xml:space="preserve">the DLP data profiles are Enterprise DLP cloud objects (versioned and synced to Panorama), separate from firewall rules. Data-profile content could be owned by the DLP team while Firewall Ops owns rule and profile-group attachment — worth confirming the ownership split.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 DLP policy:</w:t>
      </w:r>
      <w:r>
        <w:t xml:space="preserve"> URL rule 44 description reads "DO NOT MAKE ANY CHANGES without approval from EIS\Data Protection Services (DPS)"; custom categories DPS_DenyListProd_AIchatbots, CVSH_DPS_Unauthorized_URLs_for_Uploads and DPS-CVSH-DLP-Allow carry the DPS prefix. DLP rule descriptions record changes with initials (JW, JET, JD, AS). ZIA admin roles and rule ownership are not in the export. </w:t>
      </w:r>
      <w:r>
        <w:rPr>
          <w:b/>
        </w:rPr>
        <w:t>Verify:</w:t>
      </w:r>
      <w:r>
        <w:t xml:space="preserve"> who holds edit rights on ZIA DLP rules.</w:t>
      </w:r>
    </w:p>
    <w:sectPr w:rsidR="0008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D80EC2"/>
    <w:multiLevelType w:val="multilevel"/>
    <w:tmpl w:val="3D28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76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A7"/>
    <w:rsid w:val="00011EA7"/>
    <w:rsid w:val="00082A35"/>
    <w:rsid w:val="00083ABB"/>
    <w:rsid w:val="003A7453"/>
    <w:rsid w:val="004331F1"/>
    <w:rsid w:val="0055579D"/>
    <w:rsid w:val="00696DEF"/>
    <w:rsid w:val="0070563C"/>
    <w:rsid w:val="00A14458"/>
    <w:rsid w:val="00A652AC"/>
    <w:rsid w:val="00B82B3A"/>
    <w:rsid w:val="00BE6E4F"/>
    <w:rsid w:val="00C11B65"/>
    <w:rsid w:val="00EA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E4E49"/>
  <w15:chartTrackingRefBased/>
  <w15:docId w15:val="{CAB65182-AF10-0A4C-A66B-97BC8161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A7"/>
    <w:rPr>
      <w:rFonts w:eastAsiaTheme="majorEastAsia" w:cstheme="majorBidi"/>
      <w:color w:val="272727" w:themeColor="text1" w:themeTint="D8"/>
    </w:rPr>
  </w:style>
  <w:style w:type="paragraph" w:styleId="Title">
    <w:name w:val="Title"/>
    <w:basedOn w:val="Normal"/>
    <w:next w:val="Normal"/>
    <w:link w:val="TitleChar"/>
    <w:uiPriority w:val="10"/>
    <w:qFormat/>
    <w:rsid w:val="0001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1EA7"/>
    <w:rPr>
      <w:i/>
      <w:iCs/>
      <w:color w:val="404040" w:themeColor="text1" w:themeTint="BF"/>
    </w:rPr>
  </w:style>
  <w:style w:type="paragraph" w:styleId="ListParagraph">
    <w:name w:val="List Paragraph"/>
    <w:basedOn w:val="Normal"/>
    <w:uiPriority w:val="34"/>
    <w:qFormat/>
    <w:rsid w:val="00011EA7"/>
    <w:pPr>
      <w:ind w:left="720"/>
      <w:contextualSpacing/>
    </w:pPr>
  </w:style>
  <w:style w:type="character" w:styleId="IntenseEmphasis">
    <w:name w:val="Intense Emphasis"/>
    <w:basedOn w:val="DefaultParagraphFont"/>
    <w:uiPriority w:val="21"/>
    <w:qFormat/>
    <w:rsid w:val="00011EA7"/>
    <w:rPr>
      <w:i/>
      <w:iCs/>
      <w:color w:val="0F4761" w:themeColor="accent1" w:themeShade="BF"/>
    </w:rPr>
  </w:style>
  <w:style w:type="paragraph" w:styleId="IntenseQuote">
    <w:name w:val="Intense Quote"/>
    <w:basedOn w:val="Normal"/>
    <w:next w:val="Normal"/>
    <w:link w:val="IntenseQuoteChar"/>
    <w:uiPriority w:val="30"/>
    <w:qFormat/>
    <w:rsid w:val="0001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A7"/>
    <w:rPr>
      <w:i/>
      <w:iCs/>
      <w:color w:val="0F4761" w:themeColor="accent1" w:themeShade="BF"/>
    </w:rPr>
  </w:style>
  <w:style w:type="character" w:styleId="IntenseReference">
    <w:name w:val="Intense Reference"/>
    <w:basedOn w:val="DefaultParagraphFont"/>
    <w:uiPriority w:val="32"/>
    <w:qFormat/>
    <w:rsid w:val="00011EA7"/>
    <w:rPr>
      <w:b/>
      <w:bCs/>
      <w:smallCaps/>
      <w:color w:val="0F4761" w:themeColor="accent1" w:themeShade="BF"/>
      <w:spacing w:val="5"/>
    </w:rPr>
  </w:style>
  <w:style w:type="character" w:customStyle="1" w:styleId="normaltextrun">
    <w:name w:val="normaltextrun"/>
    <w:basedOn w:val="DefaultParagraphFont"/>
    <w:rsid w:val="00EA1B7B"/>
  </w:style>
  <w:style w:type="character" w:customStyle="1" w:styleId="eop">
    <w:name w:val="eop"/>
    <w:basedOn w:val="DefaultParagraphFont"/>
    <w:rsid w:val="00EA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619</Words>
  <Characters>3159</Characters>
  <Application>Microsoft Office Word</Application>
  <DocSecurity>0</DocSecurity>
  <Lines>67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Hilton, James</dc:creator>
  <cp:keywords/>
  <dc:description/>
  <cp:lastModifiedBy>Hilton, James</cp:lastModifiedBy>
  <cp:revision>1</cp:revision>
  <dcterms:created xsi:type="dcterms:W3CDTF">2026-09-28T14:09:00Z</dcterms:created>
  <dcterms:modified xsi:type="dcterms:W3CDTF">2026-09-28T17:09:00Z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2026-09-28T17:09:36Z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a232fef2-cac2-46b0-81a9-5786c36c9750</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