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Capability &amp; Coverage by Location — Proxy + NGFW</w:t>
      </w:r>
    </w:p>
    <w:p>
      <w:pPr>
        <w:pBdr>
          <w:bottom w:val="single" w:color="8C1D18" w:sz="12" w:space="8"/>
        </w:pBdr>
        <w:spacing w:after="400"/>
      </w:pPr>
      <w:r>
        <w:rPr>
          <w:i/>
          <w:iCs/>
          <w:color w:val="5B6169"/>
          <w:sz w:val="19"/>
          <w:szCs w:val="19"/>
        </w:rPr>
        <w:t>Sources: PAN-OS Panorama configs (08/31/2026), SK-to-PA Security Model &amp; Parity Plan v9 (Aug 2026), Skyhigh SSL Decryption Findings Per Proxy (Jul 2026), Skyhigh Header Policy Review (Jul 2026), ZIA "Print All Policies" exports (27 May 2026 and 2 Dec 2025), ZIA Configuration Analysis v1.0 and ZIA User vs. Workload Enforcement Model v1.0 (Sept 2026), Palo Alto Questions Answered v3.3. ZIA rule numbers refer to the May 2026 export. This document incorporates and corrects prior findings — see Corrections section.</w:t>
      </w:r>
    </w:p>
    <w:p>
      <w:pPr>
        <w:pStyle w:val="Heading1"/>
        <w:spacing w:after="160" w:before="360"/>
      </w:pPr>
      <w:r>
        <w:t xml:space="preserve">Architecture: CVS Enterprise vs. Aetna</w:t>
      </w:r>
    </w:p>
    <w:p>
      <w:pPr>
        <w:spacing w:after="120"/>
      </w:pPr>
      <w:r>
        <w:t>The two estates differ on each dimension in the table below. The target model draws on specific elements of each, as described after the table.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Dimension</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CVS Enterprise (AZ/Shea, RI, LV-COLO, Retail)</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Aetna (Middletown &amp; Windsor)</w:t>
            </w:r>
          </w:p>
        </w:tc>
      </w:tr>
      <w:tr>
        <w:tc>
          <w:tcPr>
            <w:tcW w:type="dxa" w:w="2800"/>
            <w:tcMar>
              <w:top w:type="dxa" w:w="80"/>
              <w:left w:type="dxa" w:w="100"/>
              <w:bottom w:type="dxa" w:w="80"/>
              <w:right w:type="dxa" w:w="100"/>
            </w:tcMar>
          </w:tcPr>
          <w:p>
            <w:pPr>
              <w:jc w:val="left"/>
            </w:pPr>
            <w:r>
              <w:rPr>
                <w:b w:val="false"/>
                <w:bCs w:val="false"/>
                <w:sz w:val="16"/>
                <w:szCs w:val="16"/>
              </w:rPr>
              <w:t xml:space="preserve">Proxy decrypt posture</w:t>
            </w:r>
          </w:p>
        </w:tc>
        <w:tc>
          <w:tcPr>
            <w:tcW w:type="dxa" w:w="4200"/>
            <w:tcMar>
              <w:top w:type="dxa" w:w="80"/>
              <w:left w:type="dxa" w:w="100"/>
              <w:bottom w:type="dxa" w:w="80"/>
              <w:right w:type="dxa" w:w="100"/>
            </w:tcMar>
          </w:tcPr>
          <w:p>
            <w:pPr>
              <w:jc w:val="left"/>
            </w:pPr>
            <w:r>
              <w:rPr>
                <w:b w:val="false"/>
                <w:bCs w:val="false"/>
                <w:sz w:val="16"/>
                <w:szCs w:val="16"/>
              </w:rPr>
              <w:t xml:space="preserve">Opt-in, deny-by-default (Skyhigh)</w:t>
            </w:r>
          </w:p>
        </w:tc>
        <w:tc>
          <w:tcPr>
            <w:tcW w:type="dxa" w:w="4200"/>
            <w:tcMar>
              <w:top w:type="dxa" w:w="80"/>
              <w:left w:type="dxa" w:w="100"/>
              <w:bottom w:type="dxa" w:w="80"/>
              <w:right w:type="dxa" w:w="100"/>
            </w:tcMar>
          </w:tcPr>
          <w:p>
            <w:pPr>
              <w:jc w:val="left"/>
            </w:pPr>
            <w:r>
              <w:rPr>
                <w:b w:val="false"/>
                <w:bCs w:val="false"/>
                <w:sz w:val="16"/>
                <w:szCs w:val="16"/>
              </w:rPr>
              <w:t xml:space="preserve">Opt-out, decrypt-by-default (Skyhigh)</w:t>
            </w:r>
          </w:p>
        </w:tc>
      </w:tr>
      <w:tr>
        <w:tc>
          <w:tcPr>
            <w:tcW w:type="dxa" w:w="2800"/>
            <w:tcMar>
              <w:top w:type="dxa" w:w="80"/>
              <w:left w:type="dxa" w:w="100"/>
              <w:bottom w:type="dxa" w:w="80"/>
              <w:right w:type="dxa" w:w="100"/>
            </w:tcMar>
          </w:tcPr>
          <w:p>
            <w:pPr>
              <w:jc w:val="left"/>
            </w:pPr>
            <w:r>
              <w:rPr>
                <w:b w:val="false"/>
                <w:bCs w:val="false"/>
                <w:sz w:val="16"/>
                <w:szCs w:val="16"/>
              </w:rPr>
              <w:t xml:space="preserve">Redirection mechanism</w:t>
            </w:r>
          </w:p>
        </w:tc>
        <w:tc>
          <w:tcPr>
            <w:tcW w:type="dxa" w:w="4200"/>
            <w:tcMar>
              <w:top w:type="dxa" w:w="80"/>
              <w:left w:type="dxa" w:w="100"/>
              <w:bottom w:type="dxa" w:w="80"/>
              <w:right w:type="dxa" w:w="100"/>
            </w:tcMar>
          </w:tcPr>
          <w:p>
            <w:pPr>
              <w:jc w:val="left"/>
            </w:pPr>
            <w:r>
              <w:rPr>
                <w:b w:val="false"/>
                <w:bCs w:val="false"/>
                <w:sz w:val="16"/>
                <w:szCs w:val="16"/>
              </w:rPr>
              <w:t xml:space="preserve">Network-layer WCCP, on Cisco ASA/Firepower</w:t>
            </w:r>
          </w:p>
        </w:tc>
        <w:tc>
          <w:tcPr>
            <w:tcW w:type="dxa" w:w="4200"/>
            <w:tcMar>
              <w:top w:type="dxa" w:w="80"/>
              <w:left w:type="dxa" w:w="100"/>
              <w:bottom w:type="dxa" w:w="80"/>
              <w:right w:type="dxa" w:w="100"/>
            </w:tcMar>
          </w:tcPr>
          <w:p>
            <w:pPr>
              <w:jc w:val="left"/>
            </w:pPr>
            <w:r>
              <w:rPr>
                <w:b w:val="false"/>
                <w:bCs w:val="false"/>
                <w:sz w:val="16"/>
                <w:szCs w:val="16"/>
              </w:rPr>
              <w:t xml:space="preserve">Client-side PAC file (GPO/MDM-pushed)</w:t>
            </w:r>
          </w:p>
        </w:tc>
      </w:tr>
      <w:tr>
        <w:tc>
          <w:tcPr>
            <w:tcW w:type="dxa" w:w="2800"/>
            <w:tcMar>
              <w:top w:type="dxa" w:w="80"/>
              <w:left w:type="dxa" w:w="100"/>
              <w:bottom w:type="dxa" w:w="80"/>
              <w:right w:type="dxa" w:w="100"/>
            </w:tcMar>
          </w:tcPr>
          <w:p>
            <w:pPr>
              <w:jc w:val="left"/>
            </w:pPr>
            <w:r>
              <w:rPr>
                <w:b w:val="false"/>
                <w:bCs w:val="false"/>
                <w:sz w:val="16"/>
                <w:szCs w:val="16"/>
              </w:rPr>
              <w:t xml:space="preserve">Panorama pair</w:t>
            </w:r>
          </w:p>
        </w:tc>
        <w:tc>
          <w:tcPr>
            <w:tcW w:type="dxa" w:w="4200"/>
            <w:tcMar>
              <w:top w:type="dxa" w:w="80"/>
              <w:left w:type="dxa" w:w="100"/>
              <w:bottom w:type="dxa" w:w="80"/>
              <w:right w:type="dxa" w:w="100"/>
            </w:tcMar>
          </w:tcPr>
          <w:p>
            <w:pPr>
              <w:jc w:val="left"/>
            </w:pPr>
            <w:r>
              <w:rPr>
                <w:b w:val="false"/>
                <w:bCs w:val="false"/>
                <w:sz w:val="16"/>
                <w:szCs w:val="16"/>
              </w:rPr>
              <w:t xml:space="preserve">PAZSHDC/RRISHDC</w:t>
            </w:r>
          </w:p>
        </w:tc>
        <w:tc>
          <w:tcPr>
            <w:tcW w:type="dxa" w:w="4200"/>
            <w:tcMar>
              <w:top w:type="dxa" w:w="80"/>
              <w:left w:type="dxa" w:w="100"/>
              <w:bottom w:type="dxa" w:w="80"/>
              <w:right w:type="dxa" w:w="100"/>
            </w:tcMar>
          </w:tcPr>
          <w:p>
            <w:pPr>
              <w:jc w:val="left"/>
            </w:pPr>
            <w:r>
              <w:rPr>
                <w:b w:val="false"/>
                <w:bCs w:val="false"/>
                <w:sz w:val="16"/>
                <w:szCs w:val="16"/>
              </w:rPr>
              <w:t xml:space="preserve">MID/WIN</w:t>
            </w:r>
          </w:p>
        </w:tc>
      </w:tr>
      <w:tr>
        <w:tc>
          <w:tcPr>
            <w:tcW w:type="dxa" w:w="2800"/>
            <w:tcMar>
              <w:top w:type="dxa" w:w="80"/>
              <w:left w:type="dxa" w:w="100"/>
              <w:bottom w:type="dxa" w:w="80"/>
              <w:right w:type="dxa" w:w="100"/>
            </w:tcMar>
          </w:tcPr>
          <w:p>
            <w:pPr>
              <w:jc w:val="left"/>
            </w:pPr>
            <w:r>
              <w:rPr>
                <w:b w:val="false"/>
                <w:bCs w:val="false"/>
                <w:sz w:val="16"/>
                <w:szCs w:val="16"/>
              </w:rPr>
              <w:t xml:space="preserve">Dominant PA profile-group</w:t>
            </w:r>
          </w:p>
        </w:tc>
        <w:tc>
          <w:tcPr>
            <w:tcW w:type="dxa" w:w="4200"/>
            <w:tcMar>
              <w:top w:type="dxa" w:w="80"/>
              <w:left w:type="dxa" w:w="100"/>
              <w:bottom w:type="dxa" w:w="80"/>
              <w:right w:type="dxa" w:w="100"/>
            </w:tcMar>
          </w:tcPr>
          <w:p>
            <w:pPr>
              <w:jc w:val="left"/>
            </w:pPr>
            <w:r>
              <w:rPr>
                <w:b w:val="false"/>
                <w:bCs w:val="false"/>
                <w:sz w:val="16"/>
                <w:szCs w:val="16"/>
              </w:rPr>
              <w:t xml:space="preserve">Alert-All-SPG (~98.9%) — alert-only fields present</w:t>
            </w:r>
          </w:p>
        </w:tc>
        <w:tc>
          <w:tcPr>
            <w:tcW w:type="dxa" w:w="4200"/>
            <w:tcMar>
              <w:top w:type="dxa" w:w="80"/>
              <w:left w:type="dxa" w:w="100"/>
              <w:bottom w:type="dxa" w:w="80"/>
              <w:right w:type="dxa" w:w="100"/>
            </w:tcMar>
          </w:tcPr>
          <w:p>
            <w:pPr>
              <w:jc w:val="left"/>
            </w:pPr>
            <w:r>
              <w:rPr>
                <w:b w:val="false"/>
                <w:bCs w:val="false"/>
                <w:sz w:val="16"/>
                <w:szCs w:val="16"/>
              </w:rPr>
              <w:t xml:space="preserve">hcb_DMZ/hcb_GLR (~90%) — fields absent entirely</w:t>
            </w:r>
          </w:p>
        </w:tc>
      </w:tr>
      <w:tr>
        <w:tc>
          <w:tcPr>
            <w:tcW w:type="dxa" w:w="2800"/>
            <w:tcMar>
              <w:top w:type="dxa" w:w="80"/>
              <w:left w:type="dxa" w:w="100"/>
              <w:bottom w:type="dxa" w:w="80"/>
              <w:right w:type="dxa" w:w="100"/>
            </w:tcMar>
          </w:tcPr>
          <w:p>
            <w:pPr>
              <w:jc w:val="left"/>
            </w:pPr>
            <w:r>
              <w:rPr>
                <w:b w:val="false"/>
                <w:bCs w:val="false"/>
                <w:sz w:val="16"/>
                <w:szCs w:val="16"/>
              </w:rPr>
              <w:t xml:space="preserve">Real enforcement</w:t>
            </w:r>
          </w:p>
        </w:tc>
        <w:tc>
          <w:tcPr>
            <w:tcW w:type="dxa" w:w="4200"/>
            <w:tcMar>
              <w:top w:type="dxa" w:w="80"/>
              <w:left w:type="dxa" w:w="100"/>
              <w:bottom w:type="dxa" w:w="80"/>
              <w:right w:type="dxa" w:w="100"/>
            </w:tcMar>
          </w:tcPr>
          <w:p>
            <w:pPr>
              <w:jc w:val="left"/>
            </w:pPr>
            <w:r>
              <w:rPr>
                <w:b w:val="false"/>
                <w:bCs w:val="false"/>
                <w:sz w:val="16"/>
                <w:szCs w:val="16"/>
              </w:rPr>
              <w:t xml:space="preserve">Narrow, affiliate-specific (NAB, Meritain)</w:t>
            </w:r>
          </w:p>
        </w:tc>
        <w:tc>
          <w:tcPr>
            <w:tcW w:type="dxa" w:w="4200"/>
            <w:tcMar>
              <w:top w:type="dxa" w:w="80"/>
              <w:left w:type="dxa" w:w="100"/>
              <w:bottom w:type="dxa" w:w="80"/>
              <w:right w:type="dxa" w:w="100"/>
            </w:tcMar>
          </w:tcPr>
          <w:p>
            <w:pPr>
              <w:jc w:val="left"/>
            </w:pPr>
            <w:r>
              <w:rPr>
                <w:b w:val="false"/>
                <w:bCs w:val="false"/>
                <w:sz w:val="16"/>
                <w:szCs w:val="16"/>
              </w:rPr>
              <w:t xml:space="preserve">None found at this scale</w:t>
            </w:r>
          </w:p>
        </w:tc>
      </w:tr>
      <w:tr>
        <w:tc>
          <w:tcPr>
            <w:tcW w:type="dxa" w:w="2800"/>
            <w:tcMar>
              <w:top w:type="dxa" w:w="80"/>
              <w:left w:type="dxa" w:w="100"/>
              <w:bottom w:type="dxa" w:w="80"/>
              <w:right w:type="dxa" w:w="100"/>
            </w:tcMar>
          </w:tcPr>
          <w:p>
            <w:pPr>
              <w:jc w:val="left"/>
            </w:pPr>
            <w:r>
              <w:rPr>
                <w:b w:val="false"/>
                <w:bCs w:val="false"/>
                <w:sz w:val="16"/>
                <w:szCs w:val="16"/>
              </w:rPr>
              <w:t xml:space="preserve">Rulebase default-deny</w:t>
            </w:r>
          </w:p>
        </w:tc>
        <w:tc>
          <w:tcPr>
            <w:tcW w:type="dxa" w:w="4200"/>
            <w:tcMar>
              <w:top w:type="dxa" w:w="80"/>
              <w:left w:type="dxa" w:w="100"/>
              <w:bottom w:type="dxa" w:w="80"/>
              <w:right w:type="dxa" w:w="100"/>
            </w:tcMar>
          </w:tcPr>
          <w:p>
            <w:pPr>
              <w:jc w:val="left"/>
            </w:pPr>
            <w:r>
              <w:rPr>
                <w:b w:val="false"/>
                <w:bCs w:val="false"/>
                <w:sz w:val="16"/>
                <w:szCs w:val="16"/>
              </w:rPr>
              <w:t xml:space="preserve">Implicit (PAN-OS platform default)</w:t>
            </w:r>
          </w:p>
        </w:tc>
        <w:tc>
          <w:tcPr>
            <w:tcW w:type="dxa" w:w="4200"/>
            <w:tcMar>
              <w:top w:type="dxa" w:w="80"/>
              <w:left w:type="dxa" w:w="100"/>
              <w:bottom w:type="dxa" w:w="80"/>
              <w:right w:type="dxa" w:w="100"/>
            </w:tcMar>
          </w:tcPr>
          <w:p>
            <w:pPr>
              <w:jc w:val="left"/>
            </w:pPr>
            <w:r>
              <w:rPr>
                <w:b w:val="false"/>
                <w:bCs w:val="false"/>
                <w:sz w:val="16"/>
                <w:szCs w:val="16"/>
              </w:rPr>
              <w:t xml:space="preserve">Explicit (hand-built "cleanup rule," every device-group)</w:t>
            </w:r>
          </w:p>
        </w:tc>
      </w:tr>
      <w:tr>
        <w:tc>
          <w:tcPr>
            <w:tcW w:type="dxa" w:w="2800"/>
            <w:tcMar>
              <w:top w:type="dxa" w:w="80"/>
              <w:left w:type="dxa" w:w="100"/>
              <w:bottom w:type="dxa" w:w="80"/>
              <w:right w:type="dxa" w:w="100"/>
            </w:tcMar>
          </w:tcPr>
          <w:p>
            <w:pPr>
              <w:jc w:val="left"/>
            </w:pPr>
            <w:r>
              <w:rPr>
                <w:b w:val="false"/>
                <w:bCs w:val="false"/>
                <w:sz w:val="16"/>
                <w:szCs w:val="16"/>
              </w:rPr>
              <w:t xml:space="preserve">Cross-company integration zone</w:t>
            </w:r>
          </w:p>
        </w:tc>
        <w:tc>
          <w:tcPr>
            <w:tcW w:type="dxa" w:w="4200"/>
            <w:tcMar>
              <w:top w:type="dxa" w:w="80"/>
              <w:left w:type="dxa" w:w="100"/>
              <w:bottom w:type="dxa" w:w="80"/>
              <w:right w:type="dxa" w:w="100"/>
            </w:tcMar>
          </w:tcPr>
          <w:p>
            <w:pPr>
              <w:jc w:val="left"/>
            </w:pPr>
            <w:r>
              <w:rPr>
                <w:b w:val="false"/>
                <w:bCs w:val="false"/>
                <w:sz w:val="16"/>
                <w:szCs w:val="16"/>
              </w:rPr>
              <w:t xml:space="preserve">Not separately named on this side</w:t>
            </w:r>
          </w:p>
        </w:tc>
        <w:tc>
          <w:tcPr>
            <w:tcW w:type="dxa" w:w="4200"/>
            <w:tcMar>
              <w:top w:type="dxa" w:w="80"/>
              <w:left w:type="dxa" w:w="100"/>
              <w:bottom w:type="dxa" w:w="80"/>
              <w:right w:type="dxa" w:w="100"/>
            </w:tcMar>
          </w:tcPr>
          <w:p>
            <w:pPr>
              <w:jc w:val="left"/>
            </w:pPr>
            <w:r>
              <w:rPr>
                <w:b w:val="false"/>
                <w:bCs w:val="false"/>
                <w:sz w:val="16"/>
                <w:szCs w:val="16"/>
              </w:rPr>
              <w:t xml:space="preserve">aet-cvs-xcomp / hcb_CVS_security_profile — Aetna owns this</w:t>
            </w:r>
          </w:p>
        </w:tc>
      </w:tr>
    </w:tbl>
    <w:p>
      <w:pPr>
        <w:spacing w:after="120"/>
      </w:pPr>
      <w:r>
        <w:rPr>
          <w:b/>
          <w:bCs/>
        </w:rPr>
        <w:t xml:space="preserve">The target model (Target_Policy_and_Enforcement_Model.docx) is built by taking the better half of each — Aetna's explicit-deny rulebase discipline, CVS's habit of building at least one real enforcement tier — rather than extending either estate's current architecture as-is.</w:t>
      </w:r>
    </w:p>
    <w:p>
      <w:pPr>
        <w:pStyle w:val="Heading1"/>
        <w:spacing w:after="160" w:before="360"/>
      </w:pPr>
      <w:r>
        <w:t xml:space="preserve">Coverage Matrix by Location</w:t>
      </w:r>
    </w:p>
    <w:p>
      <w:pPr>
        <w:spacing w:after="120"/>
      </w:pPr>
      <w:r>
        <w:t>Three enforcement layers apply depending on location: the Skyhigh proxy (Aetna-heritage or CVS-heritage instance), Zscaler ZIA, and the Palo Alto NGFW. ZIA rules reference location "Road Warrior" (Client Connector devices, both heritages), location groups Retail Stores, IoT Traffic Group and CVSConnect, and GCP, AWS and Azure Cloud Connector plus GCP-Egress location groups. ZIA is a single tenant policy, so the Road Warrior row is the same in both tables. State reflects the dominant traffic path for that location unless otherwise noted.</w:t>
      </w:r>
    </w:p>
    <w:p>
      <w:pPr>
        <w:pStyle w:val="Heading2"/>
        <w:spacing w:after="120" w:before="260"/>
      </w:pPr>
      <w:r>
        <w:t xml:space="preserve">Aetna (Middletown &amp; Windsor)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800"/>
        <w:gridCol w:w="1750"/>
        <w:gridCol w:w="1750"/>
        <w:gridCol w:w="1750"/>
        <w:gridCol w:w="1750"/>
        <w:gridCol w:w="2000"/>
        <w:gridCol w:w="2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800"/>
            <w:tcMar>
              <w:top w:type="dxa" w:w="80"/>
              <w:left w:type="dxa" w:w="100"/>
              <w:bottom w:type="dxa" w:w="80"/>
              <w:right w:type="dxa" w:w="100"/>
            </w:tcMar>
          </w:tcPr>
          <w:p>
            <w:pPr>
              <w:jc w:val="left"/>
            </w:pPr>
            <w:r>
              <w:rPr>
                <w:b w:val="false"/>
                <w:bCs w:val="false"/>
                <w:sz w:val="16"/>
                <w:szCs w:val="16"/>
              </w:rPr>
              <w:t xml:space="preserve">Skyhigh (Aetna-SH-Proxy)</w:t>
            </w:r>
          </w:p>
        </w:tc>
        <w:tc>
          <w:tcPr>
            <w:shd w:fill="1A7A3C" w:val="clear"/>
            <w:tcMar>
              <w:top w:type="dxa" w:w="80"/>
              <w:left w:type="dxa" w:w="100"/>
              <w:bottom w:type="dxa" w:w="80"/>
              <w:right w:type="dxa" w:w="100"/>
            </w:tcMar>
          </w:tcPr>
          <w:p>
            <w:pPr>
              <w:jc w:val="center"/>
            </w:pPr>
            <w:r>
              <w:rPr>
                <w:b/>
                <w:bCs/>
                <w:color w:val="FFFFFF"/>
                <w:sz w:val="16"/>
                <w:szCs w:val="16"/>
              </w:rPr>
              <w:t xml:space="preserve">REAL — opt-out, decrypt by default</w:t>
            </w:r>
          </w:p>
        </w:tc>
        <w:tc>
          <w:tcPr>
            <w:shd w:fill="1A7A3C" w:val="clear"/>
            <w:tcMar>
              <w:top w:type="dxa" w:w="80"/>
              <w:left w:type="dxa" w:w="100"/>
              <w:bottom w:type="dxa" w:w="80"/>
              <w:right w:type="dxa" w:w="100"/>
            </w:tcMar>
          </w:tcPr>
          <w:p>
            <w:pPr>
              <w:jc w:val="center"/>
            </w:pPr>
            <w:r>
              <w:rPr>
                <w:b/>
                <w:bCs/>
                <w:color w:val="FFFFFF"/>
                <w:sz w:val="16"/>
                <w:szCs w:val="16"/>
              </w:rPr>
              <w:t xml:space="preserve">REAL — blocks on cert-trust violations</w:t>
            </w:r>
          </w:p>
        </w:tc>
        <w:tc>
          <w:tcPr>
            <w:shd w:fill="1A7A3C" w:val="clear"/>
            <w:tcMar>
              <w:top w:type="dxa" w:w="80"/>
              <w:left w:type="dxa" w:w="100"/>
              <w:bottom w:type="dxa" w:w="80"/>
              <w:right w:type="dxa" w:w="100"/>
            </w:tcMar>
          </w:tcPr>
          <w:p>
            <w:pPr>
              <w:jc w:val="center"/>
            </w:pPr>
            <w:r>
              <w:rPr>
                <w:b/>
                <w:bCs/>
                <w:color w:val="FFFFFF"/>
                <w:sz w:val="16"/>
                <w:szCs w:val="16"/>
              </w:rPr>
              <w:t xml:space="preserve">REAL — file/archive/signature blocking</w:t>
            </w:r>
          </w:p>
        </w:tc>
        <w:tc>
          <w:tcPr>
            <w:shd w:fill="8A6D1F" w:val="clear"/>
            <w:tcMar>
              <w:top w:type="dxa" w:w="80"/>
              <w:left w:type="dxa" w:w="100"/>
              <w:bottom w:type="dxa" w:w="80"/>
              <w:right w:type="dxa" w:w="100"/>
            </w:tcMar>
          </w:tcPr>
          <w:p>
            <w:pPr>
              <w:jc w:val="center"/>
            </w:pPr>
            <w:r>
              <w:rPr>
                <w:b/>
                <w:bCs/>
                <w:color w:val="FFFFFF"/>
                <w:sz w:val="16"/>
                <w:szCs w:val="16"/>
              </w:rPr>
              <w:t xml:space="preserve">ALERT — category-gated (9 cats)</w:t>
            </w:r>
          </w:p>
        </w:tc>
        <w:tc>
          <w:tcPr>
            <w:shd w:fill="999999" w:val="clear"/>
            <w:tcMar>
              <w:top w:type="dxa" w:w="80"/>
              <w:left w:type="dxa" w:w="100"/>
              <w:bottom w:type="dxa" w:w="80"/>
              <w:right w:type="dxa" w:w="100"/>
            </w:tcMar>
          </w:tcPr>
          <w:p>
            <w:pPr>
              <w:jc w:val="center"/>
            </w:pPr>
            <w:r>
              <w:rPr>
                <w:b/>
                <w:bCs/>
                <w:color w:val="FFFFFF"/>
                <w:sz w:val="16"/>
                <w:szCs w:val="16"/>
              </w:rPr>
              <w:t xml:space="preserve">UNKNOWN — DLP/ICAP stages disabled, do not fire</w:t>
            </w:r>
          </w:p>
        </w:tc>
        <w:tc>
          <w:tcPr>
            <w:shd w:fill="1A7A3C" w:val="clear"/>
            <w:tcMar>
              <w:top w:type="dxa" w:w="80"/>
              <w:left w:type="dxa" w:w="100"/>
              <w:bottom w:type="dxa" w:w="80"/>
              <w:right w:type="dxa" w:w="100"/>
            </w:tcMar>
          </w:tcPr>
          <w:p>
            <w:pPr>
              <w:jc w:val="center"/>
            </w:pPr>
            <w:r>
              <w:rPr>
                <w:b/>
                <w:bCs/>
                <w:color w:val="FFFFFF"/>
                <w:sz w:val="16"/>
                <w:szCs w:val="16"/>
              </w:rPr>
              <w:t xml:space="preserve">REAL — Restrict-Access-To-Tenants (TRv1) + Restrict-Access-Context</w:t>
            </w:r>
          </w:p>
        </w:tc>
      </w:tr>
      <w:tr>
        <w:tc>
          <w:tcPr>
            <w:tcW w:type="dxa" w:w="2800"/>
            <w:tcMar>
              <w:top w:type="dxa" w:w="80"/>
              <w:left w:type="dxa" w:w="100"/>
              <w:bottom w:type="dxa" w:w="80"/>
              <w:right w:type="dxa" w:w="100"/>
            </w:tcMar>
          </w:tcPr>
          <w:p>
            <w:pPr>
              <w:jc w:val="left"/>
            </w:pPr>
            <w:r>
              <w:rPr>
                <w:b w:val="false"/>
                <w:bCs w:val="false"/>
                <w:sz w:val="16"/>
                <w:szCs w:val="16"/>
              </w:rPr>
              <w:t>Zscaler ZIA — location Road Warrior (Client Connector devices)</w:t>
            </w:r>
          </w:p>
        </w:tc>
        <w:tc>
          <w:tcPr>
            <w:shd w:fill="1A7A3C" w:val="clear"/>
            <w:tcMar>
              <w:top w:type="dxa" w:w="80"/>
              <w:left w:type="dxa" w:w="100"/>
              <w:bottom w:type="dxa" w:w="80"/>
              <w:right w:type="dxa" w:w="100"/>
            </w:tcMar>
          </w:tcPr>
          <w:p>
            <w:pPr>
              <w:jc w:val="center"/>
            </w:pPr>
            <w:r>
              <w:rPr>
                <w:b/>
                <w:bCs/>
                <w:color w:val="FFFFFF"/>
                <w:sz w:val="16"/>
                <w:szCs w:val="16"/>
              </w:rPr>
              <w:t>DECRYPT — SSL rule 38 InspectALL (Any) after 19 Do Not Inspect rules: Health/Finance/Trading (34), 73 dev apps for eng. groups (33), O365 outside RW (31), vendor/pinned lists (27–30, 32)</w:t>
            </w:r>
          </w:p>
        </w:tc>
        <w:tc>
          <w:tcPr>
            <w:shd w:fill="8A6D1F" w:val="clear"/>
            <w:tcMar>
              <w:top w:type="dxa" w:w="80"/>
              <w:left w:type="dxa" w:w="100"/>
              <w:bottom w:type="dxa" w:w="80"/>
              <w:right w:type="dxa" w:w="100"/>
            </w:tcMar>
          </w:tcPr>
          <w:p>
            <w:pPr>
              <w:jc w:val="center"/>
            </w:pPr>
            <w:r>
              <w:rPr>
                <w:b/>
                <w:bCs/>
                <w:color w:val="FFFFFF"/>
                <w:sz w:val="16"/>
                <w:szCs w:val="16"/>
              </w:rPr>
              <w:t>PARTIAL — BLOCK on decrypted traffic — password-protected and unscannable files = Allow; sandbox allow-first-time for most file types; 22-entry Do Not Scan list</w:t>
            </w:r>
          </w:p>
        </w:tc>
        <w:tc>
          <w:tcPr>
            <w:shd w:fill="1A7A3C" w:val="clear"/>
            <w:tcMar>
              <w:top w:type="dxa" w:w="80"/>
              <w:left w:type="dxa" w:w="100"/>
              <w:bottom w:type="dxa" w:w="80"/>
              <w:right w:type="dxa" w:w="100"/>
            </w:tcMar>
          </w:tcPr>
          <w:p>
            <w:pPr>
              <w:jc w:val="center"/>
            </w:pPr>
            <w:r>
              <w:rPr>
                <w:b/>
                <w:bCs/>
                <w:color w:val="FFFFFF"/>
                <w:sz w:val="16"/>
                <w:szCs w:val="16"/>
              </w:rPr>
              <w:t>BLOCK — download of exe/bat/dmg/lnk (21); upload of pst/ost (22); encrypted-file download not blocked</w:t>
            </w:r>
          </w:p>
        </w:tc>
        <w:tc>
          <w:tcPr>
            <w:shd w:fill="1A7A3C" w:val="clear"/>
            <w:tcMar>
              <w:top w:type="dxa" w:w="80"/>
              <w:left w:type="dxa" w:w="100"/>
              <w:bottom w:type="dxa" w:w="80"/>
              <w:right w:type="dxa" w:w="100"/>
            </w:tcMar>
          </w:tcPr>
          <w:p>
            <w:pPr>
              <w:jc w:val="center"/>
            </w:pPr>
            <w:r>
              <w:rPr>
                <w:b/>
                <w:bCs/>
                <w:color w:val="FFFFFF"/>
                <w:sz w:val="16"/>
                <w:szCs w:val="16"/>
              </w:rPr>
              <w:t>BLOCK — rule 60: 38 predefined + 2 custom categories; ISOLATE Gen-AI (48) and misc/unknown/newly registered (52)</w:t>
            </w:r>
          </w:p>
        </w:tc>
        <w:tc>
          <w:tcPr>
            <w:shd w:fill="8A6D1F" w:val="clear"/>
            <w:tcMar>
              <w:top w:type="dxa" w:w="80"/>
              <w:left w:type="dxa" w:w="100"/>
              <w:bottom w:type="dxa" w:w="80"/>
              <w:right w:type="dxa" w:w="100"/>
            </w:tcMar>
          </w:tcPr>
          <w:p>
            <w:pPr>
              <w:jc w:val="center"/>
            </w:pPr>
            <w:r>
              <w:rPr>
                <w:b/>
                <w:bCs/>
                <w:color w:val="FFFFFF"/>
                <w:sz w:val="16"/>
                <w:szCs w:val="16"/>
              </w:rPr>
              <w:t>PARTIAL — Block: PCI any URL (13), encrypted uploads (20), restricted data to Gen-AI/unauthorized/social categories and named apps; Allow/log: SSN, HICN, bank, confidential, medical, MBI to other URLs (14–17)</w:t>
            </w:r>
          </w:p>
        </w:tc>
        <w:tc>
          <w:tcPr>
            <w:shd w:fill="1A7A3C" w:val="clear"/>
            <w:tcMar>
              <w:top w:type="dxa" w:w="80"/>
              <w:left w:type="dxa" w:w="100"/>
              <w:bottom w:type="dxa" w:w="80"/>
              <w:right w:type="dxa" w:w="100"/>
            </w:tcMar>
          </w:tcPr>
          <w:p>
            <w:pPr>
              <w:jc w:val="center"/>
            </w:pPr>
            <w:r>
              <w:rPr>
                <w:b/>
                <w:bCs/>
                <w:color w:val="FFFFFF"/>
                <w:sz w:val="16"/>
                <w:szCs w:val="16"/>
              </w:rPr>
              <w:t>CONFIGURED — Microsoft Login Services tenant profile (IT Svcs 5) + SSL 25 decrypt; ChatGPT Enterprise (AI 78); Slack YCC (Collab 19). Header version: VERIFY</w:t>
            </w:r>
          </w:p>
        </w:tc>
      </w:tr>
      <w:tr>
        <w:tc>
          <w:tcPr>
            <w:tcW w:type="dxa" w:w="2800"/>
            <w:tcMar>
              <w:top w:type="dxa" w:w="80"/>
              <w:left w:type="dxa" w:w="100"/>
              <w:bottom w:type="dxa" w:w="80"/>
              <w:right w:type="dxa" w:w="100"/>
            </w:tcMar>
          </w:tcPr>
          <w:p>
            <w:pPr>
              <w:jc w:val="left"/>
            </w:pPr>
            <w:r>
              <w:rPr>
                <w:b w:val="false"/>
                <w:bCs w:val="false"/>
                <w:sz w:val="16"/>
                <w:szCs w:val="16"/>
              </w:rPr>
              <w:t xml:space="preserve">PA NGFW — hcb_DMZ / hcb_GLR (~90% of Aetna traffic)</w:t>
            </w:r>
          </w:p>
        </w:tc>
        <w:tc>
          <w:tcPr>
            <w:shd w:fill="FFFFFF" w:val="clear"/>
            <w:tcMar>
              <w:top w:type="dxa" w:w="80"/>
              <w:left w:type="dxa" w:w="100"/>
              <w:bottom w:type="dxa" w:w="80"/>
              <w:right w:type="dxa" w:w="100"/>
            </w:tcMar>
          </w:tcPr>
          <w:p>
            <w:pPr>
              <w:jc w:val="center"/>
            </w:pPr>
            <w:r>
              <w:rPr>
                <w:b/>
                <w:bCs/>
                <w:color w:val="000000"/>
                <w:sz w:val="16"/>
                <w:szCs w:val="16"/>
              </w:rPr>
              <w:t>Disputed — see Corrections. VERIFY: Palo Alto Q&amp;A v3.3 reports 8 enabled decrypt rules (Azure East hub, MID/WIN GLR)</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hcb_security_profile_grp-Aws (59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1A7A3C" w:val="clear"/>
            <w:tcMar>
              <w:top w:type="dxa" w:w="80"/>
              <w:left w:type="dxa" w:w="100"/>
              <w:bottom w:type="dxa" w:w="80"/>
              <w:right w:type="dxa" w:w="100"/>
            </w:tcMar>
          </w:tcPr>
          <w:p>
            <w:pPr>
              <w:jc w:val="center"/>
            </w:pPr>
            <w:r>
              <w:rPr>
                <w:b/>
                <w:bCs/>
                <w:color w:val="FFFFFF"/>
                <w:sz w:val="16"/>
                <w:szCs w:val="16"/>
              </w:rPr>
              <w:t xml:space="preserve">BLOCK — 11 categories</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hcb_officeext (111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8A6D1F" w:val="clear"/>
            <w:tcMar>
              <w:top w:type="dxa" w:w="80"/>
              <w:left w:type="dxa" w:w="100"/>
              <w:bottom w:type="dxa" w:w="80"/>
              <w:right w:type="dxa" w:w="100"/>
            </w:tcMar>
          </w:tcPr>
          <w:p>
            <w:pPr>
              <w:jc w:val="center"/>
            </w:pPr>
            <w:r>
              <w:rPr>
                <w:b/>
                <w:bCs/>
                <w:color w:val="FFFFFF"/>
                <w:sz w:val="16"/>
                <w:szCs w:val="16"/>
              </w:rPr>
              <w:t xml:space="preserve">ALERT — 0 categories actually blocked</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bl>
    <w:p>
      <w:pPr>
        <w:spacing w:after="120"/>
      </w:pPr>
      <w:r>
        <w:rPr>
          <w:i/>
          <w:iCs/>
          <w:color w:val="5B6169"/>
          <w:sz w:val="19"/>
          <w:szCs w:val="19"/>
        </w:rPr>
        <w:t>Net position, Aetna (on-network): of the rows above, Skyhigh is the layer with enforcing decrypt, certificate-trust blocking, file blocking and a TRv1 tenant-restriction header configured. The PA profile groups used by ~90% of Aetna rules (hcb_DMZ/hcb_GLR) have no file-blocking, URL-filtering or data-filtering profile; PA becomes the sole on-network enforcement layer once Skyhigh is retired. Off-network Aetna users on Client Connector are governed by the ZIA Road Warrior row.</w:t>
      </w:r>
    </w:p>
    <w:p>
      <w:pPr>
        <w:pStyle w:val="Heading2"/>
        <w:spacing w:after="120" w:before="260"/>
      </w:pPr>
      <w:r>
        <w:t xml:space="preserve">CVS Enterprise — LV-COLO (Vegas), RI, AZ (Shea), Retail</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50"/>
        <w:gridCol w:w="1650"/>
        <w:gridCol w:w="1750"/>
        <w:gridCol w:w="2000"/>
        <w:gridCol w:w="1950"/>
      </w:tblGrid>
      <w:tr>
        <w:trPr>
          <w:tblHeader/>
        </w:trPr>
        <w:tc>
          <w:tcPr>
            <w:tcW w:type="dxa" w:w="29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90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6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195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900"/>
            <w:tcMar>
              <w:top w:type="dxa" w:w="80"/>
              <w:left w:type="dxa" w:w="100"/>
              <w:bottom w:type="dxa" w:w="80"/>
              <w:right w:type="dxa" w:w="100"/>
            </w:tcMar>
          </w:tcPr>
          <w:p>
            <w:pPr>
              <w:jc w:val="left"/>
            </w:pPr>
            <w:r>
              <w:rPr>
                <w:b w:val="false"/>
                <w:bCs w:val="false"/>
                <w:sz w:val="16"/>
                <w:szCs w:val="16"/>
              </w:rPr>
              <w:t xml:space="preserve">Skyhigh (CVS-roxy-SH)</w:t>
            </w:r>
          </w:p>
        </w:tc>
        <w:tc>
          <w:tcPr>
            <w:shd w:fill="999999" w:val="clear"/>
            <w:tcMar>
              <w:top w:type="dxa" w:w="80"/>
              <w:left w:type="dxa" w:w="100"/>
              <w:bottom w:type="dxa" w:w="80"/>
              <w:right w:type="dxa" w:w="100"/>
            </w:tcMar>
          </w:tcPr>
          <w:p>
            <w:pPr>
              <w:jc w:val="center"/>
            </w:pPr>
            <w:r>
              <w:rPr>
                <w:b/>
                <w:bCs/>
                <w:color w:val="FFFFFF"/>
                <w:sz w:val="16"/>
                <w:szCs w:val="16"/>
              </w:rPr>
              <w:t xml:space="preserve">UNKNOWN — opt-in, live allow-list content not in backup (0 cached items)</w:t>
            </w:r>
          </w:p>
        </w:tc>
        <w:tc>
          <w:tcPr>
            <w:shd w:fill="8A6D1F" w:val="clear"/>
            <w:tcMar>
              <w:top w:type="dxa" w:w="80"/>
              <w:left w:type="dxa" w:w="100"/>
              <w:bottom w:type="dxa" w:w="80"/>
              <w:right w:type="dxa" w:w="100"/>
            </w:tcMar>
          </w:tcPr>
          <w:p>
            <w:pPr>
              <w:jc w:val="center"/>
            </w:pPr>
            <w:r>
              <w:rPr>
                <w:b/>
                <w:bCs/>
                <w:color w:val="FFFFFF"/>
                <w:sz w:val="16"/>
                <w:szCs w:val="16"/>
              </w:rPr>
              <w:t xml:space="preserve">ALERT only — cert-verification blocking exists but disabled</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FFFFFF" w:val="clear"/>
            <w:tcMar>
              <w:top w:type="dxa" w:w="80"/>
              <w:left w:type="dxa" w:w="100"/>
              <w:bottom w:type="dxa" w:w="80"/>
              <w:right w:type="dxa" w:w="100"/>
            </w:tcMar>
          </w:tcPr>
          <w:p>
            <w:pPr>
              <w:jc w:val="center"/>
            </w:pPr>
            <w:r>
              <w:rPr>
                <w:b/>
                <w:bCs/>
                <w:color w:val="000000"/>
                <w:sz w:val="16"/>
                <w:szCs w:val="16"/>
              </w:rPr>
              <w:t xml:space="preserve">Gated by same opt-in decrypt scope</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8A6D1F" w:val="clear"/>
            <w:tcMar>
              <w:top w:type="dxa" w:w="80"/>
              <w:left w:type="dxa" w:w="100"/>
              <w:bottom w:type="dxa" w:w="80"/>
              <w:right w:type="dxa" w:w="100"/>
            </w:tcMar>
          </w:tcPr>
          <w:p>
            <w:pPr>
              <w:jc w:val="center"/>
            </w:pPr>
            <w:r>
              <w:rPr>
                <w:b/>
                <w:bCs/>
                <w:color w:val="FFFFFF"/>
                <w:sz w:val="16"/>
                <w:szCs w:val="16"/>
              </w:rPr>
              <w:t>CONFIGURED — TRv1 headers (Restrict-Access-To-Tenants / Restrict-Access-Context), same tenant GUID as Aetna proxy; scoped to Prod_TenantR_Portals (contents not in backup). Enforcement depends on the unknown opt-in decrypt scope and the WCCP O365 bypass</w:t>
            </w:r>
          </w:p>
        </w:tc>
      </w:tr>
      <w:tr>
        <w:tc>
          <w:tcPr>
            <w:tcW w:type="dxa" w:w="2900"/>
            <w:tcMar>
              <w:top w:type="dxa" w:w="80"/>
              <w:left w:type="dxa" w:w="100"/>
              <w:bottom w:type="dxa" w:w="80"/>
              <w:right w:type="dxa" w:w="100"/>
            </w:tcMar>
          </w:tcPr>
          <w:p>
            <w:pPr>
              <w:jc w:val="left"/>
            </w:pPr>
            <w:r>
              <w:rPr>
                <w:b w:val="false"/>
                <w:bCs w:val="false"/>
                <w:sz w:val="16"/>
                <w:szCs w:val="16"/>
              </w:rPr>
              <w:t>Zscaler ZIA — location Road Warrior (Client Connector devices)</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8A6D1F"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8A6D1F" w:val="clear"/>
            <w:tcMar>
              <w:top w:type="dxa" w:w="80"/>
              <w:left w:type="dxa" w:w="100"/>
              <w:bottom w:type="dxa" w:w="80"/>
              <w:right w:type="dxa" w:w="100"/>
            </w:tcMar>
          </w:tcPr>
          <w:p>
            <w:pPr>
              <w:jc w:val="center"/>
            </w:pPr>
            <w:r>
              <w:rPr>
                <w:b/>
                <w:bCs/>
                <w:color w:val="FFFFFF"/>
                <w:sz w:val="16"/>
                <w:szCs w:val="16"/>
              </w:rPr>
              <w:t>Same as Aetna table (single ZIA tenant policy)</w:t>
            </w:r>
          </w:p>
        </w:tc>
        <w:tc>
          <w:tcPr>
            <w:shd w:fill="1A7A3C" w:val="clear"/>
            <w:tcMar>
              <w:top w:type="dxa" w:w="80"/>
              <w:left w:type="dxa" w:w="100"/>
              <w:bottom w:type="dxa" w:w="80"/>
              <w:right w:type="dxa" w:w="100"/>
            </w:tcMar>
          </w:tcPr>
          <w:p>
            <w:pPr>
              <w:jc w:val="center"/>
            </w:pPr>
            <w:r>
              <w:rPr>
                <w:b/>
                <w:bCs/>
                <w:color w:val="FFFFFF"/>
                <w:sz w:val="16"/>
                <w:szCs w:val="16"/>
              </w:rPr>
              <w:t>Same as Aetna table (single ZIA tenant policy)</w:t>
            </w:r>
          </w:p>
        </w:tc>
      </w:tr>
      <w:tr>
        <w:tc>
          <w:tcPr>
            <w:tcW w:type="dxa" w:w="2900"/>
            <w:tcMar>
              <w:top w:type="dxa" w:w="80"/>
              <w:left w:type="dxa" w:w="100"/>
              <w:bottom w:type="dxa" w:w="80"/>
              <w:right w:type="dxa" w:w="100"/>
            </w:tcMar>
          </w:tcPr>
          <w:p>
            <w:pPr>
              <w:jc w:val="left"/>
            </w:pPr>
            <w:r>
              <w:rPr>
                <w:b w:val="false"/>
                <w:bCs w:val="false"/>
                <w:sz w:val="16"/>
                <w:szCs w:val="16"/>
              </w:rPr>
              <w:t>Zscaler ZIA — location groups Retail Stores, IoT Traffic Group, CVSConnect (guest Wi-Fi)</w:t>
            </w:r>
          </w:p>
        </w:tc>
        <w:tc>
          <w:tcPr>
            <w:shd w:fill="B3261E" w:val="clear"/>
            <w:tcMar>
              <w:top w:type="dxa" w:w="80"/>
              <w:left w:type="dxa" w:w="100"/>
              <w:bottom w:type="dxa" w:w="80"/>
              <w:right w:type="dxa" w:w="100"/>
            </w:tcMar>
          </w:tcPr>
          <w:p>
            <w:pPr>
              <w:jc w:val="center"/>
            </w:pPr>
            <w:r>
              <w:rPr>
                <w:b/>
                <w:bCs/>
                <w:color w:val="FFFFFF"/>
                <w:sz w:val="16"/>
                <w:szCs w:val="16"/>
              </w:rPr>
              <w:t>NONE — Do Not Inspect (SSL 23; SSL 21 for Apple on CVSConnect)</w:t>
            </w:r>
          </w:p>
        </w:tc>
        <w:tc>
          <w:tcPr>
            <w:shd w:fill="8A6D1F" w:val="clear"/>
            <w:tcMar>
              <w:top w:type="dxa" w:w="80"/>
              <w:left w:type="dxa" w:w="100"/>
              <w:bottom w:type="dxa" w:w="80"/>
              <w:right w:type="dxa" w:w="100"/>
            </w:tcMar>
          </w:tcPr>
          <w:p>
            <w:pPr>
              <w:jc w:val="center"/>
            </w:pPr>
            <w:r>
              <w:rPr>
                <w:b/>
                <w:bCs/>
                <w:color w:val="FFFFFF"/>
                <w:sz w:val="16"/>
                <w:szCs w:val="16"/>
              </w:rPr>
              <w:t>PARTIAL — Hostname reputation only; no AV/sandbox on HTTPS</w:t>
            </w:r>
          </w:p>
        </w:tc>
        <w:tc>
          <w:tcPr>
            <w:shd w:fill="B3261E" w:val="clear"/>
            <w:tcMar>
              <w:top w:type="dxa" w:w="80"/>
              <w:left w:type="dxa" w:w="100"/>
              <w:bottom w:type="dxa" w:w="80"/>
              <w:right w:type="dxa" w:w="100"/>
            </w:tcMar>
          </w:tcPr>
          <w:p>
            <w:pPr>
              <w:jc w:val="center"/>
            </w:pPr>
            <w:r>
              <w:rPr>
                <w:b/>
                <w:bCs/>
                <w:color w:val="FFFFFF"/>
                <w:sz w:val="16"/>
                <w:szCs w:val="16"/>
              </w:rPr>
              <w:t>NONE on HTTPS (not decrypted)</w:t>
            </w:r>
          </w:p>
        </w:tc>
        <w:tc>
          <w:tcPr>
            <w:shd w:fill="8A6D1F" w:val="clear"/>
            <w:tcMar>
              <w:top w:type="dxa" w:w="80"/>
              <w:left w:type="dxa" w:w="100"/>
              <w:bottom w:type="dxa" w:w="80"/>
              <w:right w:type="dxa" w:w="100"/>
            </w:tcMar>
          </w:tcPr>
          <w:p>
            <w:pPr>
              <w:jc w:val="center"/>
            </w:pPr>
            <w:r>
              <w:rPr>
                <w:b/>
                <w:bCs/>
                <w:color w:val="FFFFFF"/>
                <w:sz w:val="16"/>
                <w:szCs w:val="16"/>
              </w:rPr>
              <w:t>PARTIAL — Hostname/category — baseline block (60); retail allow rules (URL 33, 42)</w:t>
            </w:r>
          </w:p>
        </w:tc>
        <w:tc>
          <w:tcPr>
            <w:shd w:fill="B3261E" w:val="clear"/>
            <w:tcMar>
              <w:top w:type="dxa" w:w="80"/>
              <w:left w:type="dxa" w:w="100"/>
              <w:bottom w:type="dxa" w:w="80"/>
              <w:right w:type="dxa" w:w="100"/>
            </w:tcMar>
          </w:tcPr>
          <w:p>
            <w:pPr>
              <w:jc w:val="center"/>
            </w:pPr>
            <w:r>
              <w:rPr>
                <w:b/>
                <w:bCs/>
                <w:color w:val="FFFFFF"/>
                <w:sz w:val="16"/>
                <w:szCs w:val="16"/>
              </w:rPr>
              <w:t>NONE (not decrypted)</w:t>
            </w:r>
          </w:p>
        </w:tc>
        <w:tc>
          <w:tcPr>
            <w:shd w:fill="B3261E" w:val="clear"/>
            <w:tcMar>
              <w:top w:type="dxa" w:w="80"/>
              <w:left w:type="dxa" w:w="100"/>
              <w:bottom w:type="dxa" w:w="80"/>
              <w:right w:type="dxa" w:w="100"/>
            </w:tcMar>
          </w:tcPr>
          <w:p>
            <w:pPr>
              <w:jc w:val="center"/>
            </w:pPr>
            <w:r>
              <w:rPr>
                <w:b/>
                <w:bCs/>
                <w:color w:val="FFFFFF"/>
                <w:sz w:val="16"/>
                <w:szCs w:val="16"/>
              </w:rPr>
              <w:t>NONE — no tenant-profile rule scoped; not decrypted</w:t>
            </w:r>
          </w:p>
        </w:tc>
      </w:tr>
      <w:tr>
        <w:tc>
          <w:tcPr>
            <w:tcW w:type="dxa" w:w="2900"/>
            <w:tcMar>
              <w:top w:type="dxa" w:w="80"/>
              <w:left w:type="dxa" w:w="100"/>
              <w:bottom w:type="dxa" w:w="80"/>
              <w:right w:type="dxa" w:w="100"/>
            </w:tcMar>
          </w:tcPr>
          <w:p>
            <w:pPr>
              <w:jc w:val="left"/>
            </w:pPr>
            <w:r>
              <w:rPr>
                <w:b w:val="false"/>
                <w:bCs w:val="false"/>
                <w:sz w:val="16"/>
                <w:szCs w:val="16"/>
              </w:rPr>
              <w:t>Zscaler ZIA — GCP/AWS/Azure Cloud Connector and GCP-Egress location groups (workloads)</w:t>
            </w:r>
          </w:p>
        </w:tc>
        <w:tc>
          <w:tcPr>
            <w:shd w:fill="B3261E" w:val="clear"/>
            <w:tcMar>
              <w:top w:type="dxa" w:w="80"/>
              <w:left w:type="dxa" w:w="100"/>
              <w:bottom w:type="dxa" w:w="80"/>
              <w:right w:type="dxa" w:w="100"/>
            </w:tcMar>
          </w:tcPr>
          <w:p>
            <w:pPr>
              <w:jc w:val="center"/>
            </w:pPr>
            <w:r>
              <w:rPr>
                <w:b/>
                <w:bCs/>
                <w:color w:val="FFFFFF"/>
                <w:sz w:val="16"/>
                <w:szCs w:val="16"/>
              </w:rPr>
              <w:t>NONE — Do Not Inspect (SSL 1, 2, 6, 7, 9)</w:t>
            </w:r>
          </w:p>
        </w:tc>
        <w:tc>
          <w:tcPr>
            <w:shd w:fill="8A6D1F" w:val="clear"/>
            <w:tcMar>
              <w:top w:type="dxa" w:w="80"/>
              <w:left w:type="dxa" w:w="100"/>
              <w:bottom w:type="dxa" w:w="80"/>
              <w:right w:type="dxa" w:w="100"/>
            </w:tcMar>
          </w:tcPr>
          <w:p>
            <w:pPr>
              <w:jc w:val="center"/>
            </w:pPr>
            <w:r>
              <w:rPr>
                <w:b/>
                <w:bCs/>
                <w:color w:val="FFFFFF"/>
                <w:sz w:val="16"/>
                <w:szCs w:val="16"/>
              </w:rPr>
              <w:t>PARTIAL — Hostname reputation only; no AV/sandbox on HTTPS</w:t>
            </w:r>
          </w:p>
        </w:tc>
        <w:tc>
          <w:tcPr>
            <w:shd w:fill="B3261E" w:val="clear"/>
            <w:tcMar>
              <w:top w:type="dxa" w:w="80"/>
              <w:left w:type="dxa" w:w="100"/>
              <w:bottom w:type="dxa" w:w="80"/>
              <w:right w:type="dxa" w:w="100"/>
            </w:tcMar>
          </w:tcPr>
          <w:p>
            <w:pPr>
              <w:jc w:val="center"/>
            </w:pPr>
            <w:r>
              <w:rPr>
                <w:b/>
                <w:bCs/>
                <w:color w:val="FFFFFF"/>
                <w:sz w:val="16"/>
                <w:szCs w:val="16"/>
              </w:rPr>
              <w:t>NONE on HTTPS (not decrypted)</w:t>
            </w:r>
          </w:p>
        </w:tc>
        <w:tc>
          <w:tcPr>
            <w:shd w:fill="8A6D1F" w:val="clear"/>
            <w:tcMar>
              <w:top w:type="dxa" w:w="80"/>
              <w:left w:type="dxa" w:w="100"/>
              <w:bottom w:type="dxa" w:w="80"/>
              <w:right w:type="dxa" w:w="100"/>
            </w:tcMar>
          </w:tcPr>
          <w:p>
            <w:pPr>
              <w:jc w:val="center"/>
            </w:pPr>
            <w:r>
              <w:rPr>
                <w:b/>
                <w:bCs/>
                <w:color w:val="FFFFFF"/>
                <w:sz w:val="16"/>
                <w:szCs w:val="16"/>
              </w:rPr>
              <w:t>PARTIAL — GCP-Egress: all categories allowed (URL 30). Other CC groups: baseline block by hostname (60)</w:t>
            </w:r>
          </w:p>
        </w:tc>
        <w:tc>
          <w:tcPr>
            <w:shd w:fill="B3261E" w:val="clear"/>
            <w:tcMar>
              <w:top w:type="dxa" w:w="80"/>
              <w:left w:type="dxa" w:w="100"/>
              <w:bottom w:type="dxa" w:w="80"/>
              <w:right w:type="dxa" w:w="100"/>
            </w:tcMar>
          </w:tcPr>
          <w:p>
            <w:pPr>
              <w:jc w:val="center"/>
            </w:pPr>
            <w:r>
              <w:rPr>
                <w:b/>
                <w:bCs/>
                <w:color w:val="FFFFFF"/>
                <w:sz w:val="16"/>
                <w:szCs w:val="16"/>
              </w:rPr>
              <w:t>NONE inline; S3 data at rest via SaaS API (report-only)</w:t>
            </w:r>
          </w:p>
        </w:tc>
        <w:tc>
          <w:tcPr>
            <w:shd w:fill="B3261E" w:val="clear"/>
            <w:tcMar>
              <w:top w:type="dxa" w:w="80"/>
              <w:left w:type="dxa" w:w="100"/>
              <w:bottom w:type="dxa" w:w="80"/>
              <w:right w:type="dxa" w:w="100"/>
            </w:tcMar>
          </w:tcPr>
          <w:p>
            <w:pPr>
              <w:jc w:val="center"/>
            </w:pPr>
            <w:r>
              <w:rPr>
                <w:b/>
                <w:bCs/>
                <w:color w:val="FFFFFF"/>
                <w:sz w:val="16"/>
                <w:szCs w:val="16"/>
              </w:rPr>
              <w:t>NONE</w:t>
            </w:r>
          </w:p>
        </w:tc>
      </w:tr>
      <w:tr>
        <w:tc>
          <w:tcPr>
            <w:tcW w:type="dxa" w:w="2900"/>
            <w:tcMar>
              <w:top w:type="dxa" w:w="80"/>
              <w:left w:type="dxa" w:w="100"/>
              <w:bottom w:type="dxa" w:w="80"/>
              <w:right w:type="dxa" w:w="100"/>
            </w:tcMar>
          </w:tcPr>
          <w:p>
            <w:pPr>
              <w:jc w:val="left"/>
            </w:pPr>
            <w:r>
              <w:rPr>
                <w:b w:val="false"/>
                <w:bCs w:val="false"/>
                <w:sz w:val="16"/>
                <w:szCs w:val="16"/>
              </w:rPr>
              <w:t xml:space="preserve">PA NGFW — Alert-All-SPG (~99.7% of RI/AZ)</w:t>
            </w:r>
          </w:p>
        </w:tc>
        <w:tc>
          <w:tcPr>
            <w:shd w:fill="FFFFFF" w:val="clear"/>
            <w:tcMar>
              <w:top w:type="dxa" w:w="80"/>
              <w:left w:type="dxa" w:w="100"/>
              <w:bottom w:type="dxa" w:w="80"/>
              <w:right w:type="dxa" w:w="100"/>
            </w:tcMar>
          </w:tcPr>
          <w:p>
            <w:pPr>
              <w:jc w:val="center"/>
            </w:pPr>
            <w:r>
              <w:rPr>
                <w:b/>
                <w:bCs/>
                <w:color w:val="000000"/>
                <w:sz w:val="16"/>
                <w:szCs w:val="16"/>
              </w:rPr>
              <w:t>2 of 16 rules decrypt (Claude, denied-categories w/ rule-order gap) VERIFY: Palo Alto Q&amp;A v3.3 reports one enabled decrypt rule; Claude decrypt rule disabled</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900"/>
            <w:tcMar>
              <w:top w:type="dxa" w:w="80"/>
              <w:left w:type="dxa" w:w="100"/>
              <w:bottom w:type="dxa" w:w="80"/>
              <w:right w:type="dxa" w:w="100"/>
            </w:tcMar>
          </w:tcPr>
          <w:p>
            <w:pPr>
              <w:jc w:val="left"/>
            </w:pPr>
            <w:r>
              <w:rPr>
                <w:b w:val="false"/>
                <w:bCs w:val="false"/>
                <w:sz w:val="16"/>
                <w:szCs w:val="16"/>
              </w:rPr>
              <w:t xml:space="preserve">PA NGFW — SPG-PPOM-All / SPG-LV-Colo-All / SPG-LV-Colo-Exceptions / SPG-Proxy-* family (small %, NAB-scoped)</w:t>
            </w:r>
          </w:p>
        </w:tc>
        <w:tc>
          <w:tcPr>
            <w:shd w:fill="FFFFFF" w:val="clear"/>
            <w:tcMar>
              <w:top w:type="dxa" w:w="80"/>
              <w:left w:type="dxa" w:w="100"/>
              <w:bottom w:type="dxa" w:w="80"/>
              <w:right w:type="dxa" w:w="100"/>
            </w:tcMar>
          </w:tcPr>
          <w:p>
            <w:pPr>
              <w:jc w:val="center"/>
            </w:pPr>
            <w:r>
              <w:rPr>
                <w:b/>
                <w:bCs/>
                <w:color w:val="000000"/>
                <w:sz w:val="16"/>
                <w:szCs w:val="16"/>
              </w:rPr>
              <w:t xml:space="preserve">Same 2-of-16 as above — no dedicated carve-out</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 platform-wide pattern)</w:t>
            </w:r>
          </w:p>
        </w:tc>
        <w:tc>
          <w:tcPr>
            <w:shd w:fill="1A7A3C" w:val="clear"/>
            <w:tcMar>
              <w:top w:type="dxa" w:w="80"/>
              <w:left w:type="dxa" w:w="100"/>
              <w:bottom w:type="dxa" w:w="80"/>
              <w:right w:type="dxa" w:w="100"/>
            </w:tcMar>
          </w:tcPr>
          <w:p>
            <w:pPr>
              <w:jc w:val="center"/>
            </w:pPr>
            <w:r>
              <w:rPr>
                <w:b/>
                <w:bCs/>
                <w:color w:val="FFFFFF"/>
                <w:sz w:val="16"/>
                <w:szCs w:val="16"/>
              </w:rPr>
              <w:t xml:space="preserve">BLOCK — 4-rule Best Practice profile</w:t>
            </w:r>
          </w:p>
        </w:tc>
        <w:tc>
          <w:tcPr>
            <w:shd w:fill="1A7A3C" w:val="clear"/>
            <w:tcMar>
              <w:top w:type="dxa" w:w="80"/>
              <w:left w:type="dxa" w:w="100"/>
              <w:bottom w:type="dxa" w:w="80"/>
              <w:right w:type="dxa" w:w="100"/>
            </w:tcMar>
          </w:tcPr>
          <w:p>
            <w:pPr>
              <w:jc w:val="center"/>
            </w:pPr>
            <w:r>
              <w:rPr>
                <w:b/>
                <w:bCs/>
                <w:color w:val="FFFFFF"/>
                <w:sz w:val="16"/>
                <w:szCs w:val="16"/>
              </w:rPr>
              <w:t xml:space="preserve">BLOCK — 36-44 categories depending on variant</w:t>
            </w:r>
          </w:p>
        </w:tc>
        <w:tc>
          <w:tcPr>
            <w:shd w:fill="8A6D1F" w:val="clear"/>
            <w:tcMar>
              <w:top w:type="dxa" w:w="80"/>
              <w:left w:type="dxa" w:w="100"/>
              <w:bottom w:type="dxa" w:w="80"/>
              <w:right w:type="dxa" w:w="100"/>
            </w:tcMar>
          </w:tcPr>
          <w:p>
            <w:pPr>
              <w:jc w:val="center"/>
            </w:pPr>
            <w:r>
              <w:rPr>
                <w:b/>
                <w:bCs/>
                <w:color w:val="FFFFFF"/>
                <w:sz w:val="16"/>
                <w:szCs w:val="16"/>
              </w:rPr>
              <w:t>ALERT — 28 patterns (22 financial/PII + 6 healthcare), not block VERIFY: Q&amp;A v3.3 reports 22 patterns (Enterprise DLP profile)</w:t>
            </w:r>
          </w:p>
        </w:tc>
        <w:tc>
          <w:tcPr>
            <w:shd w:fill="B3261E" w:val="clear"/>
            <w:tcMar>
              <w:top w:type="dxa" w:w="80"/>
              <w:left w:type="dxa" w:w="100"/>
              <w:bottom w:type="dxa" w:w="80"/>
              <w:right w:type="dxa" w:w="100"/>
            </w:tcMar>
          </w:tcPr>
          <w:p>
            <w:pPr>
              <w:jc w:val="center"/>
            </w:pPr>
            <w:r>
              <w:rPr>
                <w:b/>
                <w:bCs/>
                <w:color w:val="FFFFFF"/>
                <w:sz w:val="16"/>
                <w:szCs w:val="16"/>
              </w:rPr>
              <w:t xml:space="preserve">TEST-ONLY — single host, unverified decrypt</w:t>
            </w:r>
          </w:p>
        </w:tc>
      </w:tr>
      <w:tr>
        <w:tc>
          <w:tcPr>
            <w:tcW w:type="dxa" w:w="2900"/>
            <w:tcMar>
              <w:top w:type="dxa" w:w="80"/>
              <w:left w:type="dxa" w:w="100"/>
              <w:bottom w:type="dxa" w:w="80"/>
              <w:right w:type="dxa" w:w="100"/>
            </w:tcMar>
          </w:tcPr>
          <w:p>
            <w:pPr>
              <w:jc w:val="left"/>
            </w:pPr>
            <w:r>
              <w:rPr>
                <w:b w:val="false"/>
                <w:bCs w:val="false"/>
                <w:sz w:val="16"/>
                <w:szCs w:val="16"/>
              </w:rPr>
              <w:t xml:space="preserve">PA NGFW — Meritain-SPG-WG-General/HR/IT/Elevated-Rights</w:t>
            </w:r>
          </w:p>
        </w:tc>
        <w:tc>
          <w:tcPr>
            <w:shd w:fill="1A7A3C" w:val="clear"/>
            <w:tcMar>
              <w:top w:type="dxa" w:w="80"/>
              <w:left w:type="dxa" w:w="100"/>
              <w:bottom w:type="dxa" w:w="80"/>
              <w:right w:type="dxa" w:w="100"/>
            </w:tcMar>
          </w:tcPr>
          <w:p>
            <w:pPr>
              <w:jc w:val="center"/>
            </w:pPr>
            <w:r>
              <w:rPr>
                <w:b/>
                <w:bCs/>
                <w:color w:val="FFFFFF"/>
                <w:sz w:val="16"/>
                <w:szCs w:val="16"/>
              </w:rPr>
              <w:t xml:space="preserve">REAL — dedicated decrypt rules incl. Microsoft-Login</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w:t>
            </w:r>
          </w:p>
        </w:tc>
        <w:tc>
          <w:tcPr>
            <w:shd w:fill="1A7A3C" w:val="clear"/>
            <w:tcMar>
              <w:top w:type="dxa" w:w="80"/>
              <w:left w:type="dxa" w:w="100"/>
              <w:bottom w:type="dxa" w:w="80"/>
              <w:right w:type="dxa" w:w="100"/>
            </w:tcMar>
          </w:tcPr>
          <w:p>
            <w:pPr>
              <w:jc w:val="center"/>
            </w:pPr>
            <w:r>
              <w:rPr>
                <w:b/>
                <w:bCs/>
                <w:color w:val="FFFFFF"/>
                <w:sz w:val="16"/>
                <w:szCs w:val="16"/>
              </w:rPr>
              <w:t xml:space="preserve">BLOCK</w:t>
            </w:r>
          </w:p>
        </w:tc>
        <w:tc>
          <w:tcPr>
            <w:shd w:fill="1A7A3C" w:val="clear"/>
            <w:tcMar>
              <w:top w:type="dxa" w:w="80"/>
              <w:left w:type="dxa" w:w="100"/>
              <w:bottom w:type="dxa" w:w="80"/>
              <w:right w:type="dxa" w:w="100"/>
            </w:tcMar>
          </w:tcPr>
          <w:p>
            <w:pPr>
              <w:jc w:val="center"/>
            </w:pPr>
            <w:r>
              <w:rPr>
                <w:b/>
                <w:bCs/>
                <w:color w:val="FFFFFF"/>
                <w:sz w:val="16"/>
                <w:szCs w:val="16"/>
              </w:rPr>
              <w:t xml:space="preserve">BLOCK — 39-43 categories</w:t>
            </w:r>
          </w:p>
        </w:tc>
        <w:tc>
          <w:tcPr>
            <w:shd w:fill="8A6D1F" w:val="clear"/>
            <w:tcMar>
              <w:top w:type="dxa" w:w="80"/>
              <w:left w:type="dxa" w:w="100"/>
              <w:bottom w:type="dxa" w:w="80"/>
              <w:right w:type="dxa" w:w="100"/>
            </w:tcMar>
          </w:tcPr>
          <w:p>
            <w:pPr>
              <w:jc w:val="center"/>
            </w:pPr>
            <w:r>
              <w:rPr>
                <w:b/>
                <w:bCs/>
                <w:color w:val="FFFFFF"/>
                <w:sz w:val="16"/>
                <w:szCs w:val="16"/>
              </w:rPr>
              <w:t>ALERT — 28 patterns (NAB) VERIFY: Q&amp;A v3.3 reports 22 patterns (Enterprise DLP profile)</w:t>
            </w:r>
          </w:p>
        </w:tc>
        <w:tc>
          <w:tcPr>
            <w:shd w:fill="B3261E" w:val="clear"/>
            <w:tcMar>
              <w:top w:type="dxa" w:w="80"/>
              <w:left w:type="dxa" w:w="100"/>
              <w:bottom w:type="dxa" w:w="80"/>
              <w:right w:type="dxa" w:w="100"/>
            </w:tcMar>
          </w:tcPr>
          <w:p>
            <w:pPr>
              <w:jc w:val="center"/>
            </w:pPr>
            <w:r>
              <w:rPr>
                <w:b/>
                <w:bCs/>
                <w:color w:val="FFFFFF"/>
                <w:sz w:val="16"/>
                <w:szCs w:val="16"/>
              </w:rPr>
              <w:t xml:space="preserve">NONE confirmed wired to this population</w:t>
            </w:r>
          </w:p>
        </w:tc>
      </w:tr>
    </w:tbl>
    <w:p>
      <w:pPr>
        <w:spacing w:after="120"/>
      </w:pPr>
      <w:r>
        <w:rPr>
          <w:i/>
          <w:iCs/>
          <w:color w:val="5B6169"/>
          <w:sz w:val="19"/>
          <w:szCs w:val="19"/>
        </w:rPr>
        <w:t>Net position, CVS Enterprise: the proxy's decrypt/inspection scope cannot be verified from the available backup — its opt-in allow-lists are live-sourced and were empty in the export. PA enforcement (BLOCK actions) is on the NAB/Meritain-affiliated profile groups; the dominant path (Alert-All-SPG) has file-blocking and AV set to alert, and no DLP or URL-filtering profile. ZIA: retail locations and cloud-workload locations are not decrypted (SSL 23; SSL 1, 2, 6, 7, 9), and ZIA firewall rules 24 and 25 allow any service to any destination for the GCP and Azure Cloud Connector groups and GCP-Egress; AWS Cloud Connector groups reach Default Block/Reset after the tenant-wide allow rules.</w:t>
      </w:r>
    </w:p>
    <w:p>
      <w:pPr>
        <w:pStyle w:val="Heading1"/>
        <w:spacing w:after="160" w:before="360"/>
      </w:pPr>
      <w:r>
        <w:t>New Findings (29 Sept 2026 revision), relative to Status_and_Next_Steps.docx</w:t>
      </w:r>
    </w:p>
    <w:p>
      <w:pPr>
        <w:pStyle w:val="ListParagraph"/>
        <w:numPr>
          <w:ilvl w:val="0"/>
          <w:numId w:val="1"/>
        </w:numPr>
        <w:spacing w:after="80"/>
      </w:pPr>
      <w:r>
        <w:t>NAB's Data Filtering profile has 28 patterns, not 22 as previously stated — a second rule (Healthcare: CLIA, DEA, Health-Generic, ICD9, ICD10, NPI) exists alongside the financial/PII rule already documented. Action is alert on both rules. VERIFY: Palo Alto Questions Answered v3.3 reports the NAB profile as an Enterprise DLP data profile with 22 predefined patterns and no HICN/MBI/NPI pattern; both documents cite the 08/31/2026 Panorama export and need reconciling.</w:t>
      </w:r>
    </w:p>
    <w:p>
      <w:pPr>
        <w:pStyle w:val="ListParagraph"/>
        <w:numPr>
          <w:ilvl w:val="0"/>
          <w:numId w:val="1"/>
        </w:numPr>
        <w:spacing w:after="80"/>
      </w:pPr>
      <w:r>
        <w:t xml:space="preserve">A second Tenant Restriction policy exists — Block-Personal-Accounts, targeting login.live.com, header value restrict-msa (standard TRv2 shorthand) — separate from Block-MS-Personal-Accounts. Wiring/enforcement status not yet verified.</w:t>
      </w:r>
    </w:p>
    <w:p>
      <w:pPr>
        <w:pStyle w:val="ListParagraph"/>
        <w:numPr>
          <w:ilvl w:val="0"/>
          <w:numId w:val="1"/>
        </w:numPr>
        <w:spacing w:after="80"/>
      </w:pPr>
      <w:r>
        <w:t>Both Skyhigh proxies (Aetna and CVS instances) have Tenant Restriction header rules configured (Restrict-Access-To-Tenants / Restrict-Access-Context — TRv1, not TRv2), using the same tenant GUID found dormant in the PA config. They apply to hosts in Prod_TenantR_Portals (customer-maintained; contents not in the backup). ZIA also has tenant-restriction configuration: Microsoft Login Services tenant profile "CVSH MS Tenant" (Cloud App IT Services rule 5) with SSL rule 25 decrypting Microsoft login, both scoped to Road Warrior; header version not in the export. The PA-side TRv2 pilot is not in effect (see Scorecard).</w:t>
      </w:r>
    </w:p>
    <w:p>
      <w:pPr>
        <w:pStyle w:val="ListParagraph"/>
        <w:numPr>
          <w:ilvl w:val="0"/>
          <w:numId w:val="1"/>
        </w:numPr>
        <w:spacing w:after="80"/>
      </w:pPr>
      <w:r>
        <w:t xml:space="preserve">Aetna's dominant traffic path (hcb_DMZ_security_profile, hcb_GLR_security_profile — ~90% of Aetna's rules) has File Blocking, URL Filtering, and Data Filtering fields entirely ABSENT, not merely alert-only. This is a stronger finding than previously stated.</w:t>
      </w:r>
    </w:p>
    <w:p>
      <w:pPr>
        <w:pStyle w:val="ListParagraph"/>
        <w:numPr>
          <w:ilvl w:val="0"/>
          <w:numId w:val="1"/>
        </w:numPr>
        <w:spacing w:after="80"/>
      </w:pPr>
      <w:r>
        <w:t>ZIA AI governance: the Cloud App AI &amp; ML class has 84 rules. Rule 84 isolates AI applications not matched by an earlier rule; rule 83 isolates a named AI application list; 67 of the 84 rules are user-scoped exceptions. URL rule 48 isolates the Generative AI category. The PA NGFW has no browser-isolation action; replacing isolation requires a per-AI-tier decision (block / allow-with-DLP / dedicated isolation product).</w:t>
      </w:r>
    </w:p>
    <w:p>
      <w:pPr>
        <w:pStyle w:val="ListParagraph"/>
        <w:numPr>
          <w:ilvl w:val="0"/>
          <w:numId w:val="1"/>
        </w:numPr>
        <w:spacing w:after="80"/>
      </w:pPr>
      <w:r>
        <w:t>ZIA TLS inspection: SSL rule 38 InspectALL (criteria Any) decrypts traffic not matched by the 19 enabled Do Not Inspect rules above it; the Default rule (Do Not Inspect) is after rule 38 and is not reached. Do Not Inspect rules are scoped to the Cloud Connector and GCP-Egress location groups (SSL 1, 2, 6, 7, 9), the Retail Stores/IoT/CVSConnect location groups (SSL 23), 73 developer apps for engineering groups (SSL 33), the Finance, Health and Online Trading categories (SSL 34), Office 365 outside Road Warrior (SSL 31), and vendor/pinned exemption lists (SSL 27–30, 32).</w:t>
      </w:r>
    </w:p>
    <w:p>
      <w:pPr>
        <w:pStyle w:val="ListParagraph"/>
        <w:numPr>
          <w:ilvl w:val="0"/>
          <w:numId w:val="1"/>
        </w:numPr>
        <w:spacing w:after="80"/>
      </w:pPr>
      <w:r>
        <w:t>127 ZIA rule entries are disabled (count from the May 2026 export): Cloud App 60, email DLP 24 (9 parent + 15 exception), firewall 13 (incl. rule 1 "Block malicious IPs and domains"), SSL 8, DNS 7 (incl. Zscaler-recommended DNS security rules 3–8), web DLP 7, SaaS API DLP 5, URL 2, forwarding 1. Intent of the disabled rules is not recorded in the export.</w:t>
      </w:r>
    </w:p>
    <w:p>
      <w:pPr>
        <w:pStyle w:val="ListParagraph"/>
        <w:numPr>
          <w:ilvl w:val="0"/>
          <w:numId w:val="1"/>
        </w:numPr>
        <w:spacing w:after="80"/>
      </w:pPr>
      <w:r>
        <w:t xml:space="preserve">Aetna's Skyhigh proxy actively blocks on certificate-trust violations (self-signed, expired, revoked, untrusted CA). CVS's Skyhigh proxy has the identical blocking rule set built but disabled — monitor-only in practice. This is a real, current gap on the CVS proxy, independent of anything on the PA side.</w:t>
      </w:r>
    </w:p>
    <w:p>
      <w:pPr>
        <w:pStyle w:val="Heading1"/>
        <w:spacing w:after="160" w:before="360"/>
      </w:pPr>
      <w:r>
        <w:t xml:space="preserve">Redirection Layer — What Actually Reaches Each Proxy</w:t>
      </w:r>
    </w:p>
    <w:p>
      <w:pPr>
        <w:spacing w:after="120"/>
      </w:pPr>
      <w:r>
        <w:t xml:space="preserve">This is the layer that precedes decrypt entirely. Neither Skyhigh proxy sees traffic transparently — each depends on a separate redirection mechanism, and traffic that never reaches the mechanism never reaches the proxy, regardless of what the proxy's own policy says. Sources: live Aetna proxy.pac (pac.txt) and the live CVS WCCP ACL/bypass list exports (WCCP-ACL.xlsx, WCCP_Bybass_List-11-8.xlsx).</w:t>
      </w:r>
    </w:p>
    <w:p>
      <w:pPr>
        <w:pStyle w:val="Heading2"/>
        <w:spacing w:after="120" w:before="260"/>
      </w:pPr>
      <w:r>
        <w:t xml:space="preserve">Aetna — proxy.pac (client-side)</w:t>
      </w:r>
    </w:p>
    <w:p>
      <w:pPr>
        <w:pStyle w:val="ListParagraph"/>
        <w:numPr>
          <w:ilvl w:val="0"/>
          <w:numId w:val="1"/>
        </w:numPr>
        <w:spacing w:after="80"/>
      </w:pPr>
      <w:r>
        <w:t xml:space="preserve">Default behavior, confirmed from the file's final rule: everything not explicitly matched is sent to the proxy (PROXY proxy:9119; PROXY proxyf:9119).</w:t>
      </w:r>
    </w:p>
    <w:p>
      <w:pPr>
        <w:pStyle w:val="ListParagraph"/>
        <w:numPr>
          <w:ilvl w:val="0"/>
          <w:numId w:val="1"/>
        </w:numPr>
        <w:spacing w:after="80"/>
      </w:pPr>
      <w:r>
        <w:t xml:space="preserve">Confirmed explicit DIRECT bypasses (never reach the proxy): Outlook/O365 mail (outlook.office365.com, outlook.office.com, autodiscover-s.outlook.com) — correct by design, mail-DLP is a separate control plane, not this function's scope — plus Windows Virtual Desktop (.wvd.microsoft.com), and a large named list of specific IPs/hosts (Coventry — .cvty.com, First Health — .firsthealth.com, and dozens of internal/vendor hosts).</w:t>
      </w:r>
    </w:p>
    <w:p>
      <w:pPr>
        <w:pStyle w:val="ListParagraph"/>
        <w:numPr>
          <w:ilvl w:val="0"/>
          <w:numId w:val="1"/>
        </w:numPr>
        <w:spacing w:after="80"/>
      </w:pPr>
      <w:r>
        <w:t xml:space="preserve">No entry for login.live.com, login.microsoft.com, login.microsoftonline.com, or login.windows.net anywhere in the file — this traffic falls to the default rule and IS sent to the proxy, assuming the client honors this PAC file.</w:t>
      </w:r>
    </w:p>
    <w:p>
      <w:pPr>
        <w:pStyle w:val="ListParagraph"/>
        <w:numPr>
          <w:ilvl w:val="0"/>
          <w:numId w:val="1"/>
        </w:numPr>
        <w:spacing w:after="80"/>
      </w:pPr>
      <w:r>
        <w:t xml:space="preserve">Dependency that does not go away: this entire mechanism requires the client to have received and be honoring this PAC file (GPO/MDM-pushed). A non-compliant, unmanaged, or misconfigured client bypasses all of it and reaches the legacy L3/L4 firewall directly, with no application-layer inspection of any kind.</w:t>
      </w:r>
    </w:p>
    <w:p>
      <w:pPr>
        <w:pStyle w:val="Heading2"/>
        <w:spacing w:after="120" w:before="260"/>
      </w:pPr>
      <w:r>
        <w:t xml:space="preserve">CVS (Shea/RI/AZ/Retail) — WCCP (network-side)</w:t>
      </w:r>
    </w:p>
    <w:p>
      <w:pPr>
        <w:pStyle w:val="ListParagraph"/>
        <w:numPr>
          <w:ilvl w:val="0"/>
          <w:numId w:val="1"/>
        </w:numPr>
        <w:spacing w:after="80"/>
      </w:pPr>
      <w:r>
        <w:t xml:space="preserve">Default behavior, confirmed from the ACL: a broad permit any any rule sits near the end of the 89-line wccp_95 ACL — everything not explicitly excluded ahead of it is redirected to the proxy.</w:t>
      </w:r>
    </w:p>
    <w:p>
      <w:pPr>
        <w:pStyle w:val="ListParagraph"/>
        <w:numPr>
          <w:ilvl w:val="0"/>
          <w:numId w:val="1"/>
        </w:numPr>
        <w:spacing w:after="80"/>
      </w:pPr>
      <w:r>
        <w:t xml:space="preserve">Confirmed explicit exclusions ahead of the default permit: CrowdStrike destinations, VPN Desktop Subnets, the Zscaler tunnel (zscaler_tunnel object-group) and Retail Zscaler App Connectors, plus a long tail of specific partner/vendor IPs.</w:t>
      </w:r>
    </w:p>
    <w:p>
      <w:pPr>
        <w:pStyle w:val="ListParagraph"/>
        <w:numPr>
          <w:ilvl w:val="0"/>
          <w:numId w:val="1"/>
        </w:numPr>
        <w:spacing w:after="80"/>
      </w:pPr>
      <w:r>
        <w:t xml:space="preserve">A separate, larger bypass-list dataset (1,289–1,338 entries across 59 named groups) breaks down into three categories: generic technical exclusions (wccp-exclude-src-https, rfc1918 private space — the majority of entries by volume), named vendor/SaaS bypasses (O365, BING.com, webex.com, FEDEX.com, salesforce.com, worldpay-api, Pitney-Bowes, eGain, Novologix, AWS-ESL), and a long tail of ticket-numbered ad hoc exclusions (PBM18286, PBM18511, PBM18516, PBM18981, PBM19752, PBM19885, PBM20002, PBM20543, and numbered src-/dest- objects) — the same change-ticket-driven exception sprawl pattern already documented in the PA internal DMZ (Tufin/RITM-named rules).</w:t>
      </w:r>
    </w:p>
    <w:p>
      <w:pPr>
        <w:pStyle w:val="ListParagraph"/>
        <w:numPr>
          <w:ilvl w:val="0"/>
          <w:numId w:val="1"/>
        </w:numPr>
        <w:spacing w:after="80"/>
      </w:pPr>
      <w:r>
        <w:rPr>
          <w:b/>
          <w:bCs/>
        </w:rPr>
        <w:t xml:space="preserve">Real, unresolved finding: the named "O365" bypass group contains 15 Microsoft-owned IP ranges (40.96.0.0/13, 52.96.0.0/14, 132.245.0.0/16, 104.47.0.0/17, and others) excluded from WCCP redirection entirely. Whether login.microsoftonline.com resolves into any of these ranges is not confirmed — Microsoft's published O365 IP ranges have historically not cleanly separated authentication infrastructure from mail/collaboration services. If it does, CVS-side Tenant Restriction traffic never reaches the proxy at all, a full layer earlier than the proxy's own opt-in decrypt policy. Recommended verification: resolve login.microsoftonline.com live and diff against these 15 CIDR blocks — a five-minute check, not yet performed.</w:t>
      </w:r>
    </w:p>
    <w:p>
      <w:pPr>
        <w:pStyle w:val="ListParagraph"/>
        <w:numPr>
          <w:ilvl w:val="0"/>
          <w:numId w:val="1"/>
        </w:numPr>
        <w:spacing w:after="80"/>
      </w:pPr>
      <w:r>
        <w:t xml:space="preserve">Resolves an open ambiguity from the parity plan: "AZ" is confirmed as Arizona/Phoenix (a physical site, listed as "Phoenix DC" in the Proxy Egress Address Space data), not Azure — Shea, Retail, Store, Middletown, Windsor, and Phoenix DC each have their own distinct public egress IP ranges.</w:t>
      </w:r>
    </w:p>
    <w:p>
      <w:pPr>
        <w:pStyle w:val="Heading2"/>
        <w:spacing w:after="120" w:before="260"/>
      </w:pPr>
      <w:r>
        <w:t xml:space="preserve">Net Position — Redirection Layer</w:t>
      </w:r>
    </w:p>
    <w:p>
      <w:pPr>
        <w:spacing w:after="120"/>
      </w:pPr>
      <w:r>
        <w:rPr>
          <w:b/>
          <w:bCs/>
        </w:rPr>
        <w:t xml:space="preserve">Both mechanisms share the same structural shape: broad default-to-proxy behavior, with specific named and ad hoc exclusions layered on top. Neither is transparent interception — both are cooperative (PAC) or topological-but-still-rule-dependent (WCCP) mechanisms that can be bypassed by traffic outside their configured scope, independent of anything the proxy's own SSL/content policy says. This is the layer that has to be checked first, before decrypt, before header-insertion — a control can be perfectly built at every downstream layer and still never see the traffic if redirection excludes it upstream.</w:t>
      </w:r>
    </w:p>
    <w:p>
      <w:pPr>
        <w:pStyle w:val="Heading1"/>
        <w:spacing w:after="160" w:before="360"/>
      </w:pPr>
      <w:r>
        <w:t xml:space="preserve">PAN-DB Content Categories — Full List by Layer (AZ/RI/LV, PPOM/LV-Colo Profiles)</w:t>
      </w:r>
    </w:p>
    <w:p>
      <w:pPr>
        <w:spacing w:after="120"/>
      </w:pPr>
      <w:r>
        <w:t xml:space="preserve">Category-level summaries elsewhere in this document (e.g., "BLOCK — 36-44 categories") collapse three genuinely separate mechanisms into one number. This section lists what's actually in each, and where the same category does more than one job.</w:t>
      </w:r>
    </w:p>
    <w:p>
      <w:pPr>
        <w:pStyle w:val="Heading2"/>
        <w:spacing w:after="120" w:before="260"/>
      </w:pPr>
      <w:r>
        <w:t xml:space="preserve">Layer 2 — Decryption Policy: categories that trigger decrypt</w:t>
      </w:r>
    </w:p>
    <w:p>
      <w:pPr>
        <w:spacing w:after="120"/>
      </w:pPr>
      <w:r>
        <w:t xml:space="preserve">ALL-TO-INTERNET-DECRYPT-DENIED-CATEGORIES (RI/AZ, last rule, action = decrypt) — 38 PAN-DB categories plus 2 custom objects:</w:t>
      </w:r>
    </w:p>
    <w:p>
      <w:pPr>
        <w:spacing w:after="120"/>
      </w:pPr>
      <w:r>
        <w:rPr>
          <w:i/>
          <w:iCs/>
          <w:sz w:val="19"/>
          <w:szCs w:val="19"/>
        </w:rPr>
        <w:t xml:space="preserve">abortion, abused-drugs, adult, alcohol-and-tobacco, browser-runtime-attack, command-and-control, compromised-website, copyright-infringement, dating, dynamic-dns, encrypted-dns, extremism, file-converter, gambling, games, grayware, hacking, insufficient-content, internet-communications-and-telephony, malware, marijuana, not-resolved, nudity, online-storage-and-backup, parked, peer-to-peer, phishing, proxy-avoidance-and-anonymizers, questionable, ransomware, remote-access, scanning-activity, sex-education, shareware-and-freeware, social-networking, streaming-media, swimsuits-and-intimate-apparel, weapons, web-based-email — plus custom objects Proxy-Zscaler-Blacklist and SOC-Deny-List-Domain.</w:t>
      </w:r>
    </w:p>
    <w:p>
      <w:pPr>
        <w:spacing w:after="120"/>
      </w:pPr>
      <w:r>
        <w:t xml:space="preserve">LAN-TO-INTERNET-DECRYPT-ALLOWED-CATEGORIES (Aetna only, no AZ/RI equivalent) — 9 categories:</w:t>
      </w:r>
    </w:p>
    <w:p>
      <w:pPr>
        <w:spacing w:after="120"/>
      </w:pPr>
      <w:r>
        <w:rPr>
          <w:i/>
          <w:iCs/>
          <w:sz w:val="19"/>
          <w:szCs w:val="19"/>
        </w:rPr>
        <w:t xml:space="preserve">content-delivery-networks, internet-communications-and-telephony, online-storage-and-backup, personal-sites-and-blogs, recreation-and-hobbies, search-engines, social-networking, translation, Youtube.</w:t>
      </w:r>
    </w:p>
    <w:p>
      <w:pPr>
        <w:pStyle w:val="Heading2"/>
        <w:spacing w:after="120" w:before="260"/>
      </w:pPr>
      <w:r>
        <w:t xml:space="preserve">Layer 3 — URL Filtering: categories that actually block</w:t>
      </w:r>
    </w:p>
    <w:p>
      <w:pPr>
        <w:spacing w:after="120"/>
      </w:pPr>
      <w:r>
        <w:t xml:space="preserve">URL-Filtering-PPOM-All block field (confirmed live) — 42 PAN-DB categories plus 1 custom object:</w:t>
      </w:r>
    </w:p>
    <w:p>
      <w:pPr>
        <w:spacing w:after="120"/>
      </w:pPr>
      <w:r>
        <w:rPr>
          <w:i/>
          <w:iCs/>
          <w:sz w:val="19"/>
          <w:szCs w:val="19"/>
        </w:rPr>
        <w:t xml:space="preserve">abused-drugs, adult, alcohol-and-tobacco, auctions, browser-runtime-attack, business-and-economy, command-and-control, compromised-website, dating, dynamic-dns, encrypted-dns, extremism, file-converter, gambling, games, grayware, hacking, insufficient-content, internet-communications-and-telephony, malware, marijuana, not-resolved, nudity, online-storage-and-backup, parked, peer-to-peer, personal-sites-and-blogs, philosophy-and-political-advocacy, phishing, proxy-avoidance-and-anonymizers, questionable, ransomware, reference-and-research, remote-access, scanning-activity, sex-education, shareware-and-freeware, social-networking, streaming-media, swimsuits-and-intimate-apparel, unknown, weapons, web-based-email — plus custom object Proxy-Zscaler-Blacklist.</w:t>
      </w:r>
    </w:p>
    <w:p>
      <w:pPr>
        <w:spacing w:after="120"/>
      </w:pPr>
      <w:r>
        <w:rPr>
          <w:i/>
          <w:iCs/>
          <w:sz w:val="19"/>
          <w:szCs w:val="19"/>
        </w:rPr>
        <w:t xml:space="preserve">Same profile's alert-only categories (everything not on the block list, ~89 categories total in the profile) — includes every AI-* category (AI-code-assistant, AI-conversational-assistant, AI-data-and-workflow-optimizer, AI-media-service, AI-meeting-assistant, AI-platform-service, AI-website-generator, AI-writing-assistant, artificial-intelligence), plus financial-services, government, health-and-medicine, high/medium/low-risk, military, news, religion, shopping, sports, travel, and named exceptions (Outlook, BoxAccess, Cisco Webex, GitHub, Windows Update, Zoom, youtube.com).</w:t>
      </w:r>
    </w:p>
    <w:p>
      <w:pPr>
        <w:pStyle w:val="Heading2"/>
        <w:spacing w:after="120" w:before="260"/>
      </w:pPr>
      <w:r>
        <w:t xml:space="preserve">Overlap — Same Category, Multiple Layers</w:t>
      </w:r>
    </w:p>
    <w:p>
      <w:pPr>
        <w:spacing w:after="120"/>
      </w:pPr>
      <w:r>
        <w:rPr>
          <w:b/>
          <w:bCs/>
        </w:rPr>
        <w:t xml:space="preserve">The following categories appear in both the decrypt-trigger list and the URL-filtering block list: online-storage-and-backup, web-based-email, social-networking, gambling, malware, phishing, ransomware, hacking (and most of the other denied-category entries — the two lists are near-identical in content, differing mainly in the custom objects attached). This overlap is not necessarily a problem — a category can legitimately need both decrypt-for-visibility and block-once-visible — but it has not been confirmed as deliberate, coordinated design versus three independently-built lists that happen to overlap. Worth a direct confirmation with whoever owns each of these three layers before treating the overlap as intentional.</w:t>
      </w:r>
    </w:p>
    <w:p>
      <w:pPr>
        <w:pStyle w:val="Heading1"/>
        <w:spacing w:after="160" w:before="360"/>
      </w:pPr>
      <w:r>
        <w:t xml:space="preserve">Aetna Proxy Architecture — Confirmed From Traffic Workflow Diagram</w:t>
      </w:r>
    </w:p>
    <w:p>
      <w:pPr>
        <w:spacing w:after="120"/>
      </w:pPr>
      <w:r>
        <w:t xml:space="preserve">New source this section: Aetna Proxy Traffic Workflow (high-level architecture diagram). Confirms several mechanisms only partially inferred from config data previously.</w:t>
      </w:r>
    </w:p>
    <w:p>
      <w:pPr>
        <w:pStyle w:val="ListParagraph"/>
        <w:numPr>
          <w:ilvl w:val="0"/>
          <w:numId w:val="1"/>
        </w:numPr>
        <w:spacing w:after="80"/>
      </w:pPr>
      <w:r>
        <w:t>DLP inspection is scoped to POST/PUT requests (step 7 of the documented workflow) — not GET/download traffic. This matches the config's data-filtering direction field (c2s): Aetna proxy DLP inspects outbound data submission (uploads and form posts) only.</w:t>
      </w:r>
    </w:p>
    <w:p>
      <w:pPr>
        <w:pStyle w:val="ListParagraph"/>
        <w:numPr>
          <w:ilvl w:val="0"/>
          <w:numId w:val="1"/>
        </w:numPr>
        <w:spacing w:after="80"/>
      </w:pPr>
      <w:r>
        <w:t>Proxy authentication is identity-tied: every client authenticates to Aetna's Domain Controllers via NTLM, transparently (no user-visible prompt), before the proxy serves any request. On the Palo Alto side, source-user (AD-group) matching was confirmed on one rule across the PA estate (NAB's egress rule); the other rules reviewed match on IP/subnet.</w:t>
      </w:r>
    </w:p>
    <w:p>
      <w:pPr>
        <w:pStyle w:val="ListParagraph"/>
        <w:numPr>
          <w:ilvl w:val="0"/>
          <w:numId w:val="1"/>
        </w:numPr>
        <w:spacing w:after="80"/>
      </w:pPr>
      <w:r>
        <w:t xml:space="preserve">DLP is architecturally a distinct, separate service the proxy calls out to (its own labeled component in the workflow), not a native proxy engine feature. This is worth reconciling against an earlier finding from the Skyhigh SSL Decryption Findings report: Aetna's ICAP hooks to Symantec were confirmed pointing at empty server lists (a broken AV integration). Whether this diagram's DLP callout is the same broken mechanism or a separate, genuinely working integration has not been resolved — do not assume either way without checking the DLP server's actual operational status directly.</w:t>
      </w:r>
    </w:p>
    <w:p>
      <w:pPr>
        <w:pStyle w:val="ListParagraph"/>
        <w:numPr>
          <w:ilvl w:val="0"/>
          <w:numId w:val="1"/>
        </w:numPr>
        <w:spacing w:after="80"/>
      </w:pPr>
      <w:r>
        <w:t xml:space="preserve">Pac.aetna.com and Proxy.aetna.com are both F5 GTM-load-balanced across Windsor and Middletown for fault tolerance — consistent with the redundant mid-fw-proxy-1/2 and win-fw-proxy-1/2 firewall pairs named in the diagram.</w:t>
      </w:r>
    </w:p>
    <w:p>
      <w:pPr>
        <w:pStyle w:val="ListParagraph"/>
        <w:numPr>
          <w:ilvl w:val="0"/>
          <w:numId w:val="1"/>
        </w:numPr>
        <w:spacing w:after="80"/>
      </w:pPr>
      <w:r>
        <w:t xml:space="preserve">Proxy logs feed into NiFi (a real dataflow pipeline, not simple local logging) — and a dedicated Security Feed Server provides the allow/block website list to the proxy. This is very likely the actual serving mechanism behind SOCDenyList and DenyListProd, both already confirmed live and fetch-verified elsewhere in this document — this diagram shows where that content is generated and served from, not just that it exists.</w:t>
      </w:r>
    </w:p>
    <w:p>
      <w:pPr>
        <w:pStyle w:val="Heading1"/>
        <w:spacing w:after="160" w:before="360"/>
      </w:pPr>
      <w:r>
        <w:t xml:space="preserve">File Inspection Requirements — Reconciled Against All Known Sources</w:t>
      </w:r>
    </w:p>
    <w:p>
      <w:pPr>
        <w:spacing w:after="120"/>
      </w:pPr>
      <w:r>
        <w:rPr>
          <w:b/>
          <w:bCs/>
        </w:rPr>
        <w:t>Scope: mail is not in scope for this function (web proxy and firewall). Mail-based file egress (Outlook attachments) is handled by mail-DLP controls: the ZIA Outbound Email DLP table for the Mimecast tenant (only the Mail_SSN block rule enabled in the May 2026 export) and any Exchange Online / M365 policies. The Outlook/O365-mail exclusions found at the PA decrypt, Aetna PAC, Skyhigh SSL bypass and CVS WCCP layers remove mail from this function's inspection scope.</w:t>
      </w:r>
    </w:p>
    <w:p>
      <w:pPr>
        <w:spacing w:after="120"/>
      </w:pPr>
      <w:r>
        <w:rPr>
          <w:b/>
          <w:bCs/>
        </w:rPr>
        <w:t xml:space="preserve">The correctly-scoped requirement is web/proxy-based file egress — uploads to websites, cloud storage, and SaaS platforms. The concrete example already confirmed in-scope: SharePoint/OneDrive traffic is NOT on Aetna's PAC bypass list (only Outlook mail hosts are), reaches the Skyhigh proxy under its opt-out/decrypt-by-default posture, and has explicit DLP watchlist coverage (CVS Health Sharepoint URLs, ApprovedCloudStorage). This is the correct parity target for the 7-pattern PA build — not O365 broadly, and not mail at all.</w:t>
      </w:r>
    </w:p>
    <w:p>
      <w:pPr>
        <w:spacing w:after="120"/>
      </w:pPr>
      <w:r>
        <w:rPr>
          <w:i/>
          <w:iCs/>
          <w:color w:val="5B6169"/>
          <w:sz w:val="19"/>
          <w:szCs w:val="19"/>
        </w:rPr>
        <w:t>Open question: whether CVS's WCCP-level "O365" bypass (15 Microsoft IP ranges, not domain names) excludes only mail, as Aetna's PAC does, or also excludes SharePoint/OneDrive traffic from reaching the CVS-side proxy and, later, the PA decrypt scope. This is the remaining verification step for file-inspection parity.</w:t>
      </w:r>
    </w:p>
    <w:p>
      <w:pPr>
        <w:spacing w:after="120"/>
      </w:pPr>
      <w:r>
        <w:t xml:space="preserve">Three separate pattern-development threads exist across the material reviewed. This section reconciles them against the original 7-pattern ask (SSN, PCI, Driver's License, Member ID, MBI, SSN-Masked, HICN) rather than treating each source in isolation.</w:t>
      </w:r>
    </w:p>
    <w:p>
      <w:pPr>
        <w:pStyle w:val="ListParagraph"/>
        <w:numPr>
          <w:ilvl w:val="0"/>
          <w:numId w:val="1"/>
        </w:numPr>
        <w:spacing w:after="80"/>
      </w:pPr>
      <w:r>
        <w:t xml:space="preserve">Thread 1 — the 7-pattern coverage workbook (PA_File_Data_Filtering_Coverage.xlsx): the original ask this document tracks against.</w:t>
      </w:r>
    </w:p>
    <w:p>
      <w:pPr>
        <w:pStyle w:val="ListParagraph"/>
        <w:numPr>
          <w:ilvl w:val="0"/>
          <w:numId w:val="1"/>
        </w:numPr>
        <w:spacing w:after="80"/>
      </w:pPr>
      <w:r>
        <w:t xml:space="preserve">Thread 2 — NAB's live 28-pattern Data Filtering profile (CVS/AZ/RI/LV side): 22 financial/PII patterns + 6 healthcare patterns (CLIA, DEA, Health-Generic, ICD9, ICD10, NPI), alert-only, already wired to production traffic.</w:t>
      </w:r>
    </w:p>
    <w:p>
      <w:pPr>
        <w:pStyle w:val="ListParagraph"/>
        <w:numPr>
          <w:ilvl w:val="0"/>
          <w:numId w:val="1"/>
        </w:numPr>
        <w:spacing w:after="80"/>
      </w:pPr>
      <w:r>
        <w:t xml:space="preserve">Thread 3 — Aetna-side staged Data Filtering objects (AET-DataFilter-STAGED), built this engagement, not yet live: SSN/Credit Card (native PAN-OS predefined patterns), Member ID/Long Member ID (custom regex ported from SK), US Driver's License (51 custom regex patterns, all states + DC).</w:t>
      </w:r>
    </w:p>
    <w:p>
      <w:pPr>
        <w:pStyle w:val="Heading2"/>
        <w:spacing w:after="120" w:before="260"/>
      </w:pPr>
      <w:r>
        <w:t xml:space="preserve">Ground Truth: What Skyhigh Actually Enforces Live Today (Aetna)</w:t>
      </w:r>
    </w:p>
    <w:p>
      <w:pPr>
        <w:spacing w:after="120"/>
      </w:pPr>
      <w:r>
        <w:t xml:space="preserve">This is the parity target — what the PA migration needs to match or exceed, not a wishlist: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800"/>
      </w:tblGrid>
      <w:tr>
        <w:trPr>
          <w:tblHeader/>
        </w:trPr>
        <w:tc>
          <w:tcPr>
            <w:tcW w:type="dxa" w:w="2600"/>
            <w:shd w:fill="8C1D18" w:val="clear"/>
            <w:tcMar>
              <w:top w:type="dxa" w:w="80"/>
              <w:left w:type="dxa" w:w="100"/>
              <w:bottom w:type="dxa" w:w="80"/>
              <w:right w:type="dxa" w:w="100"/>
            </w:tcMar>
          </w:tcPr>
          <w:p>
            <w:pPr>
              <w:jc w:val="left"/>
            </w:pPr>
            <w:r>
              <w:rPr>
                <w:b/>
                <w:bCs/>
                <w:color w:val="FFFFFF"/>
                <w:sz w:val="16"/>
                <w:szCs w:val="16"/>
              </w:rPr>
              <w:t xml:space="preserve">Category</w:t>
            </w:r>
          </w:p>
        </w:tc>
        <w:tc>
          <w:tcPr>
            <w:tcW w:type="dxa" w:w="5200"/>
            <w:shd w:fill="8C1D18" w:val="clear"/>
            <w:tcMar>
              <w:top w:type="dxa" w:w="80"/>
              <w:left w:type="dxa" w:w="100"/>
              <w:bottom w:type="dxa" w:w="80"/>
              <w:right w:type="dxa" w:w="100"/>
            </w:tcMar>
          </w:tcPr>
          <w:p>
            <w:pPr>
              <w:jc w:val="left"/>
            </w:pPr>
            <w:r>
              <w:rPr>
                <w:b/>
                <w:bCs/>
                <w:color w:val="FFFFFF"/>
                <w:sz w:val="16"/>
                <w:szCs w:val="16"/>
              </w:rPr>
              <w:t xml:space="preserve">SK Detection Method</w:t>
            </w:r>
          </w:p>
        </w:tc>
        <w:tc>
          <w:tcPr>
            <w:tcW w:type="dxa" w:w="2800"/>
            <w:shd w:fill="8C1D18" w:val="clear"/>
            <w:tcMar>
              <w:top w:type="dxa" w:w="80"/>
              <w:left w:type="dxa" w:w="100"/>
              <w:bottom w:type="dxa" w:w="80"/>
              <w:right w:type="dxa" w:w="100"/>
            </w:tcMar>
          </w:tcPr>
          <w:p>
            <w:pPr>
              <w:jc w:val="left"/>
            </w:pPr>
            <w:r>
              <w:rPr>
                <w:b/>
                <w:bCs/>
                <w:color w:val="FFFFFF"/>
                <w:sz w:val="16"/>
                <w:szCs w:val="16"/>
              </w:rPr>
              <w:t xml:space="preserve">Enforced Live on SK?</w:t>
            </w:r>
          </w:p>
        </w:tc>
      </w:tr>
      <w:tr>
        <w:tc>
          <w:tcPr>
            <w:tcW w:type="dxa" w:w="2600"/>
            <w:tcMar>
              <w:top w:type="dxa" w:w="80"/>
              <w:left w:type="dxa" w:w="100"/>
              <w:bottom w:type="dxa" w:w="80"/>
              <w:right w:type="dxa" w:w="100"/>
            </w:tcMar>
          </w:tcPr>
          <w:p>
            <w:pPr>
              <w:jc w:val="left"/>
            </w:pPr>
            <w:r>
              <w:rPr>
                <w:b w:val="false"/>
                <w:bCs w:val="false"/>
                <w:sz w:val="16"/>
                <w:szCs w:val="16"/>
              </w:rPr>
              <w:t xml:space="preserve">SSN</w:t>
            </w:r>
          </w:p>
        </w:tc>
        <w:tc>
          <w:tcPr>
            <w:tcW w:type="dxa" w:w="5200"/>
            <w:tcMar>
              <w:top w:type="dxa" w:w="80"/>
              <w:left w:type="dxa" w:w="100"/>
              <w:bottom w:type="dxa" w:w="80"/>
              <w:right w:type="dxa" w:w="100"/>
            </w:tcMar>
          </w:tcPr>
          <w:p>
            <w:pPr>
              <w:jc w:val="left"/>
            </w:pPr>
            <w:r>
              <w:rPr>
                <w:b w:val="false"/>
                <w:bCs w:val="false"/>
                <w:sz w:val="16"/>
                <w:szCs w:val="16"/>
              </w:rPr>
              <w:t xml:space="preserve">Vendor SSA-check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PCI / Payment Card</w:t>
            </w:r>
          </w:p>
        </w:tc>
        <w:tc>
          <w:tcPr>
            <w:tcW w:type="dxa" w:w="5200"/>
            <w:tcMar>
              <w:top w:type="dxa" w:w="80"/>
              <w:left w:type="dxa" w:w="100"/>
              <w:bottom w:type="dxa" w:w="80"/>
              <w:right w:type="dxa" w:w="100"/>
            </w:tcMar>
          </w:tcPr>
          <w:p>
            <w:pPr>
              <w:jc w:val="left"/>
            </w:pPr>
            <w:r>
              <w:rPr>
                <w:b w:val="false"/>
                <w:bCs w:val="false"/>
                <w:sz w:val="16"/>
                <w:szCs w:val="16"/>
              </w:rPr>
              <w:t xml:space="preserve">Vendor Luhn-check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Masked SSN</w:t>
            </w:r>
          </w:p>
        </w:tc>
        <w:tc>
          <w:tcPr>
            <w:tcW w:type="dxa" w:w="5200"/>
            <w:tcMar>
              <w:top w:type="dxa" w:w="80"/>
              <w:left w:type="dxa" w:w="100"/>
              <w:bottom w:type="dxa" w:w="80"/>
              <w:right w:type="dxa" w:w="100"/>
            </w:tcMar>
          </w:tcPr>
          <w:p>
            <w:pPr>
              <w:jc w:val="left"/>
            </w:pPr>
            <w:r>
              <w:rPr>
                <w:b w:val="false"/>
                <w:bCs w:val="false"/>
                <w:sz w:val="16"/>
                <w:szCs w:val="16"/>
              </w:rPr>
              <w:t xml:space="preserve">Regex: [*]{3}-[*]{2}-\d{4}</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HICN</w:t>
            </w:r>
          </w:p>
        </w:tc>
        <w:tc>
          <w:tcPr>
            <w:tcW w:type="dxa" w:w="5200"/>
            <w:tcMar>
              <w:top w:type="dxa" w:w="80"/>
              <w:left w:type="dxa" w:w="100"/>
              <w:bottom w:type="dxa" w:w="80"/>
              <w:right w:type="dxa" w:w="100"/>
            </w:tcMar>
          </w:tcPr>
          <w:p>
            <w:pPr>
              <w:jc w:val="left"/>
            </w:pPr>
            <w:r>
              <w:rPr>
                <w:b w:val="false"/>
                <w:bCs w:val="false"/>
                <w:sz w:val="16"/>
                <w:szCs w:val="16"/>
              </w:rPr>
              <w:t xml:space="preserve">Regex + required keyword match</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Member ID</w:t>
            </w:r>
          </w:p>
        </w:tc>
        <w:tc>
          <w:tcPr>
            <w:tcW w:type="dxa" w:w="5200"/>
            <w:tcMar>
              <w:top w:type="dxa" w:w="80"/>
              <w:left w:type="dxa" w:w="100"/>
              <w:bottom w:type="dxa" w:w="80"/>
              <w:right w:type="dxa" w:w="100"/>
            </w:tcMar>
          </w:tcPr>
          <w:p>
            <w:pPr>
              <w:jc w:val="left"/>
            </w:pPr>
            <w:r>
              <w:rPr>
                <w:b w:val="false"/>
                <w:bCs w:val="false"/>
                <w:sz w:val="16"/>
                <w:szCs w:val="16"/>
              </w:rPr>
              <w:t xml:space="preserve">Regex: [Ww]\d{9}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 does not block</w:t>
            </w:r>
          </w:p>
        </w:tc>
      </w:tr>
      <w:tr>
        <w:tc>
          <w:tcPr>
            <w:tcW w:type="dxa" w:w="2600"/>
            <w:tcMar>
              <w:top w:type="dxa" w:w="80"/>
              <w:left w:type="dxa" w:w="100"/>
              <w:bottom w:type="dxa" w:w="80"/>
              <w:right w:type="dxa" w:w="100"/>
            </w:tcMar>
          </w:tcPr>
          <w:p>
            <w:pPr>
              <w:jc w:val="left"/>
            </w:pPr>
            <w:r>
              <w:rPr>
                <w:b w:val="false"/>
                <w:bCs w:val="false"/>
                <w:sz w:val="16"/>
                <w:szCs w:val="16"/>
              </w:rPr>
              <w:t xml:space="preserve">Long Member ID</w:t>
            </w:r>
          </w:p>
        </w:tc>
        <w:tc>
          <w:tcPr>
            <w:tcW w:type="dxa" w:w="5200"/>
            <w:tcMar>
              <w:top w:type="dxa" w:w="80"/>
              <w:left w:type="dxa" w:w="100"/>
              <w:bottom w:type="dxa" w:w="80"/>
              <w:right w:type="dxa" w:w="100"/>
            </w:tcMar>
          </w:tcPr>
          <w:p>
            <w:pPr>
              <w:jc w:val="left"/>
            </w:pPr>
            <w:r>
              <w:rPr>
                <w:b w:val="false"/>
                <w:bCs w:val="false"/>
                <w:sz w:val="16"/>
                <w:szCs w:val="16"/>
              </w:rPr>
              <w:t xml:space="preserve">Regex: [Ww]0{1,4}\d{9}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GEMS ID</w:t>
            </w:r>
          </w:p>
        </w:tc>
        <w:tc>
          <w:tcPr>
            <w:tcW w:type="dxa" w:w="5200"/>
            <w:tcMar>
              <w:top w:type="dxa" w:w="80"/>
              <w:left w:type="dxa" w:w="100"/>
              <w:bottom w:type="dxa" w:w="80"/>
              <w:right w:type="dxa" w:w="100"/>
            </w:tcMar>
          </w:tcPr>
          <w:p>
            <w:pPr>
              <w:jc w:val="left"/>
            </w:pPr>
            <w:r>
              <w:rPr>
                <w:b w:val="false"/>
                <w:bCs w:val="false"/>
                <w:sz w:val="16"/>
                <w:szCs w:val="16"/>
              </w:rPr>
              <w:t xml:space="preserve">Regex: [Gg]0\d{9}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Dependent ID</w:t>
            </w:r>
          </w:p>
        </w:tc>
        <w:tc>
          <w:tcPr>
            <w:tcW w:type="dxa" w:w="5200"/>
            <w:tcMar>
              <w:top w:type="dxa" w:w="80"/>
              <w:left w:type="dxa" w:w="100"/>
              <w:bottom w:type="dxa" w:w="80"/>
              <w:right w:type="dxa" w:w="100"/>
            </w:tcMar>
          </w:tcPr>
          <w:p>
            <w:pPr>
              <w:jc w:val="left"/>
            </w:pPr>
            <w:r>
              <w:rPr>
                <w:b w:val="false"/>
                <w:bCs w:val="false"/>
                <w:sz w:val="16"/>
                <w:szCs w:val="16"/>
              </w:rPr>
              <w:t xml:space="preserve">Regex: [Ww]\d{11} (shares Member ID exclusion list)</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bl>
    <w:p>
      <w:pPr>
        <w:spacing w:after="120"/>
      </w:pPr>
      <w:r>
        <w:rPr>
          <w:b/>
          <w:bCs/>
        </w:rPr>
        <w:t>Precision difference: SK validates SSN and PCI with vendor checksum classifiers (SSA algorithm, Luhn algorithm), which test structural validity as well as format. Palo Alto's native predefined patterns for the same two categories are format-matching without checksum validation. Migrating these two patterns to PA as currently built is expected to raise the false-positive rate relative to SK, unless a checksum-capable Advanced DLP capability is used.</w:t>
      </w:r>
    </w:p>
    <w:p>
      <w:pPr>
        <w:pStyle w:val="Heading2"/>
        <w:spacing w:after="120" w:before="260"/>
      </w:pPr>
      <w:r>
        <w:t xml:space="preserve">Reconciled Status — All 7 Original Patterns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400"/>
        <w:gridCol w:w="2500"/>
      </w:tblGrid>
      <w:tr>
        <w:trPr>
          <w:tblHeader/>
        </w:trPr>
        <w:tc>
          <w:tcPr>
            <w:tcW w:type="dxa" w:w="1900"/>
            <w:shd w:fill="8C1D18" w:val="clear"/>
            <w:tcMar>
              <w:top w:type="dxa" w:w="80"/>
              <w:left w:type="dxa" w:w="100"/>
              <w:bottom w:type="dxa" w:w="80"/>
              <w:right w:type="dxa" w:w="100"/>
            </w:tcMar>
          </w:tcPr>
          <w:p>
            <w:pPr>
              <w:jc w:val="left"/>
            </w:pPr>
            <w:r>
              <w:rPr>
                <w:b/>
                <w:bCs/>
                <w:color w:val="FFFFFF"/>
                <w:sz w:val="16"/>
                <w:szCs w:val="16"/>
              </w:rPr>
              <w:t xml:space="preserve">Pattern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SK Live Status (Aetna)</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Live Status (NAB, CVS side)</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Staged Status (Aetna side)</w:t>
            </w:r>
          </w:p>
        </w:tc>
        <w:tc>
          <w:tcPr>
            <w:tcW w:type="dxa" w:w="2500"/>
            <w:shd w:fill="8C1D18" w:val="clear"/>
            <w:tcMar>
              <w:top w:type="dxa" w:w="80"/>
              <w:left w:type="dxa" w:w="100"/>
              <w:bottom w:type="dxa" w:w="80"/>
              <w:right w:type="dxa" w:w="100"/>
            </w:tcMar>
          </w:tcPr>
          <w:p>
            <w:pPr>
              <w:jc w:val="left"/>
            </w:pPr>
            <w:r>
              <w:rPr>
                <w:b/>
                <w:bCs/>
                <w:color w:val="FFFFFF"/>
                <w:sz w:val="16"/>
                <w:szCs w:val="16"/>
              </w:rPr>
              <w:t xml:space="preserve">Net Gap</w:t>
            </w:r>
          </w:p>
        </w:tc>
      </w:tr>
      <w:tr>
        <w:tc>
          <w:tcPr>
            <w:tcW w:type="dxa" w:w="1900"/>
            <w:tcMar>
              <w:top w:type="dxa" w:w="80"/>
              <w:left w:type="dxa" w:w="100"/>
              <w:bottom w:type="dxa" w:w="80"/>
              <w:right w:type="dxa" w:w="100"/>
            </w:tcMar>
          </w:tcPr>
          <w:p>
            <w:pPr>
              <w:jc w:val="left"/>
            </w:pPr>
            <w:r>
              <w:rPr>
                <w:b w:val="false"/>
                <w:bCs w:val="false"/>
                <w:sz w:val="16"/>
                <w:szCs w:val="16"/>
              </w:rPr>
              <w:t xml:space="preserve">SSN</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alert-only, predefined pattern,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PA has no live SSN enforcement on Aetna; CVS-side is alert-only and lower-fidelity than SK</w:t>
            </w:r>
          </w:p>
        </w:tc>
      </w:tr>
      <w:tr>
        <w:tc>
          <w:tcPr>
            <w:tcW w:type="dxa" w:w="1900"/>
            <w:tcMar>
              <w:top w:type="dxa" w:w="80"/>
              <w:left w:type="dxa" w:w="100"/>
              <w:bottom w:type="dxa" w:w="80"/>
              <w:right w:type="dxa" w:w="100"/>
            </w:tcMar>
          </w:tcPr>
          <w:p>
            <w:pPr>
              <w:jc w:val="left"/>
            </w:pPr>
            <w:r>
              <w:rPr>
                <w:b w:val="false"/>
                <w:bCs w:val="false"/>
                <w:sz w:val="16"/>
                <w:szCs w:val="16"/>
              </w:rPr>
              <w:t xml:space="preserve">PCI (Card Data)</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same NAB profile, alert-only,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Same fidelity loss as SSN; not yet wired on Aetna at all</w:t>
            </w:r>
          </w:p>
        </w:tc>
      </w:tr>
      <w:tr>
        <w:tc>
          <w:tcPr>
            <w:tcW w:type="dxa" w:w="1900"/>
            <w:tcMar>
              <w:top w:type="dxa" w:w="80"/>
              <w:left w:type="dxa" w:w="100"/>
              <w:bottom w:type="dxa" w:w="80"/>
              <w:right w:type="dxa" w:w="100"/>
            </w:tcMar>
          </w:tcPr>
          <w:p>
            <w:pPr>
              <w:jc w:val="left"/>
            </w:pPr>
            <w:r>
              <w:rPr>
                <w:b w:val="false"/>
                <w:bCs w:val="false"/>
                <w:sz w:val="16"/>
                <w:szCs w:val="16"/>
              </w:rPr>
              <w:t xml:space="preserve">Driver's License - US</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51 custom regex patterns, all states + DC, built this engagement</w:t>
            </w:r>
          </w:p>
        </w:tc>
        <w:tc>
          <w:tcPr>
            <w:tcW w:type="dxa" w:w="2500"/>
            <w:tcMar>
              <w:top w:type="dxa" w:w="80"/>
              <w:left w:type="dxa" w:w="100"/>
              <w:bottom w:type="dxa" w:w="80"/>
              <w:right w:type="dxa" w:w="100"/>
            </w:tcMar>
          </w:tcPr>
          <w:p>
            <w:pPr>
              <w:jc w:val="left"/>
            </w:pPr>
            <w:r>
              <w:rPr>
                <w:b w:val="false"/>
                <w:bCs w:val="false"/>
                <w:sz w:val="16"/>
                <w:szCs w:val="16"/>
              </w:rPr>
              <w:t xml:space="preserve">This is a net-new capability, not a parity item — SK apparently does not enforce this today either</w:t>
            </w:r>
          </w:p>
        </w:tc>
      </w:tr>
      <w:tr>
        <w:tc>
          <w:tcPr>
            <w:tcW w:type="dxa" w:w="1900"/>
            <w:tcMar>
              <w:top w:type="dxa" w:w="80"/>
              <w:left w:type="dxa" w:w="100"/>
              <w:bottom w:type="dxa" w:w="80"/>
              <w:right w:type="dxa" w:w="100"/>
            </w:tcMar>
          </w:tcPr>
          <w:p>
            <w:pPr>
              <w:jc w:val="left"/>
            </w:pPr>
            <w:r>
              <w:rPr>
                <w:b w:val="false"/>
                <w:bCs w:val="false"/>
                <w:sz w:val="16"/>
                <w:szCs w:val="16"/>
              </w:rPr>
              <w:t xml:space="preserve">Member ID</w:t>
            </w:r>
          </w:p>
        </w:tc>
        <w:tc>
          <w:tcPr>
            <w:tcW w:type="dxa" w:w="2400"/>
            <w:tcMar>
              <w:top w:type="dxa" w:w="80"/>
              <w:left w:type="dxa" w:w="100"/>
              <w:bottom w:type="dxa" w:w="80"/>
              <w:right w:type="dxa" w:w="100"/>
            </w:tcMar>
          </w:tcPr>
          <w:p>
            <w:pPr>
              <w:jc w:val="left"/>
            </w:pPr>
            <w:r>
              <w:rPr>
                <w:b w:val="false"/>
                <w:bCs w:val="false"/>
                <w:sz w:val="16"/>
                <w:szCs w:val="16"/>
              </w:rPr>
              <w:t xml:space="preserve">NO — detected/tagged only on SK itself, not enforced</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Staged — custom regex ported from SK, not yet live</w:t>
            </w:r>
          </w:p>
        </w:tc>
        <w:tc>
          <w:tcPr>
            <w:tcW w:type="dxa" w:w="2500"/>
            <w:tcMar>
              <w:top w:type="dxa" w:w="80"/>
              <w:left w:type="dxa" w:w="100"/>
              <w:bottom w:type="dxa" w:w="80"/>
              <w:right w:type="dxa" w:w="100"/>
            </w:tcMar>
          </w:tcPr>
          <w:p>
            <w:pPr>
              <w:jc w:val="left"/>
            </w:pPr>
            <w:r>
              <w:rPr>
                <w:b w:val="false"/>
                <w:bCs w:val="false"/>
                <w:sz w:val="16"/>
                <w:szCs w:val="16"/>
              </w:rPr>
              <w:t xml:space="preserve">Neither platform currently blocks on this pattern; parity target is "detect," not "block," based on SK's own live behavior</w:t>
            </w:r>
          </w:p>
        </w:tc>
      </w:tr>
      <w:tr>
        <w:tc>
          <w:tcPr>
            <w:tcW w:type="dxa" w:w="1900"/>
            <w:tcMar>
              <w:top w:type="dxa" w:w="80"/>
              <w:left w:type="dxa" w:w="100"/>
              <w:bottom w:type="dxa" w:w="80"/>
              <w:right w:type="dxa" w:w="100"/>
            </w:tcMar>
          </w:tcPr>
          <w:p>
            <w:pPr>
              <w:jc w:val="left"/>
            </w:pPr>
            <w:r>
              <w:rPr>
                <w:b w:val="false"/>
                <w:bCs w:val="false"/>
                <w:sz w:val="16"/>
                <w:szCs w:val="16"/>
              </w:rPr>
              <w:t xml:space="preserve">MBI (Medicare Beneficiary ID)</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 (HICN is the pre-2019 predecessor; MBI is its post-2018 replacement)</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No live enforcement or staged build identified on either platform for MBI specifically — confirm this is genuinely new, not overlooked</w:t>
            </w:r>
          </w:p>
        </w:tc>
      </w:tr>
      <w:tr>
        <w:tc>
          <w:tcPr>
            <w:tcW w:type="dxa" w:w="1900"/>
            <w:tcMar>
              <w:top w:type="dxa" w:w="80"/>
              <w:left w:type="dxa" w:w="100"/>
              <w:bottom w:type="dxa" w:w="80"/>
              <w:right w:type="dxa" w:w="100"/>
            </w:tcMar>
          </w:tcPr>
          <w:p>
            <w:pPr>
              <w:jc w:val="left"/>
            </w:pPr>
            <w:r>
              <w:rPr>
                <w:b w:val="false"/>
                <w:bCs w:val="false"/>
                <w:sz w:val="16"/>
                <w:szCs w:val="16"/>
              </w:rPr>
              <w:t xml:space="preserve">SSN - Masked/Redacted</w:t>
            </w:r>
          </w:p>
        </w:tc>
        <w:tc>
          <w:tcPr>
            <w:tcW w:type="dxa" w:w="2400"/>
            <w:tcMar>
              <w:top w:type="dxa" w:w="80"/>
              <w:left w:type="dxa" w:w="100"/>
              <w:bottom w:type="dxa" w:w="80"/>
              <w:right w:type="dxa" w:w="100"/>
            </w:tcMar>
          </w:tcPr>
          <w:p>
            <w:pPr>
              <w:jc w:val="left"/>
            </w:pPr>
            <w:r>
              <w:rPr>
                <w:b w:val="false"/>
                <w:bCs w:val="false"/>
                <w:sz w:val="16"/>
                <w:szCs w:val="16"/>
              </w:rPr>
              <w:t xml:space="preserve">YES — regex,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PA has no equivalent anywhere yet — this is a real, live SK capability with no PA-side counterpart identified</w:t>
            </w:r>
          </w:p>
        </w:tc>
      </w:tr>
      <w:tr>
        <w:tc>
          <w:tcPr>
            <w:tcW w:type="dxa" w:w="1900"/>
            <w:tcMar>
              <w:top w:type="dxa" w:w="80"/>
              <w:left w:type="dxa" w:w="100"/>
              <w:bottom w:type="dxa" w:w="80"/>
              <w:right w:type="dxa" w:w="100"/>
            </w:tcMar>
          </w:tcPr>
          <w:p>
            <w:pPr>
              <w:jc w:val="left"/>
            </w:pPr>
            <w:r>
              <w:rPr>
                <w:b w:val="false"/>
                <w:bCs w:val="false"/>
                <w:sz w:val="16"/>
                <w:szCs w:val="16"/>
              </w:rPr>
              <w:t xml:space="preserve">HICN (Legacy)</w:t>
            </w:r>
          </w:p>
        </w:tc>
        <w:tc>
          <w:tcPr>
            <w:tcW w:type="dxa" w:w="2400"/>
            <w:tcMar>
              <w:top w:type="dxa" w:w="80"/>
              <w:left w:type="dxa" w:w="100"/>
              <w:bottom w:type="dxa" w:w="80"/>
              <w:right w:type="dxa" w:w="100"/>
            </w:tcMar>
          </w:tcPr>
          <w:p>
            <w:pPr>
              <w:jc w:val="left"/>
            </w:pPr>
            <w:r>
              <w:rPr>
                <w:b w:val="false"/>
                <w:bCs w:val="false"/>
                <w:sz w:val="16"/>
                <w:szCs w:val="16"/>
              </w:rPr>
              <w:t xml:space="preserve">YES — regex + keyword, blocks, 3 rules</w:t>
            </w:r>
          </w:p>
        </w:tc>
        <w:tc>
          <w:tcPr>
            <w:tcW w:type="dxa" w:w="2400"/>
            <w:tcMar>
              <w:top w:type="dxa" w:w="80"/>
              <w:left w:type="dxa" w:w="100"/>
              <w:bottom w:type="dxa" w:w="80"/>
              <w:right w:type="dxa" w:w="100"/>
            </w:tcMar>
          </w:tcPr>
          <w:p>
            <w:pPr>
              <w:jc w:val="left"/>
            </w:pPr>
            <w:r>
              <w:rPr>
                <w:b w:val="false"/>
                <w:bCs w:val="false"/>
                <w:sz w:val="16"/>
                <w:szCs w:val="16"/>
              </w:rPr>
              <w:t xml:space="preserve">NO — absent from NAB's 28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 (MBI/HICN may have been treated as one item — confirm)</w:t>
            </w:r>
          </w:p>
        </w:tc>
        <w:tc>
          <w:tcPr>
            <w:tcW w:type="dxa" w:w="2500"/>
            <w:tcMar>
              <w:top w:type="dxa" w:w="80"/>
              <w:left w:type="dxa" w:w="100"/>
              <w:bottom w:type="dxa" w:w="80"/>
              <w:right w:type="dxa" w:w="100"/>
            </w:tcMar>
          </w:tcPr>
          <w:p>
            <w:pPr>
              <w:jc w:val="left"/>
            </w:pPr>
            <w:r>
              <w:rPr>
                <w:b w:val="false"/>
                <w:bCs w:val="false"/>
                <w:sz w:val="16"/>
                <w:szCs w:val="16"/>
              </w:rPr>
              <w:t xml:space="preserve">Same as Masked SSN — live on SK, no PA counterpart identified in material reviewed</w:t>
            </w:r>
          </w:p>
        </w:tc>
      </w:tr>
    </w:tbl>
    <w:p>
      <w:pPr>
        <w:pStyle w:val="Heading2"/>
        <w:spacing w:after="120" w:before="260"/>
      </w:pPr>
      <w:r>
        <w:t xml:space="preserve">File-Type Blocking — SK vs. PA, Structural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900"/>
      </w:tblGrid>
      <w:tr>
        <w:trPr>
          <w:tblHeader/>
        </w:trPr>
        <w:tc>
          <w:tcPr>
            <w:tcW w:type="dxa" w:w="3000"/>
            <w:shd w:fill="8C1D18" w:val="clear"/>
            <w:tcMar>
              <w:top w:type="dxa" w:w="80"/>
              <w:left w:type="dxa" w:w="100"/>
              <w:bottom w:type="dxa" w:w="80"/>
              <w:right w:type="dxa" w:w="100"/>
            </w:tcMar>
          </w:tcPr>
          <w:p>
            <w:pPr>
              <w:jc w:val="left"/>
            </w:pPr>
            <w:r>
              <w:rPr>
                <w:b/>
                <w:bCs/>
                <w:color w:val="FFFFFF"/>
                <w:sz w:val="16"/>
                <w:szCs w:val="16"/>
              </w:rPr>
              <w:t xml:space="preserve">Mechanism</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Skyhigh (Aetna, live)</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Palo Alto (File_Blocking_Best_Practice_SP)</w:t>
            </w:r>
          </w:p>
        </w:tc>
      </w:tr>
      <w:tr>
        <w:tc>
          <w:tcPr>
            <w:tcW w:type="dxa" w:w="3000"/>
            <w:tcMar>
              <w:top w:type="dxa" w:w="80"/>
              <w:left w:type="dxa" w:w="100"/>
              <w:bottom w:type="dxa" w:w="80"/>
              <w:right w:type="dxa" w:w="100"/>
            </w:tcMar>
          </w:tcPr>
          <w:p>
            <w:pPr>
              <w:jc w:val="left"/>
            </w:pPr>
            <w:r>
              <w:rPr>
                <w:b w:val="false"/>
                <w:bCs w:val="false"/>
                <w:sz w:val="16"/>
                <w:szCs w:val="16"/>
              </w:rPr>
              <w:t xml:space="preserve">Blocked extensions</w:t>
            </w:r>
          </w:p>
        </w:tc>
        <w:tc>
          <w:tcPr>
            <w:tcW w:type="dxa" w:w="3900"/>
            <w:tcMar>
              <w:top w:type="dxa" w:w="80"/>
              <w:left w:type="dxa" w:w="100"/>
              <w:bottom w:type="dxa" w:w="80"/>
              <w:right w:type="dxa" w:w="100"/>
            </w:tcMar>
          </w:tcPr>
          <w:p>
            <w:pPr>
              <w:jc w:val="left"/>
            </w:pPr>
            <w:r>
              <w:rPr>
                <w:b w:val="false"/>
                <w:bCs w:val="false"/>
                <w:sz w:val="16"/>
                <w:szCs w:val="16"/>
              </w:rPr>
              <w:t xml:space="preserve">9 extensions: hta, iq, job, lnk, pif, shs, vbe, wsc, wsh</w:t>
            </w:r>
          </w:p>
        </w:tc>
        <w:tc>
          <w:tcPr>
            <w:tcW w:type="dxa" w:w="3900"/>
            <w:tcMar>
              <w:top w:type="dxa" w:w="80"/>
              <w:left w:type="dxa" w:w="100"/>
              <w:bottom w:type="dxa" w:w="80"/>
              <w:right w:type="dxa" w:w="100"/>
            </w:tcMar>
          </w:tcPr>
          <w:p>
            <w:pPr>
              <w:jc w:val="left"/>
            </w:pPr>
            <w:r>
              <w:rPr>
                <w:b w:val="false"/>
                <w:bCs w:val="false"/>
                <w:sz w:val="16"/>
                <w:szCs w:val="16"/>
              </w:rPr>
              <w:t xml:space="preserve">19 extensions — broader coverage, confirmed live where this profile is wired</w:t>
            </w:r>
          </w:p>
        </w:tc>
      </w:tr>
      <w:tr>
        <w:tc>
          <w:tcPr>
            <w:tcW w:type="dxa" w:w="3000"/>
            <w:tcMar>
              <w:top w:type="dxa" w:w="80"/>
              <w:left w:type="dxa" w:w="100"/>
              <w:bottom w:type="dxa" w:w="80"/>
              <w:right w:type="dxa" w:w="100"/>
            </w:tcMar>
          </w:tcPr>
          <w:p>
            <w:pPr>
              <w:jc w:val="left"/>
            </w:pPr>
            <w:r>
              <w:rPr>
                <w:b w:val="false"/>
                <w:bCs w:val="false"/>
                <w:sz w:val="16"/>
                <w:szCs w:val="16"/>
              </w:rPr>
              <w:t xml:space="preserve">Content-signature executable detection</w:t>
            </w:r>
          </w:p>
        </w:tc>
        <w:tc>
          <w:tcPr>
            <w:tcW w:type="dxa" w:w="3900"/>
            <w:tcMar>
              <w:top w:type="dxa" w:w="80"/>
              <w:left w:type="dxa" w:w="100"/>
              <w:bottom w:type="dxa" w:w="80"/>
              <w:right w:type="dxa" w:w="100"/>
            </w:tcMar>
          </w:tcPr>
          <w:p>
            <w:pPr>
              <w:jc w:val="left"/>
            </w:pPr>
            <w:r>
              <w:rPr>
                <w:b w:val="false"/>
                <w:bCs w:val="false"/>
                <w:sz w:val="16"/>
                <w:szCs w:val="16"/>
              </w:rPr>
              <w:t xml:space="preserve">38 media types (application/x-msdownload, java-vm, dotnet-assembly, x-elf, x-mac-dylib, and 29 others)</w:t>
            </w:r>
          </w:p>
        </w:tc>
        <w:tc>
          <w:tcPr>
            <w:tcW w:type="dxa" w:w="3900"/>
            <w:tcMar>
              <w:top w:type="dxa" w:w="80"/>
              <w:left w:type="dxa" w:w="100"/>
              <w:bottom w:type="dxa" w:w="80"/>
              <w:right w:type="dxa" w:w="100"/>
            </w:tcMar>
          </w:tcPr>
          <w:p>
            <w:pPr>
              <w:jc w:val="left"/>
            </w:pPr>
            <w:r>
              <w:rPr>
                <w:b w:val="false"/>
                <w:bCs w:val="false"/>
                <w:sz w:val="16"/>
                <w:szCs w:val="16"/>
              </w:rPr>
              <w:t xml:space="preserve">Covered under "Block high risk file types" rule — exact media-type list not independently diffed against SK's 38 this pass</w:t>
            </w:r>
          </w:p>
        </w:tc>
      </w:tr>
      <w:tr>
        <w:tc>
          <w:tcPr>
            <w:tcW w:type="dxa" w:w="3000"/>
            <w:tcMar>
              <w:top w:type="dxa" w:w="80"/>
              <w:left w:type="dxa" w:w="100"/>
              <w:bottom w:type="dxa" w:w="80"/>
              <w:right w:type="dxa" w:w="100"/>
            </w:tcMar>
          </w:tcPr>
          <w:p>
            <w:pPr>
              <w:jc w:val="left"/>
            </w:pPr>
            <w:r>
              <w:rPr>
                <w:b w:val="false"/>
                <w:bCs w:val="false"/>
                <w:sz w:val="16"/>
                <w:szCs w:val="16"/>
              </w:rPr>
              <w:t xml:space="preserve">Encrypted archive blocking</w:t>
            </w:r>
          </w:p>
        </w:tc>
        <w:tc>
          <w:tcPr>
            <w:tcW w:type="dxa" w:w="3900"/>
            <w:tcMar>
              <w:top w:type="dxa" w:w="80"/>
              <w:left w:type="dxa" w:w="100"/>
              <w:bottom w:type="dxa" w:w="80"/>
              <w:right w:type="dxa" w:w="100"/>
            </w:tcMar>
          </w:tcPr>
          <w:p>
            <w:pPr>
              <w:jc w:val="left"/>
            </w:pPr>
            <w:r>
              <w:rPr>
                <w:b w:val="false"/>
                <w:bCs w:val="false"/>
                <w:sz w:val="16"/>
                <w:szCs w:val="16"/>
              </w:rPr>
              <w:t xml:space="preserve">58 recognized archive/compression formats</w:t>
            </w:r>
          </w:p>
        </w:tc>
        <w:tc>
          <w:tcPr>
            <w:tcW w:type="dxa" w:w="3900"/>
            <w:tcMar>
              <w:top w:type="dxa" w:w="80"/>
              <w:left w:type="dxa" w:w="100"/>
              <w:bottom w:type="dxa" w:w="80"/>
              <w:right w:type="dxa" w:w="100"/>
            </w:tcMar>
          </w:tcPr>
          <w:p>
            <w:pPr>
              <w:jc w:val="left"/>
            </w:pPr>
            <w:r>
              <w:rPr>
                <w:b w:val="false"/>
                <w:bCs w:val="false"/>
                <w:sz w:val="16"/>
                <w:szCs w:val="16"/>
              </w:rPr>
              <w:t xml:space="preserve">3 formats explicitly named (7z, rar, zip) under "Block encrypted files" — narrower named scope than SK's 58</w:t>
            </w:r>
          </w:p>
        </w:tc>
      </w:tr>
      <w:tr>
        <w:tc>
          <w:tcPr>
            <w:tcW w:type="dxa" w:w="3000"/>
            <w:tcMar>
              <w:top w:type="dxa" w:w="80"/>
              <w:left w:type="dxa" w:w="100"/>
              <w:bottom w:type="dxa" w:w="80"/>
              <w:right w:type="dxa" w:w="100"/>
            </w:tcMar>
          </w:tcPr>
          <w:p>
            <w:pPr>
              <w:jc w:val="left"/>
            </w:pPr>
            <w:r>
              <w:rPr>
                <w:b w:val="false"/>
                <w:bCs w:val="false"/>
                <w:sz w:val="16"/>
                <w:szCs w:val="16"/>
              </w:rPr>
              <w:t xml:space="preserve">Nested archive depth</w:t>
            </w:r>
          </w:p>
        </w:tc>
        <w:tc>
          <w:tcPr>
            <w:tcW w:type="dxa" w:w="3900"/>
            <w:tcMar>
              <w:top w:type="dxa" w:w="80"/>
              <w:left w:type="dxa" w:w="100"/>
              <w:bottom w:type="dxa" w:w="80"/>
              <w:right w:type="dxa" w:w="100"/>
            </w:tcMar>
          </w:tcPr>
          <w:p>
            <w:pPr>
              <w:jc w:val="left"/>
            </w:pPr>
            <w:r>
              <w:rPr>
                <w:b w:val="false"/>
                <w:bCs w:val="false"/>
                <w:sz w:val="16"/>
                <w:szCs w:val="16"/>
              </w:rPr>
              <w:t xml:space="preserve">Blocks nesting &gt;= 8 levels, regardless of content</w:t>
            </w:r>
          </w:p>
        </w:tc>
        <w:tc>
          <w:tcPr>
            <w:tcW w:type="dxa" w:w="3900"/>
            <w:tcMar>
              <w:top w:type="dxa" w:w="80"/>
              <w:left w:type="dxa" w:w="100"/>
              <w:bottom w:type="dxa" w:w="80"/>
              <w:right w:type="dxa" w:w="100"/>
            </w:tcMar>
          </w:tcPr>
          <w:p>
            <w:pPr>
              <w:jc w:val="left"/>
            </w:pPr>
            <w:r>
              <w:rPr>
                <w:b w:val="false"/>
                <w:bCs w:val="false"/>
                <w:sz w:val="16"/>
                <w:szCs w:val="16"/>
              </w:rPr>
              <w:t xml:space="preserve">No equivalent mechanism identified in the PA profile reviewed</w:t>
            </w:r>
          </w:p>
        </w:tc>
      </w:tr>
      <w:tr>
        <w:tc>
          <w:tcPr>
            <w:tcW w:type="dxa" w:w="3000"/>
            <w:tcMar>
              <w:top w:type="dxa" w:w="80"/>
              <w:left w:type="dxa" w:w="100"/>
              <w:bottom w:type="dxa" w:w="80"/>
              <w:right w:type="dxa" w:w="100"/>
            </w:tcMar>
          </w:tcPr>
          <w:p>
            <w:pPr>
              <w:jc w:val="left"/>
            </w:pPr>
            <w:r>
              <w:rPr>
                <w:b w:val="false"/>
                <w:bCs w:val="false"/>
                <w:sz w:val="16"/>
                <w:szCs w:val="16"/>
              </w:rPr>
              <w:t xml:space="preserve">Encrypted Office/PDF</w:t>
            </w:r>
          </w:p>
        </w:tc>
        <w:tc>
          <w:tcPr>
            <w:tcW w:type="dxa" w:w="3900"/>
            <w:tcMar>
              <w:top w:type="dxa" w:w="80"/>
              <w:left w:type="dxa" w:w="100"/>
              <w:bottom w:type="dxa" w:w="80"/>
              <w:right w:type="dxa" w:w="100"/>
            </w:tcMar>
          </w:tcPr>
          <w:p>
            <w:pPr>
              <w:jc w:val="left"/>
            </w:pPr>
            <w:r>
              <w:rPr>
                <w:b w:val="false"/>
                <w:bCs w:val="false"/>
                <w:sz w:val="16"/>
                <w:szCs w:val="16"/>
              </w:rPr>
              <w:t xml:space="preserve">Covered under the general encrypted-archive rule (no separate rule)</w:t>
            </w:r>
          </w:p>
        </w:tc>
        <w:tc>
          <w:tcPr>
            <w:tcW w:type="dxa" w:w="3900"/>
            <w:tcMar>
              <w:top w:type="dxa" w:w="80"/>
              <w:left w:type="dxa" w:w="100"/>
              <w:bottom w:type="dxa" w:w="80"/>
              <w:right w:type="dxa" w:w="100"/>
            </w:tcMar>
          </w:tcPr>
          <w:p>
            <w:pPr>
              <w:jc w:val="left"/>
            </w:pPr>
            <w:r>
              <w:rPr>
                <w:b w:val="false"/>
                <w:bCs w:val="false"/>
                <w:sz w:val="16"/>
                <w:szCs w:val="16"/>
              </w:rPr>
              <w:t xml:space="preserve">Separate dedicated rule: "Block MS Encrypted Files" — a PA-specific rule with no direct SK equivalent by name, though outcome may overlap</w:t>
            </w:r>
          </w:p>
        </w:tc>
      </w:tr>
    </w:tbl>
    <w:p>
      <w:pPr>
        <w:spacing w:after="120"/>
      </w:pPr>
      <w:r>
        <w:rPr>
          <w:i/>
          <w:iCs/>
          <w:color w:val="5B6169"/>
          <w:sz w:val="19"/>
          <w:szCs w:val="19"/>
        </w:rPr>
        <w:t xml:space="preserve">Two PA File Blocking variants exist that weaken this profile for specific traffic and are worth flagging on their own: File_Blocking_No_PDF_Enc (used by SPG-LV-No-PDF-Enc) removes the encrypted-Office/PDF block entirely for its scoped traffic; Trusted-FBP (used by Trusted-Apps) blocks nothing at all — alert-only across every file type, functionally no file blocking despite being attached via a profile-setting that looks like enforcement to a rulebase reader who doesn't open the profile itself.</w:t>
      </w:r>
    </w:p>
    <w:p>
      <w:pPr>
        <w:spacing w:after="120"/>
      </w:pPr>
      <w:r>
        <w:t xml:space="preserve">Tenant Restriction cannot function without decrypting a specific, narrow set of Microsoft authentication domains first. This is not a broad Microsoft/O365 decrypt requirement — it is four named domains:</w:t>
      </w:r>
    </w:p>
    <w:p>
      <w:pPr>
        <w:pStyle w:val="ListParagraph"/>
        <w:numPr>
          <w:ilvl w:val="0"/>
          <w:numId w:val="1"/>
        </w:numPr>
        <w:spacing w:after="80"/>
      </w:pPr>
      <w:r>
        <w:rPr>
          <w:b/>
          <w:bCs/>
        </w:rPr>
        <w:t xml:space="preserve">login.live.com</w:t>
      </w:r>
    </w:p>
    <w:p>
      <w:pPr>
        <w:pStyle w:val="ListParagraph"/>
        <w:numPr>
          <w:ilvl w:val="0"/>
          <w:numId w:val="1"/>
        </w:numPr>
        <w:spacing w:after="80"/>
      </w:pPr>
      <w:r>
        <w:rPr>
          <w:b/>
          <w:bCs/>
        </w:rPr>
        <w:t xml:space="preserve">login.microsoft.com</w:t>
      </w:r>
    </w:p>
    <w:p>
      <w:pPr>
        <w:pStyle w:val="ListParagraph"/>
        <w:numPr>
          <w:ilvl w:val="0"/>
          <w:numId w:val="1"/>
        </w:numPr>
        <w:spacing w:after="80"/>
      </w:pPr>
      <w:r>
        <w:rPr>
          <w:b/>
          <w:bCs/>
        </w:rPr>
        <w:t xml:space="preserve">login.microsoftonline.com</w:t>
      </w:r>
    </w:p>
    <w:p>
      <w:pPr>
        <w:pStyle w:val="ListParagraph"/>
        <w:numPr>
          <w:ilvl w:val="0"/>
          <w:numId w:val="1"/>
        </w:numPr>
        <w:spacing w:after="80"/>
      </w:pPr>
      <w:r>
        <w:rPr>
          <w:b/>
          <w:bCs/>
        </w:rPr>
        <w:t xml:space="preserve">login.windows.net</w:t>
      </w:r>
    </w:p>
    <w:p>
      <w:pPr>
        <w:spacing w:after="120"/>
      </w:pPr>
      <w:r>
        <w:t xml:space="preserve">On Palo Alto, these are built into a named category ("MS Login" on Aetna, "Microsoft-Login-SSL-Inspection" on AZ/RI/LV) and referenced by a decrypt rule. A decrypt rule matching this category must exist, be enabled, and be scoped to the same population the header-insertion rule targets — all three conditions, not any one of them.</w:t>
      </w:r>
    </w:p>
    <w:p>
      <w:pPr>
        <w:pStyle w:val="Heading2"/>
        <w:spacing w:after="120" w:before="260"/>
      </w:pPr>
      <w:r>
        <w:t>Scorecard — Decrypt Dependency Met, by Location (Palo Alto)</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3200"/>
        <w:gridCol w:w="1800"/>
      </w:tblGrid>
      <w:tr>
        <w:trPr>
          <w:tblHeader/>
        </w:trPr>
        <w:tc>
          <w:tcPr>
            <w:tcW w:type="dxa" w:w="3200"/>
            <w:shd w:fill="8C1D18" w:val="clear"/>
            <w:tcMar>
              <w:top w:type="dxa" w:w="80"/>
              <w:left w:type="dxa" w:w="100"/>
              <w:bottom w:type="dxa" w:w="80"/>
              <w:right w:type="dxa" w:w="100"/>
            </w:tcMar>
          </w:tcPr>
          <w:p>
            <w:pPr>
              <w:jc w:val="left"/>
            </w:pPr>
            <w:r>
              <w:rPr>
                <w:b/>
                <w:bCs/>
                <w:color w:val="FFFFFF"/>
                <w:sz w:val="16"/>
                <w:szCs w:val="16"/>
              </w:rPr>
              <w:t xml:space="preserve">Location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Decrypt Rule Exists</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Rule Enabled</w:t>
            </w:r>
          </w:p>
        </w:tc>
        <w:tc>
          <w:tcPr>
            <w:tcW w:type="dxa" w:w="3200"/>
            <w:shd w:fill="8C1D18" w:val="clear"/>
            <w:tcMar>
              <w:top w:type="dxa" w:w="80"/>
              <w:left w:type="dxa" w:w="100"/>
              <w:bottom w:type="dxa" w:w="80"/>
              <w:right w:type="dxa" w:w="100"/>
            </w:tcMar>
          </w:tcPr>
          <w:p>
            <w:pPr>
              <w:jc w:val="left"/>
            </w:pPr>
            <w:r>
              <w:rPr>
                <w:b/>
                <w:bCs/>
                <w:color w:val="FFFFFF"/>
                <w:sz w:val="16"/>
                <w:szCs w:val="16"/>
              </w:rPr>
              <w:t xml:space="preserve">Header-Insertion Scoped to Same Population</w:t>
            </w:r>
          </w:p>
        </w:tc>
        <w:tc>
          <w:tcPr>
            <w:tcW w:type="dxa" w:w="1800"/>
            <w:shd w:fill="8C1D18" w:val="clear"/>
            <w:tcMar>
              <w:top w:type="dxa" w:w="80"/>
              <w:left w:type="dxa" w:w="100"/>
              <w:bottom w:type="dxa" w:w="80"/>
              <w:right w:type="dxa" w:w="100"/>
            </w:tcMar>
          </w:tcPr>
          <w:p>
            <w:pPr>
              <w:jc w:val="left"/>
            </w:pPr>
            <w:r>
              <w:rPr>
                <w:b/>
                <w:bCs/>
                <w:color w:val="FFFFFF"/>
                <w:sz w:val="16"/>
                <w:szCs w:val="16"/>
              </w:rPr>
              <w:t xml:space="preserve">Net: Dependency Met</w:t>
            </w:r>
          </w:p>
        </w:tc>
      </w:tr>
      <w:tr>
        <w:tc>
          <w:tcPr>
            <w:tcW w:type="dxa" w:w="3200"/>
            <w:tcMar>
              <w:top w:type="dxa" w:w="80"/>
              <w:left w:type="dxa" w:w="100"/>
              <w:bottom w:type="dxa" w:w="80"/>
              <w:right w:type="dxa" w:w="100"/>
            </w:tcMar>
          </w:tcPr>
          <w:p>
            <w:pPr>
              <w:jc w:val="left"/>
            </w:pPr>
            <w:r>
              <w:rPr>
                <w:b w:val="false"/>
                <w:bCs w:val="false"/>
                <w:sz w:val="16"/>
                <w:szCs w:val="16"/>
              </w:rPr>
              <w:t xml:space="preserve">Aetna — Middletown</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Aetna — Windsor</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AZ (Shea)</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RI</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general population</w:t>
            </w:r>
          </w:p>
        </w:tc>
        <w:tc>
          <w:tcPr>
            <w:tcW w:type="dxa" w:w="2400"/>
            <w:tcMar>
              <w:top w:type="dxa" w:w="80"/>
              <w:left w:type="dxa" w:w="100"/>
              <w:bottom w:type="dxa" w:w="80"/>
              <w:right w:type="dxa" w:w="100"/>
            </w:tcMar>
          </w:tcPr>
          <w:p>
            <w:pPr>
              <w:jc w:val="left"/>
            </w:pPr>
            <w:r>
              <w:rPr>
                <w:b w:val="false"/>
                <w:bCs w:val="false"/>
                <w:sz w:val="16"/>
                <w:szCs w:val="16"/>
              </w:rPr>
              <w:t xml:space="preserve">NO — no rule scoped to general population</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Meritain</w:t>
            </w:r>
          </w:p>
        </w:tc>
        <w:tc>
          <w:tcPr>
            <w:tcW w:type="dxa" w:w="2400"/>
            <w:tcMar>
              <w:top w:type="dxa" w:w="80"/>
              <w:left w:type="dxa" w:w="100"/>
              <w:bottom w:type="dxa" w:w="80"/>
              <w:right w:type="dxa" w:w="100"/>
            </w:tcMar>
          </w:tcPr>
          <w:p>
            <w:pPr>
              <w:jc w:val="left"/>
            </w:pPr>
            <w:r>
              <w:rPr>
                <w:b w:val="false"/>
                <w:bCs w:val="false"/>
                <w:sz w:val="16"/>
                <w:szCs w:val="16"/>
              </w:rPr>
              <w:t xml:space="preserve">YES — MERITAIN-TO-INTERNET-MICROSOFT-LOGIN</w:t>
            </w:r>
          </w:p>
        </w:tc>
        <w:tc>
          <w:tcPr>
            <w:tcW w:type="dxa" w:w="2200"/>
            <w:tcMar>
              <w:top w:type="dxa" w:w="80"/>
              <w:left w:type="dxa" w:w="100"/>
              <w:bottom w:type="dxa" w:w="80"/>
              <w:right w:type="dxa" w:w="100"/>
            </w:tcMar>
          </w:tcPr>
          <w:p>
            <w:pPr>
              <w:jc w:val="left"/>
            </w:pPr>
            <w:r>
              <w:rPr>
                <w:b w:val="false"/>
                <w:bCs w:val="false"/>
                <w:sz w:val="16"/>
                <w:szCs w:val="16"/>
              </w:rPr>
              <w:t xml:space="preserve">YES — disabled no, confirmed</w:t>
            </w:r>
          </w:p>
        </w:tc>
        <w:tc>
          <w:tcPr>
            <w:tcW w:type="dxa" w:w="3200"/>
            <w:tcMar>
              <w:top w:type="dxa" w:w="80"/>
              <w:left w:type="dxa" w:w="100"/>
              <w:bottom w:type="dxa" w:w="80"/>
              <w:right w:type="dxa" w:w="100"/>
            </w:tcMar>
          </w:tcPr>
          <w:p>
            <w:pPr>
              <w:jc w:val="left"/>
            </w:pPr>
            <w:r>
              <w:rPr>
                <w:b w:val="false"/>
                <w:bCs w:val="false"/>
                <w:sz w:val="16"/>
                <w:szCs w:val="16"/>
              </w:rPr>
              <w:t xml:space="preserve">NO — header-insertion rule scoped to an unrelated single test host (10.47.152.25), outside Meritain-Users-Subnets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pilot test host (10.47.152.25)</w:t>
            </w:r>
          </w:p>
        </w:tc>
        <w:tc>
          <w:tcPr>
            <w:tcW w:type="dxa" w:w="2400"/>
            <w:tcMar>
              <w:top w:type="dxa" w:w="80"/>
              <w:left w:type="dxa" w:w="100"/>
              <w:bottom w:type="dxa" w:w="80"/>
              <w:right w:type="dxa" w:w="100"/>
            </w:tcMar>
          </w:tcPr>
          <w:p>
            <w:pPr>
              <w:jc w:val="left"/>
            </w:pPr>
            <w:r>
              <w:rPr>
                <w:b w:val="false"/>
                <w:bCs w:val="false"/>
                <w:sz w:val="16"/>
                <w:szCs w:val="16"/>
              </w:rPr>
              <w:t xml:space="preserve">NO — host falls outside Meritain-Users-Subnets, the only enabled decrypt scope</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YES — this is the host the header-insertion rule targets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bl>
    <w:p>
      <w:pPr>
        <w:spacing w:after="120"/>
      </w:pPr>
      <w:r>
        <w:rPr>
          <w:b/>
          <w:bCs/>
        </w:rPr>
        <w:t>Net result (Palo Alto): zero PA locations meet all three conditions. Each location fails on a different condition — Aetna on enablement, AZ/RI on rule existence, Meritain on header-insertion scope alignment, and the pilot host on decrypt scope alignment. No location is completed by fixing a single item.</w:t>
      </w:r>
    </w:p>
    <w:p>
      <w:pPr>
        <w:spacing w:after="120"/>
      </w:pPr>
      <w:r>
        <w:rPr>
          <w:i/>
          <w:iCs/>
          <w:color w:val="5B6169"/>
          <w:sz w:val="19"/>
          <w:szCs w:val="19"/>
        </w:rPr>
        <w:t>ZIA comparison: for location Road Warrior, SSL rule 25 (Inspect, Microsoft Login Services, enabled) and Cloud App IT Services rule 5 (tenant profile "CVSH MS Tenant", enabled) are scoped to the same location, so the decrypt dependency is met for Road Warrior. VERIFY: the header version the tenant profile inserts. No ZIA tenant-profile rule references the retail or Cloud Connector location groups.</w:t>
      </w:r>
    </w:p>
    <w:p>
      <w:pPr>
        <w:pStyle w:val="Heading1"/>
        <w:spacing w:after="160" w:before="360"/>
      </w:pPr>
      <w:r>
        <w:t xml:space="preserve">Correction: A Conflict Resolved This Session</w:t>
      </w:r>
    </w:p>
    <w:p>
      <w:pPr>
        <w:spacing w:after="120"/>
      </w:pPr>
      <w:r>
        <w:rPr>
          <w:b/>
          <w:bCs/>
        </w:rPr>
        <w:t xml:space="preserve">The SK-to-PA Parity Plan stated Aetna's MS-Login decrypt rule (LAN-TO-INTERNET-DECRYPT-MS-LOGIN) is disabled. This session had earlier stated the opposite, based on an incomplete check (rule order was verified; the disabled field itself was never actually checked). Re-pulled directly from the raw config: disabled yes is explicitly present on both the Middletown and Windsor instances of this rule. The Parity Plan was correct. This session's earlier claim that "Aetna decrypts Microsoft login traffic correctly" was wrong and is corrected here. Meritain's equivalent rule (MERITAIN-TO-INTERNET-MICROSOFT-LOGIN) was independently re-checked and confirmed disabled no — genuinely enabled, the only such rule anywhere in the estate.</w:t>
      </w:r>
    </w:p>
    <w:p>
      <w:pPr>
        <w:pBdr>
          <w:top w:val="single" w:color="CCCCCC" w:sz="6" w:space="8"/>
        </w:pBdr>
        <w:spacing w:before="400"/>
      </w:pPr>
      <w:r>
        <w:rPr>
          <w:i/>
          <w:iCs/>
          <w:color w:val="5B6169"/>
          <w:sz w:val="17"/>
          <w:szCs w:val="17"/>
        </w:rPr>
        <w:t xml:space="preserve">This document supersedes the capability characterizations in Status_and_Next_Steps.docx for: DLP/File Inspection, Tenant Restriction, and URL/Content Category Enforcement. Licensing, NAT, Aetna Affiliate Hosting, Internet Egress, and Internal DMZ findings from that document are unaffected by this update.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2026-09-18T19:17:31.727Z</dcterms:created>
  <dcterms:modified xsi:type="dcterms:W3CDTF">2026-09-18T19:17:31.736Z</dcterms:modified>
</cp:coreProperties>
</file>

<file path=docProps/custom.xml><?xml version="1.0" encoding="utf-8"?>
<Properties xmlns="http://schemas.openxmlformats.org/officeDocument/2006/custom-properties" xmlns:vt="http://schemas.openxmlformats.org/officeDocument/2006/docPropsVTypes"/>
</file>