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854F0B"/>
          <w:spacing w:val="20"/>
          <w:sz w:val="18"/>
          <w:szCs w:val="18"/>
        </w:rPr>
        <w:t xml:space="preserve">REFERENCE NOTE</w:t>
      </w:r>
    </w:p>
    <w:p>
      <w:pPr>
        <w:spacing w:after="100"/>
      </w:pPr>
      <w:r>
        <w:rPr>
          <w:b/>
          <w:bCs/>
          <w:color w:val="0C447C"/>
          <w:sz w:val="34"/>
          <w:szCs w:val="34"/>
        </w:rPr>
        <w:t xml:space="preserve">Identity Scope in Brokered Third-Party Access: Why Backend Non-Propagation Is a Design Boundary, Not a Zero Trust Gap</w:t>
      </w:r>
    </w:p>
    <w:p>
      <w:pPr>
        <w:spacing w:after="40"/>
      </w:pPr>
      <w:r>
        <w:rPr>
          <w:i/>
          <w:iCs/>
          <w:color w:val="5f5e5a"/>
          <w:sz w:val="22"/>
          <w:szCs w:val="22"/>
        </w:rPr>
        <w:t xml:space="preserve">A clarification of terminology for the 3PLZ governed connectivity and identity architecture</w:t>
      </w:r>
    </w:p>
    <w:p>
      <w:pPr>
        <w:spacing w:after="300"/>
      </w:pPr>
      <w:r>
        <w:rPr>
          <w:color w:val="5f5e5a"/>
          <w:sz w:val="19"/>
          <w:szCs w:val="19"/>
        </w:rPr>
        <w:t xml:space="preserve">Companion reference to: 3PLZ to Enterprise Connectivity &amp; IP Addressing Summary (v1.0, May 2026) · Governed Third-Party Connectivity and Identity-Driven Zero Trust: A Unified Architecture (v1.0, March 2026)</w:t>
      </w:r>
    </w:p>
    <w:p>
      <w:pPr>
        <w:pStyle w:val="Heading1"/>
        <w:pBdr>
          <w:bottom w:val="single" w:color="1a1a18" w:sz="6"/>
        </w:pBdr>
        <w:spacing w:after="160" w:before="360"/>
      </w:pPr>
      <w:r>
        <w:rPr>
          <w:b/>
          <w:bCs/>
          <w:color w:val="0C447C"/>
          <w:sz w:val="26"/>
          <w:szCs w:val="26"/>
        </w:rPr>
        <w:t xml:space="preserve">1. Purpose</w:t>
      </w:r>
    </w:p>
    <w:p>
      <w:pPr>
        <w:spacing w:after="160" w:line="276"/>
      </w:pPr>
      <w:r>
        <w:rPr>
          <w:sz w:val="22"/>
          <w:szCs w:val="22"/>
        </w:rPr>
        <w:t xml:space="preserve">This note exists to fix a specific, recurring mischaracterization: describing the 3PLZ proxy-mediated access model as an incomplete or partially-achieved Zero Trust implementation because identity does not propagate into backend applications. That characterization is wrong. It imports a maturity-model vocabulary onto a design decision that was never targeting — and never needed to target — that end state. This note states the correct terminology, the reasoning behind it, and the citations that support it, so the distinction doesn't have to be re-derived in every future review.</w:t>
      </w:r>
    </w:p>
    <w:p>
      <w:pPr>
        <w:pStyle w:val="Heading1"/>
        <w:pBdr>
          <w:bottom w:val="single" w:color="1a1a18" w:sz="6"/>
        </w:pBdr>
        <w:spacing w:after="160" w:before="360"/>
      </w:pPr>
      <w:r>
        <w:rPr>
          <w:b/>
          <w:bCs/>
          <w:color w:val="0C447C"/>
          <w:sz w:val="26"/>
          <w:szCs w:val="26"/>
        </w:rPr>
        <w:t xml:space="preserve">2. What Is Actually Implemented</w:t>
      </w:r>
    </w:p>
    <w:p>
      <w:pPr>
        <w:spacing w:after="160" w:line="276"/>
      </w:pPr>
      <w:r>
        <w:rPr>
          <w:sz w:val="22"/>
          <w:szCs w:val="22"/>
        </w:rPr>
        <w:t xml:space="preserve">The 3PLZ access model takes two transaction types with no validated identity beyond a bare username, and augments each with a distinct, dynamic authentication chain enforced entirely at the mediation layer:</w:t>
      </w:r>
    </w:p>
    <w:p>
      <w:pPr>
        <w:spacing w:after="60"/>
      </w:pPr>
    </w:p>
    <w:p>
      <w:pPr>
        <w:pStyle w:val="Heading2"/>
        <w:spacing w:after="120" w:before="280"/>
      </w:pPr>
      <w:r>
        <w:rPr>
          <w:b/>
          <w:bCs/>
          <w:color w:val="1a1a18"/>
          <w:sz w:val="24"/>
          <w:szCs w:val="24"/>
        </w:rPr>
        <w:t xml:space="preserve">2.1  SSH / SFTP</w:t>
      </w:r>
    </w:p>
    <w:p>
      <w:pPr>
        <w:spacing w:after="120" w:line="264"/>
        <w:ind w:left="360" w:hanging="360"/>
      </w:pPr>
      <w:r>
        <w:rPr>
          <w:b/>
          <w:bCs/>
          <w:color w:val="185FA5"/>
          <w:sz w:val="22"/>
          <w:szCs w:val="22"/>
        </w:rPr>
        <w:t xml:space="preserve">1.  </w:t>
      </w:r>
      <w:r>
        <w:rPr>
          <w:b/>
          <w:bCs/>
          <w:sz w:val="22"/>
          <w:szCs w:val="22"/>
        </w:rPr>
        <w:t xml:space="preserve">Baseline: </w:t>
      </w:r>
      <w:r>
        <w:rPr>
          <w:sz w:val="22"/>
          <w:szCs w:val="22"/>
        </w:rPr>
        <w:t xml:space="preserve">a traditional SSH/SFTP session authenticates only a username — no independently validated identity.</w:t>
      </w:r>
    </w:p>
    <w:p>
      <w:pPr>
        <w:spacing w:after="120" w:line="264"/>
        <w:ind w:left="360" w:hanging="360"/>
      </w:pPr>
      <w:r>
        <w:rPr>
          <w:b/>
          <w:bCs/>
          <w:color w:val="185FA5"/>
          <w:sz w:val="22"/>
          <w:szCs w:val="22"/>
        </w:rPr>
        <w:t xml:space="preserve">2.  </w:t>
      </w:r>
      <w:r>
        <w:rPr>
          <w:b/>
          <w:bCs/>
          <w:sz w:val="22"/>
          <w:szCs w:val="22"/>
        </w:rPr>
        <w:t xml:space="preserve">Onboarding: </w:t>
      </w:r>
      <w:r>
        <w:rPr>
          <w:sz w:val="22"/>
          <w:szCs w:val="22"/>
        </w:rPr>
        <w:t xml:space="preserve">the partner user is provisioned through a governed process — LDAP account creation in a tenant-scoped OU, ACL entitlement assignment, and explicit user acknowledgment.</w:t>
      </w:r>
    </w:p>
    <w:p>
      <w:pPr>
        <w:spacing w:after="120" w:line="264"/>
        <w:ind w:left="360" w:hanging="360"/>
      </w:pPr>
      <w:r>
        <w:rPr>
          <w:b/>
          <w:bCs/>
          <w:color w:val="185FA5"/>
          <w:sz w:val="22"/>
          <w:szCs w:val="22"/>
        </w:rPr>
        <w:t xml:space="preserve">3.  </w:t>
      </w:r>
      <w:r>
        <w:rPr>
          <w:b/>
          <w:bCs/>
          <w:sz w:val="22"/>
          <w:szCs w:val="22"/>
        </w:rPr>
        <w:t xml:space="preserve">OTP binding: </w:t>
      </w:r>
      <w:r>
        <w:rPr>
          <w:sz w:val="22"/>
          <w:szCs w:val="22"/>
        </w:rPr>
        <w:t xml:space="preserve">a public-key-registered, time-boxed OTP (30-second TOTP) is issued and must be presented at connection time — replacing the static username with a dynamic, re-verified credential.</w:t>
      </w:r>
    </w:p>
    <w:p>
      <w:pPr>
        <w:spacing w:after="120" w:line="264"/>
        <w:ind w:left="360" w:hanging="360"/>
      </w:pPr>
      <w:r>
        <w:rPr>
          <w:b/>
          <w:bCs/>
          <w:color w:val="185FA5"/>
          <w:sz w:val="22"/>
          <w:szCs w:val="22"/>
        </w:rPr>
        <w:t xml:space="preserve">4.  </w:t>
      </w:r>
      <w:r>
        <w:rPr>
          <w:b/>
          <w:bCs/>
          <w:sz w:val="22"/>
          <w:szCs w:val="22"/>
        </w:rPr>
        <w:t xml:space="preserve">Credential extraction: </w:t>
      </w:r>
      <w:r>
        <w:rPr>
          <w:sz w:val="22"/>
          <w:szCs w:val="22"/>
        </w:rPr>
        <w:t xml:space="preserve">once the proxy validates LDAP + OTP + ACL, it retrieves the real backend credential from Vault and opens an independent session to the actual application. The real credential is never exposed to the connecting client, in either direction.</w:t>
      </w:r>
    </w:p>
    <w:p>
      <w:pPr>
        <w:spacing w:after="60"/>
      </w:pPr>
    </w:p>
    <w:p>
      <w:pPr>
        <w:pStyle w:val="Heading2"/>
        <w:spacing w:after="120" w:before="280"/>
      </w:pPr>
      <w:r>
        <w:rPr>
          <w:b/>
          <w:bCs/>
          <w:color w:val="1a1a18"/>
          <w:sz w:val="24"/>
          <w:szCs w:val="24"/>
        </w:rPr>
        <w:t xml:space="preserve">2.2  HTTPS</w:t>
      </w:r>
    </w:p>
    <w:p>
      <w:pPr>
        <w:spacing w:after="120" w:line="264"/>
        <w:ind w:left="360" w:hanging="360"/>
      </w:pPr>
      <w:r>
        <w:rPr>
          <w:b/>
          <w:bCs/>
          <w:color w:val="185FA5"/>
          <w:sz w:val="22"/>
          <w:szCs w:val="22"/>
        </w:rPr>
        <w:t xml:space="preserve">1.  </w:t>
      </w:r>
      <w:r>
        <w:rPr>
          <w:b/>
          <w:bCs/>
          <w:sz w:val="22"/>
          <w:szCs w:val="22"/>
        </w:rPr>
        <w:t xml:space="preserve">Baseline: </w:t>
      </w:r>
      <w:r>
        <w:rPr>
          <w:sz w:val="22"/>
          <w:szCs w:val="22"/>
        </w:rPr>
        <w:t xml:space="preserve">traditional HTTPS authenticates the server only — the client is anonymous at the transport layer.</w:t>
      </w:r>
    </w:p>
    <w:p>
      <w:pPr>
        <w:spacing w:after="120" w:line="264"/>
        <w:ind w:left="360" w:hanging="360"/>
      </w:pPr>
      <w:r>
        <w:rPr>
          <w:b/>
          <w:bCs/>
          <w:color w:val="185FA5"/>
          <w:sz w:val="22"/>
          <w:szCs w:val="22"/>
        </w:rPr>
        <w:t xml:space="preserve">2.  </w:t>
      </w:r>
      <w:r>
        <w:rPr>
          <w:b/>
          <w:bCs/>
          <w:sz w:val="22"/>
          <w:szCs w:val="22"/>
        </w:rPr>
        <w:t xml:space="preserve">Augmentation: </w:t>
      </w:r>
      <w:r>
        <w:rPr>
          <w:sz w:val="22"/>
          <w:szCs w:val="22"/>
        </w:rPr>
        <w:t xml:space="preserve">mTLS is layered on top, using a per-tenant Signing CA. The client must present a certificate that chains to that tenant's CA specifically — a Tenant-A certificate cannot validate against Tenant B's trust anchor.</w:t>
      </w:r>
    </w:p>
    <w:p>
      <w:pPr>
        <w:spacing w:after="160" w:line="276"/>
      </w:pPr>
      <w:r>
        <w:rPr>
          <w:sz w:val="22"/>
          <w:szCs w:val="22"/>
        </w:rPr>
        <w:t xml:space="preserve">In both cases, the pattern is the same: a weak or absent identity primitive is replaced with a dynamic, validated, tenant-scoped process enforced at the proxy — not by rewriting the backend application.</w:t>
      </w:r>
    </w:p>
    <w:p>
      <w:pPr>
        <w:pStyle w:val="Heading1"/>
        <w:pBdr>
          <w:bottom w:val="single" w:color="1a1a18" w:sz="6"/>
        </w:pBdr>
        <w:spacing w:after="160" w:before="360"/>
      </w:pPr>
      <w:r>
        <w:rPr>
          <w:b/>
          <w:bCs/>
          <w:color w:val="0C447C"/>
          <w:sz w:val="26"/>
          <w:szCs w:val="26"/>
        </w:rPr>
        <w:t xml:space="preserve">3. Correction of Record: Identity vs. SNAT</w:t>
      </w:r>
    </w:p>
    <w:p>
      <w:pPr>
        <w:spacing w:after="160" w:line="276"/>
      </w:pPr>
      <w:r>
        <w:rPr>
          <w:sz w:val="22"/>
          <w:szCs w:val="22"/>
        </w:rPr>
        <w:t xml:space="preserve">An earlier pass at this analysis mischaracterized SNAT as the tenant identity mechanism. That was incorrect and is corrected here:</w:t>
      </w:r>
    </w:p>
    <w:p>
      <w:pPr>
        <w:spacing w:after="160" w:line="276"/>
      </w:pPr>
      <w:r>
        <w:rPr>
          <w:b/>
          <w:bCs/>
          <w:sz w:val="22"/>
          <w:szCs w:val="22"/>
        </w:rPr>
        <w:t xml:space="preserve">Identity </w:t>
      </w:r>
      <w:r>
        <w:rPr>
          <w:sz w:val="22"/>
          <w:szCs w:val="22"/>
        </w:rPr>
        <w:t xml:space="preserve">is established by the proxy-scoped VIP that a partner's DNS resolves to — the product of tenant-scoped DNS rewriting performed by the mediation/proxy layer. This is what the partner actually authenticates against and what the enterprise treats as the tenant's identity boundary.</w:t>
      </w:r>
    </w:p>
    <w:p>
      <w:pPr>
        <w:spacing w:after="160" w:line="276"/>
      </w:pPr>
      <w:r>
        <w:rPr>
          <w:b/>
          <w:bCs/>
          <w:sz w:val="22"/>
          <w:szCs w:val="22"/>
        </w:rPr>
        <w:t xml:space="preserve">SNAT </w:t>
      </w:r>
      <w:r>
        <w:rPr>
          <w:sz w:val="22"/>
          <w:szCs w:val="22"/>
        </w:rPr>
        <w:t xml:space="preserve">is a downstream network-layer address pool (the per-tenant /27 in the addressing plan). It is a policy-enforcement construct that lets the enterprise firewall differentiate and police a tenant's already-mediated egress traffic. It is not an identity assertion.</w:t>
      </w:r>
    </w:p>
    <w:p>
      <w:pPr>
        <w:spacing w:after="160" w:line="276"/>
      </w:pPr>
      <w:r>
        <w:rPr>
          <w:sz w:val="22"/>
          <w:szCs w:val="22"/>
        </w:rPr>
        <w:t xml:space="preserve">Where prior documentation used the heading "SNAT and Source Identity," that phrasing should be read — and revised — to reflect this distinction: identity is bound at the proxy/DNS layer; SNAT is a policy pool that operates downstream of that binding, not a substitute for it.</w:t>
      </w:r>
    </w:p>
    <w:p>
      <w:pPr>
        <w:pStyle w:val="Heading1"/>
        <w:pBdr>
          <w:bottom w:val="single" w:color="1a1a18" w:sz="6"/>
        </w:pBdr>
        <w:spacing w:after="160" w:before="360"/>
      </w:pPr>
      <w:r>
        <w:rPr>
          <w:b/>
          <w:bCs/>
          <w:color w:val="0C447C"/>
          <w:sz w:val="26"/>
          <w:szCs w:val="26"/>
        </w:rPr>
        <w:t xml:space="preserve">4. The Core Claim: Non-Propagation Is a Boundary, Not a Gap</w:t>
      </w:r>
    </w:p>
    <w:p>
      <w:pPr>
        <w:spacing w:after="160" w:line="276"/>
      </w:pPr>
      <w:r>
        <w:rPr>
          <w:sz w:val="22"/>
          <w:szCs w:val="22"/>
        </w:rPr>
        <w:t xml:space="preserve">The CVS/partner SSH, SFTP, and web servers are standard, unmodified, third-party-facing systems. They trust the proxy's Vault-retrieved credential and never independently see or validate the original user's identity. This is, by design, exactly where identity enforcement stops.</w:t>
      </w:r>
    </w:p>
    <w:p>
      <w:pPr>
        <w:spacing w:after="160" w:line="276"/>
      </w:pPr>
      <w:r>
        <w:rPr>
          <w:sz w:val="22"/>
          <w:szCs w:val="22"/>
        </w:rPr>
        <w:t xml:space="preserve">No requirement — regulatory, architectural, or from any cited Zero Trust source — states that a partner's legacy SFTP server must independently validate an enterprise user's identity claims. The requirements that actually govern this transaction are:</w:t>
      </w:r>
    </w:p>
    <w:p>
      <w:pPr>
        <w:pStyle w:val="ListParagraph"/>
        <w:numPr>
          <w:ilvl w:val="0"/>
          <w:numId w:val="1"/>
        </w:numPr>
        <w:spacing w:after="100" w:line="264"/>
      </w:pPr>
      <w:r>
        <w:rPr>
          <w:sz w:val="22"/>
          <w:szCs w:val="22"/>
        </w:rPr>
        <w:t xml:space="preserve">the real credential is never exposed to either client;</w:t>
      </w:r>
    </w:p>
    <w:p>
      <w:pPr>
        <w:pStyle w:val="ListParagraph"/>
        <w:numPr>
          <w:ilvl w:val="0"/>
          <w:numId w:val="1"/>
        </w:numPr>
        <w:spacing w:after="100" w:line="264"/>
      </w:pPr>
      <w:r>
        <w:rPr>
          <w:sz w:val="22"/>
          <w:szCs w:val="22"/>
        </w:rPr>
        <w:t xml:space="preserve">the session is fully mediated and independently re-established in both directions;</w:t>
      </w:r>
    </w:p>
    <w:p>
      <w:pPr>
        <w:pStyle w:val="ListParagraph"/>
        <w:numPr>
          <w:ilvl w:val="0"/>
          <w:numId w:val="1"/>
        </w:numPr>
        <w:spacing w:after="100" w:line="264"/>
      </w:pPr>
      <w:r>
        <w:rPr>
          <w:sz w:val="22"/>
          <w:szCs w:val="22"/>
        </w:rPr>
        <w:t xml:space="preserve">passthrough is structurally blocked;</w:t>
      </w:r>
    </w:p>
    <w:p>
      <w:pPr>
        <w:pStyle w:val="ListParagraph"/>
        <w:numPr>
          <w:ilvl w:val="0"/>
          <w:numId w:val="1"/>
        </w:numPr>
        <w:spacing w:after="100" w:line="264"/>
      </w:pPr>
      <w:r>
        <w:rPr>
          <w:sz w:val="22"/>
          <w:szCs w:val="22"/>
        </w:rPr>
        <w:t xml:space="preserve">the identity that matters — a validated, onboarded, OTP-confirmed actor — is established and enforced at the boundary where enforcement is actually possible: the proxy.</w:t>
      </w:r>
    </w:p>
    <w:p>
      <w:pPr>
        <w:spacing w:after="160" w:line="276"/>
      </w:pPr>
      <w:r>
        <w:rPr>
          <w:sz w:val="22"/>
          <w:szCs w:val="22"/>
        </w:rPr>
        <w:t xml:space="preserve">This is not a partial or compromised implementation of Zero Trust. It is Zero Trust correctly scoped to where enforcement is achievable for a backend that cannot be modified.</w:t>
      </w:r>
    </w:p>
    <w:p>
      <w:pPr>
        <w:pStyle w:val="Heading1"/>
        <w:pBdr>
          <w:bottom w:val="single" w:color="1a1a18" w:sz="6"/>
        </w:pBdr>
        <w:spacing w:after="160" w:before="360"/>
      </w:pPr>
      <w:r>
        <w:rPr>
          <w:b/>
          <w:bCs/>
          <w:color w:val="0C447C"/>
          <w:sz w:val="26"/>
          <w:szCs w:val="26"/>
        </w:rPr>
        <w:t xml:space="preserve">5. Why "Identity Must Reach the App" Cannot Be a Hard Requirement</w:t>
      </w:r>
    </w:p>
    <w:p>
      <w:pPr>
        <w:spacing w:after="160" w:line="276"/>
      </w:pPr>
      <w:r>
        <w:rPr>
          <w:sz w:val="22"/>
          <w:szCs w:val="22"/>
        </w:rPr>
        <w:t xml:space="preserve">A stronger and more precise version of the argument, stated as a matter of logical consistency rather than preference:</w:t>
      </w:r>
    </w:p>
    <w:p>
      <w:pPr>
        <w:spacing w:after="160" w:line="276"/>
      </w:pPr>
      <w:r>
        <w:rPr>
          <w:sz w:val="22"/>
          <w:szCs w:val="22"/>
        </w:rPr>
        <w:t xml:space="preserve">If propagating identity into the application were a precondition for a system to qualify as Zero Trust — rather than an aspirational end-state within it — the framework would be self-defeating as a migration theory. It would mean no legacy, non-ZT-native application could ever be brought under Zero Trust controls incrementally, because the target end-state (application-native identity consumption) would be required before the first hardening step (moving the app off flat network trust) could even count. Pre-connect validation, brokered mediation, and credential vaulting — the entire category of "harden what you cannot rewrite" — would be excluded from Zero Trust by definition, before they could ever be applied.</w:t>
      </w:r>
    </w:p>
    <w:p>
      <w:pPr>
        <w:spacing w:after="160" w:line="276"/>
      </w:pPr>
      <w:r>
        <w:rPr>
          <w:sz w:val="22"/>
          <w:szCs w:val="22"/>
        </w:rPr>
        <w:t xml:space="preserve">That would leave the framework with no answer for the case it most needs to solve: the application that will never be rewritten. Since that describes most of the enterprise legacy estate, a definition of Zero Trust that excludes it by construction is not a usable definition.</w:t>
      </w:r>
    </w:p>
    <w:p>
      <w:pPr>
        <w:pStyle w:val="Heading1"/>
        <w:pBdr>
          <w:bottom w:val="single" w:color="1a1a18" w:sz="6"/>
        </w:pBdr>
        <w:spacing w:after="160" w:before="360"/>
      </w:pPr>
      <w:r>
        <w:rPr>
          <w:b/>
          <w:bCs/>
          <w:color w:val="0C447C"/>
          <w:sz w:val="26"/>
          <w:szCs w:val="26"/>
        </w:rPr>
        <w:t xml:space="preserve">6. What the Governing Reference Actually Says</w:t>
      </w:r>
    </w:p>
    <w:p>
      <w:pPr>
        <w:spacing w:after="160" w:line="276"/>
      </w:pPr>
      <w:r>
        <w:rPr>
          <w:sz w:val="22"/>
          <w:szCs w:val="22"/>
        </w:rPr>
        <w:t xml:space="preserve">The unified architecture paper does not make the strong claim described above, and is explicit that it does not:</w:t>
      </w:r>
    </w:p>
    <w:p>
      <w:pPr>
        <w:pBdr>
          <w:left w:val="single" w:color="185FA5" w:sz="12"/>
        </w:pBdr>
        <w:spacing w:after="160" w:before="80" w:line="264"/>
        <w:ind w:left="360" w:right="360"/>
      </w:pPr>
      <w:r>
        <w:rPr>
          <w:i/>
          <w:iCs/>
          <w:color w:val="3f3f3a"/>
          <w:sz w:val="21"/>
          <w:szCs w:val="21"/>
        </w:rPr>
        <w:t xml:space="preserve">"Zero Trust is a discipline. ZTNA is an access mediation pattern... Brokerage can be valuable while still being incomplete relative to the Zero Trust ideal."</w:t>
      </w:r>
      <w:r>
        <w:rPr>
          <w:color w:val="5f5e5a"/>
          <w:sz w:val="20"/>
          <w:szCs w:val="20"/>
        </w:rPr>
        <w:t xml:space="preserve">  — Section 1.2</w:t>
      </w:r>
    </w:p>
    <w:p>
      <w:pPr>
        <w:pBdr>
          <w:left w:val="single" w:color="185FA5" w:sz="12"/>
        </w:pBdr>
        <w:spacing w:after="160" w:before="80" w:line="264"/>
        <w:ind w:left="360" w:right="360"/>
      </w:pPr>
      <w:r>
        <w:rPr>
          <w:i/>
          <w:iCs/>
          <w:color w:val="3f3f3a"/>
          <w:sz w:val="21"/>
          <w:szCs w:val="21"/>
        </w:rPr>
        <w:t xml:space="preserve">"When vendors or architects equate "identity-aware access" with "Zero Trust," they implicitly claim that these planes have been integrated end-to-end. That claim is only true when applications can consume and enforce identity context at the point where actions occur."</w:t>
      </w:r>
      <w:r>
        <w:rPr>
          <w:color w:val="5f5e5a"/>
          <w:sz w:val="20"/>
          <w:szCs w:val="20"/>
        </w:rPr>
        <w:t xml:space="preserve">  — Section 1.1</w:t>
      </w:r>
    </w:p>
    <w:p>
      <w:pPr>
        <w:pBdr>
          <w:left w:val="single" w:color="185FA5" w:sz="12"/>
        </w:pBdr>
        <w:spacing w:after="160" w:before="80" w:line="264"/>
        <w:ind w:left="360" w:right="360"/>
      </w:pPr>
      <w:r>
        <w:rPr>
          <w:i/>
          <w:iCs/>
          <w:color w:val="3f3f3a"/>
          <w:sz w:val="21"/>
          <w:szCs w:val="21"/>
        </w:rPr>
        <w:t xml:space="preserve">"The correct claim is narrower: identity-native Zero Trust is difficult without application support... The goal is not purity; it is measurable reduction in implicit trust and blast radius."</w:t>
      </w:r>
      <w:r>
        <w:rPr>
          <w:color w:val="5f5e5a"/>
          <w:sz w:val="20"/>
          <w:szCs w:val="20"/>
        </w:rPr>
        <w:t xml:space="preserve">  — Section 12.3</w:t>
      </w:r>
    </w:p>
    <w:p>
      <w:pPr>
        <w:pBdr>
          <w:left w:val="single" w:color="185FA5" w:sz="12"/>
        </w:pBdr>
        <w:spacing w:after="160" w:before="80" w:line="264"/>
        <w:ind w:left="360" w:right="360"/>
      </w:pPr>
      <w:r>
        <w:rPr>
          <w:i/>
          <w:iCs/>
          <w:color w:val="3f3f3a"/>
          <w:sz w:val="21"/>
          <w:szCs w:val="21"/>
        </w:rPr>
        <w:t xml:space="preserve">"If the primary risk is unauthorized ingress and if backend systems are tightly segmented with minimal lateral paths, then brokered authentication may substantially reduce risk... brokerage is necessary but not generally sufficient for high-assurance environments."</w:t>
      </w:r>
      <w:r>
        <w:rPr>
          <w:color w:val="5f5e5a"/>
          <w:sz w:val="20"/>
          <w:szCs w:val="20"/>
        </w:rPr>
        <w:t xml:space="preserve">  — Section 12.1</w:t>
      </w:r>
    </w:p>
    <w:p>
      <w:pPr>
        <w:spacing w:after="160" w:line="276"/>
      </w:pPr>
      <w:r>
        <w:rPr>
          <w:sz w:val="22"/>
          <w:szCs w:val="22"/>
        </w:rPr>
        <w:t xml:space="preserve">The five/six-phase progression model (Part VI; Appendix H.6–H.7) treats brokered enforcement as an early, legitimate phase of a spectrum — not as a failed attempt at a later one. A phase is a valid operating state relative to a given risk tolerance, not a deficiency awaiting correction.</w:t>
      </w:r>
    </w:p>
    <w:p>
      <w:pPr>
        <w:spacing w:after="160" w:line="276"/>
      </w:pPr>
      <w:r>
        <w:rPr>
          <w:sz w:val="22"/>
          <w:szCs w:val="22"/>
        </w:rPr>
        <w:t xml:space="preserve">This is consistent with NIST SP 800-207, which the paper cites as its formal anchor: the standard requires per-session, least-privilege authorization decisions at a policy enforcement point — it does not require that the protected resource itself be the point of identity validation.</w:t>
      </w:r>
    </w:p>
    <w:p>
      <w:pPr>
        <w:pStyle w:val="Heading1"/>
        <w:pBdr>
          <w:bottom w:val="single" w:color="1a1a18" w:sz="6"/>
        </w:pBdr>
        <w:spacing w:after="160" w:before="360"/>
      </w:pPr>
      <w:r>
        <w:rPr>
          <w:b/>
          <w:bCs/>
          <w:color w:val="0C447C"/>
          <w:sz w:val="26"/>
          <w:szCs w:val="26"/>
        </w:rPr>
        <w:t xml:space="preserve">7. Correct Terminology Going Forward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85FA5" w:val="clear"/>
            <w:tcMar>
              <w:top w:type="dxa" w:w="100"/>
              <w:left w:type="dxa" w:w="120"/>
              <w:bottom w:type="dxa" w:w="100"/>
              <w:right w:type="dxa" w:w="120"/>
            </w:tcMar>
          </w:tcPr>
          <w:p>
            <w:r>
              <w:rPr>
                <w:b/>
                <w:bCs/>
                <w:color w:val="FFFFFF"/>
                <w:sz w:val="20"/>
                <w:szCs w:val="20"/>
              </w:rPr>
              <w:t xml:space="preserve">Avoid</w:t>
            </w:r>
          </w:p>
        </w:tc>
        <w:tc>
          <w:tcPr>
            <w:tcW w:type="dxa" w:w="3120"/>
            <w:shd w:fill="185FA5" w:val="clear"/>
            <w:tcMar>
              <w:top w:type="dxa" w:w="100"/>
              <w:left w:type="dxa" w:w="120"/>
              <w:bottom w:type="dxa" w:w="100"/>
              <w:right w:type="dxa" w:w="120"/>
            </w:tcMar>
          </w:tcPr>
          <w:p>
            <w:r>
              <w:rPr>
                <w:b/>
                <w:bCs/>
                <w:color w:val="FFFFFF"/>
                <w:sz w:val="20"/>
                <w:szCs w:val="20"/>
              </w:rPr>
              <w:t xml:space="preserve">Use instead</w:t>
            </w:r>
          </w:p>
        </w:tc>
        <w:tc>
          <w:tcPr>
            <w:tcW w:type="dxa" w:w="3120"/>
            <w:shd w:fill="185FA5" w:val="clear"/>
            <w:tcMar>
              <w:top w:type="dxa" w:w="100"/>
              <w:left w:type="dxa" w:w="120"/>
              <w:bottom w:type="dxa" w:w="100"/>
              <w:right w:type="dxa" w:w="120"/>
            </w:tcMar>
          </w:tcPr>
          <w:p>
            <w:r>
              <w:rPr>
                <w:b/>
                <w:bCs/>
                <w:color w:val="FFFFFF"/>
                <w:sz w:val="20"/>
                <w:szCs w:val="20"/>
              </w:rPr>
              <w:t xml:space="preserve">Why</w:t>
            </w:r>
          </w:p>
        </w:tc>
      </w:tr>
      <w:tr>
        <w:tc>
          <w:tcPr>
            <w:tcW w:type="dxa" w:w="3120"/>
            <w:tcMar>
              <w:top w:type="dxa" w:w="100"/>
              <w:left w:type="dxa" w:w="120"/>
              <w:bottom w:type="dxa" w:w="100"/>
              <w:right w:type="dxa" w:w="120"/>
            </w:tcMar>
          </w:tcPr>
          <w:p>
            <w:r>
              <w:rPr>
                <w:b w:val="false"/>
                <w:bCs w:val="false"/>
                <w:color w:val="1a1a18"/>
                <w:sz w:val="20"/>
                <w:szCs w:val="20"/>
              </w:rPr>
              <w:t xml:space="preserve">"Partial Zero Trust" / "ZTNA gap"</w:t>
            </w:r>
          </w:p>
        </w:tc>
        <w:tc>
          <w:tcPr>
            <w:tcW w:type="dxa" w:w="3120"/>
            <w:tcMar>
              <w:top w:type="dxa" w:w="100"/>
              <w:left w:type="dxa" w:w="120"/>
              <w:bottom w:type="dxa" w:w="100"/>
              <w:right w:type="dxa" w:w="120"/>
            </w:tcMar>
          </w:tcPr>
          <w:p>
            <w:r>
              <w:rPr>
                <w:b w:val="false"/>
                <w:bCs w:val="false"/>
                <w:color w:val="1a1a18"/>
                <w:sz w:val="20"/>
                <w:szCs w:val="20"/>
              </w:rPr>
              <w:t xml:space="preserve">"Identity-validated brokered access"</w:t>
            </w:r>
          </w:p>
        </w:tc>
        <w:tc>
          <w:tcPr>
            <w:tcW w:type="dxa" w:w="3120"/>
            <w:tcMar>
              <w:top w:type="dxa" w:w="100"/>
              <w:left w:type="dxa" w:w="120"/>
              <w:bottom w:type="dxa" w:w="100"/>
              <w:right w:type="dxa" w:w="120"/>
            </w:tcMar>
          </w:tcPr>
          <w:p>
            <w:r>
              <w:rPr>
                <w:b w:val="false"/>
                <w:bCs w:val="false"/>
                <w:color w:val="1a1a18"/>
                <w:sz w:val="20"/>
                <w:szCs w:val="20"/>
              </w:rPr>
              <w:t xml:space="preserve">Names the actual pattern implemented, without implying an unmet target</w:t>
            </w:r>
          </w:p>
        </w:tc>
      </w:tr>
      <w:tr>
        <w:tc>
          <w:tcPr>
            <w:tcW w:type="dxa" w:w="3120"/>
            <w:shd w:fill="F0EFEA" w:val="clear"/>
            <w:tcMar>
              <w:top w:type="dxa" w:w="100"/>
              <w:left w:type="dxa" w:w="120"/>
              <w:bottom w:type="dxa" w:w="100"/>
              <w:right w:type="dxa" w:w="120"/>
            </w:tcMar>
          </w:tcPr>
          <w:p>
            <w:r>
              <w:rPr>
                <w:b w:val="false"/>
                <w:bCs w:val="false"/>
                <w:color w:val="1a1a18"/>
                <w:sz w:val="20"/>
                <w:szCs w:val="20"/>
              </w:rPr>
              <w:t xml:space="preserve">"Identity propagation gap"</w:t>
            </w:r>
          </w:p>
        </w:tc>
        <w:tc>
          <w:tcPr>
            <w:tcW w:type="dxa" w:w="3120"/>
            <w:shd w:fill="F0EFEA" w:val="clear"/>
            <w:tcMar>
              <w:top w:type="dxa" w:w="100"/>
              <w:left w:type="dxa" w:w="120"/>
              <w:bottom w:type="dxa" w:w="100"/>
              <w:right w:type="dxa" w:w="120"/>
            </w:tcMar>
          </w:tcPr>
          <w:p>
            <w:r>
              <w:rPr>
                <w:b w:val="false"/>
                <w:bCs w:val="false"/>
                <w:color w:val="1a1a18"/>
                <w:sz w:val="20"/>
                <w:szCs w:val="20"/>
              </w:rPr>
              <w:t xml:space="preserve">"Identity terminates at the proxy, by design"</w:t>
            </w:r>
          </w:p>
        </w:tc>
        <w:tc>
          <w:tcPr>
            <w:tcW w:type="dxa" w:w="3120"/>
            <w:shd w:fill="F0EFEA" w:val="clear"/>
            <w:tcMar>
              <w:top w:type="dxa" w:w="100"/>
              <w:left w:type="dxa" w:w="120"/>
              <w:bottom w:type="dxa" w:w="100"/>
              <w:right w:type="dxa" w:w="120"/>
            </w:tcMar>
          </w:tcPr>
          <w:p>
            <w:r>
              <w:rPr>
                <w:b w:val="false"/>
                <w:bCs w:val="false"/>
                <w:color w:val="1a1a18"/>
                <w:sz w:val="20"/>
                <w:szCs w:val="20"/>
              </w:rPr>
              <w:t xml:space="preserve">States the design boundary as a decision, not a shortfall</w:t>
            </w:r>
          </w:p>
        </w:tc>
      </w:tr>
      <w:tr>
        <w:tc>
          <w:tcPr>
            <w:tcW w:type="dxa" w:w="3120"/>
            <w:tcMar>
              <w:top w:type="dxa" w:w="100"/>
              <w:left w:type="dxa" w:w="120"/>
              <w:bottom w:type="dxa" w:w="100"/>
              <w:right w:type="dxa" w:w="120"/>
            </w:tcMar>
          </w:tcPr>
          <w:p>
            <w:r>
              <w:rPr>
                <w:b w:val="false"/>
                <w:bCs w:val="false"/>
                <w:color w:val="1a1a18"/>
                <w:sz w:val="20"/>
                <w:szCs w:val="20"/>
              </w:rPr>
              <w:t xml:space="preserve">"SNAT as tenant identity"</w:t>
            </w:r>
          </w:p>
        </w:tc>
        <w:tc>
          <w:tcPr>
            <w:tcW w:type="dxa" w:w="3120"/>
            <w:tcMar>
              <w:top w:type="dxa" w:w="100"/>
              <w:left w:type="dxa" w:w="120"/>
              <w:bottom w:type="dxa" w:w="100"/>
              <w:right w:type="dxa" w:w="120"/>
            </w:tcMar>
          </w:tcPr>
          <w:p>
            <w:r>
              <w:rPr>
                <w:b w:val="false"/>
                <w:bCs w:val="false"/>
                <w:color w:val="1a1a18"/>
                <w:sz w:val="20"/>
                <w:szCs w:val="20"/>
              </w:rPr>
              <w:t xml:space="preserve">"Proxy VIP / DNS rewrite as tenant identity; SNAT as downstream policy pool"</w:t>
            </w:r>
          </w:p>
        </w:tc>
        <w:tc>
          <w:tcPr>
            <w:tcW w:type="dxa" w:w="3120"/>
            <w:tcMar>
              <w:top w:type="dxa" w:w="100"/>
              <w:left w:type="dxa" w:w="120"/>
              <w:bottom w:type="dxa" w:w="100"/>
              <w:right w:type="dxa" w:w="120"/>
            </w:tcMar>
          </w:tcPr>
          <w:p>
            <w:r>
              <w:rPr>
                <w:b w:val="false"/>
                <w:bCs w:val="false"/>
                <w:color w:val="1a1a18"/>
                <w:sz w:val="20"/>
                <w:szCs w:val="20"/>
              </w:rPr>
              <w:t xml:space="preserve">Separates the identity binding from the network-layer translation that rides on top of it</w:t>
            </w:r>
          </w:p>
        </w:tc>
      </w:tr>
    </w:tbl>
    <w:p>
      <w:pPr>
        <w:spacing w:after="160"/>
      </w:pPr>
    </w:p>
    <w:p>
      <w:pPr>
        <w:spacing w:after="160" w:line="276"/>
      </w:pPr>
      <w:r>
        <w:rPr>
          <w:sz w:val="22"/>
          <w:szCs w:val="22"/>
        </w:rPr>
        <w:t xml:space="preserve">If this architecture is described to an external reviewer, an auditor, or in Zero Trust language generally, the accurate framing is: identity is validated and dynamically re-verified at the mediation boundary; the backend is a standard, unmodified system that was never a candidate for native identity consumption; and this is the correct, cited pattern for that case — not a lesser version of a pattern that assumes a modifiable backend.</w:t>
      </w:r>
    </w:p>
    <w:p>
      <w:pPr>
        <w:pStyle w:val="Heading1"/>
        <w:pBdr>
          <w:bottom w:val="single" w:color="1a1a18" w:sz="6"/>
        </w:pBdr>
        <w:spacing w:after="160" w:before="360"/>
      </w:pPr>
      <w:r>
        <w:rPr>
          <w:b/>
          <w:bCs/>
          <w:color w:val="0C447C"/>
          <w:sz w:val="26"/>
          <w:szCs w:val="26"/>
        </w:rPr>
        <w:t xml:space="preserve">8. Conclusion</w:t>
      </w:r>
    </w:p>
    <w:p>
      <w:pPr>
        <w:spacing w:after="160" w:line="276"/>
      </w:pPr>
      <w:r>
        <w:rPr>
          <w:sz w:val="22"/>
          <w:szCs w:val="22"/>
        </w:rPr>
        <w:t xml:space="preserve">The 3PLZ SSH/SFTP and HTTPS access model replaces a static, unvalidated username or an anonymous TLS client with a dynamic, tenant-scoped, credential-vaulted authentication chain enforced at the proxy. Identity does not reach the backend application, and no requirement says it must. Describing this as an incomplete implementation of Zero Trust is a category error — it applies a maturity criterion to a system that was correctly designed against a different, and entirely valid, one.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2026-07-30T16:06:39.492Z</dcterms:created>
  <dcterms:modified xsi:type="dcterms:W3CDTF">2026-07-30T16:06:39.510Z</dcterms:modified>
</cp:coreProperties>
</file>

<file path=docProps/custom.xml><?xml version="1.0" encoding="utf-8"?>
<Properties xmlns="http://schemas.openxmlformats.org/officeDocument/2006/custom-properties" xmlns:vt="http://schemas.openxmlformats.org/officeDocument/2006/docPropsVTypes"/>
</file>