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54F0B"/>
          <w:spacing w:val="20"/>
          <w:sz w:val="18"/>
          <w:szCs w:val="18"/>
        </w:rPr>
        <w:t xml:space="preserve">FIELD NOTES · GOVERNED CONNECTIVITY &amp; IDENTITY</w:t>
      </w:r>
    </w:p>
    <w:p>
      <w:pPr>
        <w:spacing w:after="160"/>
      </w:pPr>
      <w:r>
        <w:rPr>
          <w:b/>
          <w:bCs/>
          <w:color w:val="0C447C"/>
          <w:sz w:val="46"/>
          <w:szCs w:val="46"/>
        </w:rPr>
        <w:t xml:space="preserve">The Broker Is Not the Backend</w:t>
      </w:r>
    </w:p>
    <w:p>
      <w:pPr>
        <w:spacing w:after="220"/>
      </w:pPr>
      <w:r>
        <w:rPr>
          <w:i/>
          <w:iCs/>
          <w:color w:val="5f5e5a"/>
          <w:sz w:val="25"/>
          <w:szCs w:val="25"/>
        </w:rPr>
        <w:t xml:space="preserve">Why identity terminating at the proxy is a design decision — not a Zero Trust shortfall</w:t>
      </w:r>
    </w:p>
    <w:p>
      <w:pPr>
        <w:spacing w:after="40"/>
      </w:pPr>
      <w:r>
        <w:rPr>
          <w:b/>
          <w:bCs/>
          <w:color w:val="1a1a18"/>
          <w:sz w:val="21"/>
          <w:szCs w:val="21"/>
        </w:rPr>
        <w:t xml:space="preserve">Michael J. Martin</w:t>
      </w:r>
    </w:p>
    <w:p>
      <w:pPr>
        <w:spacing w:after="40"/>
      </w:pPr>
      <w:r>
        <w:rPr>
          <w:color w:val="5f5e5a"/>
          <w:sz w:val="20"/>
          <w:szCs w:val="20"/>
        </w:rPr>
        <w:t xml:space="preserve">Companion field note to the 3PLZ governed connectivity architecture and the unified Zero Trust framework</w:t>
      </w:r>
    </w:p>
    <w:p>
      <w:pPr>
        <w:pBdr>
          <w:bottom w:val="single" w:color="dcd9cf" w:sz="4"/>
        </w:pBdr>
        <w:spacing w:after="300"/>
      </w:pPr>
    </w:p>
    <w:p>
      <w:pPr>
        <w:spacing w:after="200" w:line="300"/>
      </w:pPr>
      <w:r>
        <w:rPr>
          <w:b/>
          <w:bCs/>
          <w:color w:val="185FA5"/>
          <w:sz w:val="52"/>
          <w:szCs w:val="52"/>
        </w:rPr>
        <w:t xml:space="preserve">T</w:t>
      </w:r>
      <w:r>
        <w:rPr>
          <w:sz w:val="23"/>
          <w:szCs w:val="23"/>
        </w:rPr>
        <w:t xml:space="preserve">here is a specific sentence that keeps showing up in reviews of third-party access architecture, and it is almost always wrong: “identity doesn’t propagate to the backend, so this isn’t really Zero Trust.” The sentence sounds rigorous. It has the shape of a finding. It is, in fact, a category error — and it is worth taking apart carefully, because the same mistake shows up every time a legacy application meets a modern access model.</w:t>
      </w:r>
    </w:p>
    <w:p>
      <w:pPr>
        <w:spacing w:after="200" w:line="300"/>
      </w:pPr>
      <w:r>
        <w:rPr>
          <w:sz w:val="23"/>
          <w:szCs w:val="23"/>
        </w:rPr>
        <w:t xml:space="preserve">The architecture in question is unremarkable on its face: partners connecting into an enterprise over SSH, SFTP, and HTTPS, mediated by a proxy layer that sits between them and the real application. Nothing about that description suggests controversy. The controversy arrives only when someone reaches for Zero Trust vocabulary to describe it, and discovers that the vocabulary implies more than the architecture delivers — or so it seems, until you check what the vocabulary actually requires.</w:t>
      </w:r>
    </w:p>
    <w:p>
      <w:pPr>
        <w:pStyle w:val="Heading1"/>
        <w:spacing w:after="200" w:before="440"/>
      </w:pPr>
      <w:r>
        <w:rPr>
          <w:b/>
          <w:bCs/>
          <w:color w:val="0C447C"/>
          <w:sz w:val="28"/>
          <w:szCs w:val="28"/>
        </w:rPr>
        <w:t xml:space="preserve">What a Username Actually Buys You</w:t>
      </w:r>
    </w:p>
    <w:p>
      <w:pPr>
        <w:spacing w:after="200" w:line="300"/>
      </w:pPr>
      <w:r>
        <w:rPr>
          <w:sz w:val="23"/>
          <w:szCs w:val="23"/>
        </w:rPr>
        <w:t xml:space="preserve">Start with the baseline, because the baseline is the part everyone skips past. A traditional SSH or SFTP session authenticates a username. That's the entire identity claim — a string, typed once, checked against a stored value. A traditional HTTPS session authenticates nothing about the client at all; the server proves who it is, and the browser proves nothing back. This is the starting condition for most third-party integrations that predate the phrase “Zero Trust” by a decade or more, and it is the condition the proxy layer exists to fix.</w:t>
      </w:r>
    </w:p>
    <w:p>
      <w:pPr>
        <w:spacing w:after="200" w:line="300"/>
      </w:pPr>
      <w:r>
        <w:rPr>
          <w:sz w:val="23"/>
          <w:szCs w:val="23"/>
        </w:rPr>
        <w:t xml:space="preserve">What replaces it is not a single control but a chain, and the chain is doing real work at every link:</w:t>
      </w:r>
    </w:p>
    <w:p>
      <w:pPr>
        <w:spacing w:after="200" w:line="300"/>
      </w:pPr>
      <w:r>
        <w:rPr>
          <w:b/>
          <w:bCs/>
          <w:sz w:val="23"/>
          <w:szCs w:val="23"/>
        </w:rPr>
        <w:t xml:space="preserve">For SSH/SFTP: </w:t>
      </w:r>
      <w:r>
        <w:rPr>
          <w:b w:val="false"/>
          <w:bCs w:val="false"/>
          <w:sz w:val="23"/>
          <w:szCs w:val="23"/>
        </w:rPr>
        <w:t xml:space="preserve">a partner user is onboarded through a governed process — an LDAP account scoped to that tenant's organizational unit, explicit ACL entitlements, and an acknowledgment step before anything else happens. Access then depends on a time-boxed, public-key-registered OTP — a 30-second TOTP — presented at connection time. Only once LDAP, OTP, and ACL all clear does the proxy retrieve the real backend credential from Vault and open its own, independent session to the application. The partner never sees that credential. Neither does the enterprise user on the other side of an outbound connection.</w:t>
      </w:r>
    </w:p>
    <w:p>
      <w:pPr>
        <w:spacing w:after="200" w:line="300"/>
      </w:pPr>
      <w:r>
        <w:rPr>
          <w:b/>
          <w:bCs/>
          <w:sz w:val="23"/>
          <w:szCs w:val="23"/>
        </w:rPr>
        <w:t xml:space="preserve">For HTTPS: </w:t>
      </w:r>
      <w:r>
        <w:rPr>
          <w:b w:val="false"/>
          <w:bCs w:val="false"/>
          <w:sz w:val="23"/>
          <w:szCs w:val="23"/>
        </w:rPr>
        <w:t xml:space="preserve">mutual TLS is layered on top of a protocol that otherwise authenticates only the server. The client must present a certificate that chains to a Signing CA scoped to its specific tenant — a certificate minted for Tenant A will not validate against Tenant B's trust anchor, and cross-tenant replay is structurally impossible, not just policy-forbidden.</w:t>
      </w:r>
    </w:p>
    <w:p>
      <w:pPr>
        <w:spacing w:after="200" w:line="300"/>
      </w:pPr>
      <w:r>
        <w:rPr>
          <w:sz w:val="23"/>
          <w:szCs w:val="23"/>
        </w:rPr>
        <w:t xml:space="preserve">In both cases the shape of the fix is the same: a weak or nonexistent identity primitive is replaced by a dynamic, validated, tenant-scoped process, enforced entirely at the boundary where enforcement is possible — the proxy — rather than by rewriting an application that has no idea any of this is happening.</w:t>
      </w:r>
    </w:p>
    <w:p>
      <w:pPr>
        <w:pStyle w:val="Heading1"/>
        <w:spacing w:after="200" w:before="440"/>
      </w:pPr>
      <w:r>
        <w:rPr>
          <w:b/>
          <w:bCs/>
          <w:color w:val="0C447C"/>
          <w:sz w:val="28"/>
          <w:szCs w:val="28"/>
        </w:rPr>
        <w:t xml:space="preserve">A Correction Worth Making in Public</w:t>
      </w:r>
    </w:p>
    <w:p>
      <w:pPr>
        <w:spacing w:after="200" w:line="300"/>
      </w:pPr>
      <w:r>
        <w:rPr>
          <w:sz w:val="23"/>
          <w:szCs w:val="23"/>
        </w:rPr>
        <w:t xml:space="preserve">Before going further, one piece of terminology needs to be fixed, because getting it wrong leads to the wrong mental model of where trust actually lives in this system.</w:t>
      </w:r>
    </w:p>
    <w:p>
      <w:pPr>
        <w:spacing w:after="200" w:line="300"/>
      </w:pPr>
      <w:r>
        <w:rPr>
          <w:sz w:val="23"/>
          <w:szCs w:val="23"/>
        </w:rPr>
        <w:t xml:space="preserve">It is tempting to describe the enterprise-facing SNAT block — the /27 assigned per tenant in the addressing plan — as the tenant's identity. It is not. Identity is established earlier and higher up the stack: it is the proxy-scoped VIP that a partner's DNS resolves to, the direct product of tenant-scoped DNS rewriting performed by the mediation layer. That VIP is what the partner actually connects to, and it is what the enterprise treats as the boundary of “this tenant's traffic.”</w:t>
      </w:r>
    </w:p>
    <w:p>
      <w:pPr>
        <w:spacing w:after="200" w:line="300"/>
      </w:pPr>
      <w:r>
        <w:rPr>
          <w:sz w:val="23"/>
          <w:szCs w:val="23"/>
        </w:rPr>
        <w:t xml:space="preserve">SNAT is something else — a network-layer address pool that lets the firewall differentiate and police a tenant's egress traffic after it has already been mediated. It is a policy-enforcement convenience downstream of the identity decision, not a substitute for it. Conflating the two — as an earlier draft of this analysis did — makes the architecture look like it is asserting identity through address translation, which is both inaccurate and, if repeated to an auditor, the kind of imprecision that invites exactly the wrong follow-up question.</w:t>
      </w:r>
    </w:p>
    <w:p>
      <w:pPr>
        <w:pStyle w:val="Heading1"/>
        <w:spacing w:after="200" w:before="440"/>
      </w:pPr>
      <w:r>
        <w:rPr>
          <w:b/>
          <w:bCs/>
          <w:color w:val="0C447C"/>
          <w:sz w:val="28"/>
          <w:szCs w:val="28"/>
        </w:rPr>
        <w:t xml:space="preserve">Where Enforcement Actually Stops, and Why That's Fine</w:t>
      </w:r>
    </w:p>
    <w:p>
      <w:pPr>
        <w:spacing w:after="200" w:line="300"/>
      </w:pPr>
      <w:r>
        <w:rPr>
          <w:sz w:val="23"/>
          <w:szCs w:val="23"/>
        </w:rPr>
        <w:t xml:space="preserve">Here is the plain statement of what happens, without euphemism: the backend SSH server, SFTP server, and web server all trust the proxy's Vault-retrieved credential. None of them independently sees or validates the original user's identity. Identity terminates at the proxy. By design.</w:t>
      </w:r>
    </w:p>
    <w:p>
      <w:pPr>
        <w:pBdr>
          <w:top w:val="single" w:color="185FA5" w:sz="4"/>
          <w:bottom w:val="single" w:color="185FA5" w:sz="4"/>
        </w:pBdr>
        <w:spacing w:after="280" w:before="280"/>
        <w:jc w:val="center"/>
      </w:pPr>
      <w:r>
        <w:rPr>
          <w:b/>
          <w:bCs/>
          <w:i/>
          <w:iCs/>
          <w:color w:val="0C447C"/>
          <w:sz w:val="27"/>
          <w:szCs w:val="27"/>
        </w:rPr>
        <w:t xml:space="preserve">No requirement — regulatory, architectural, or from any cited Zero Trust source — says a partner's unmodified SFTP server has to independently validate an enterprise user's identity claims.</w:t>
      </w:r>
    </w:p>
    <w:p>
      <w:pPr>
        <w:spacing w:after="200" w:line="300"/>
      </w:pPr>
      <w:r>
        <w:rPr>
          <w:sz w:val="23"/>
          <w:szCs w:val="23"/>
        </w:rPr>
        <w:t xml:space="preserve">What actually governs this transaction is a shorter and more concrete list: the real credential is never exposed to either party; every session is fully mediated and independently re-established in both directions; passthrough is structurally blocked, not merely discouraged; and the identity that matters — a validated, onboarded, OTP-confirmed actor — is established and enforced at the one boundary where enforcement is actually achievable. That boundary is the proxy, because the backend is a standard system that was never a candidate for modification.</w:t>
      </w:r>
    </w:p>
    <w:p>
      <w:pPr>
        <w:spacing w:after="200" w:line="300"/>
      </w:pPr>
      <w:r>
        <w:rPr>
          <w:sz w:val="23"/>
          <w:szCs w:val="23"/>
        </w:rPr>
        <w:t xml:space="preserve">Calling this a partial or compromised Zero Trust implementation gets the direction of the argument backwards. It is Zero Trust correctly scoped to what a legacy backend can support — which is the harder and more common case, not a lesser one.</w:t>
      </w:r>
    </w:p>
    <w:p>
      <w:pPr>
        <w:pStyle w:val="Heading1"/>
        <w:spacing w:after="200" w:before="440"/>
      </w:pPr>
      <w:r>
        <w:rPr>
          <w:b/>
          <w:bCs/>
          <w:color w:val="0C447C"/>
          <w:sz w:val="28"/>
          <w:szCs w:val="28"/>
        </w:rPr>
        <w:t xml:space="preserve">The Argument That Doesn't Survive Its Own Logic</w:t>
      </w:r>
    </w:p>
    <w:p>
      <w:pPr>
        <w:spacing w:after="200" w:line="300"/>
      </w:pPr>
      <w:r>
        <w:rPr>
          <w:sz w:val="23"/>
          <w:szCs w:val="23"/>
        </w:rPr>
        <w:t xml:space="preserve">Push on the objection a little further and it collapses under its own weight. Suppose, for the sake of argument, that propagating identity into the application were a genuine precondition for a system to qualify as Zero Trust — not an aspiration within it, but a gate at the door.</w:t>
      </w:r>
    </w:p>
    <w:p>
      <w:pPr>
        <w:spacing w:after="200" w:line="300"/>
      </w:pPr>
      <w:r>
        <w:rPr>
          <w:sz w:val="23"/>
          <w:szCs w:val="23"/>
        </w:rPr>
        <w:t xml:space="preserve">That would mean no legacy application could ever be brought under Zero Trust controls incrementally. The end state — the application natively consuming identity context — would have to already exist before the first hardening step could count for anything. Pre-connect validation, credential vaulting, brokered mediation: the entire discipline of hardening what cannot be rewritten would be excluded from Zero Trust by definition, before any of it could be applied to the systems that need it most.</w:t>
      </w:r>
    </w:p>
    <w:p>
      <w:pPr>
        <w:spacing w:after="200" w:line="300"/>
      </w:pPr>
      <w:r>
        <w:rPr>
          <w:sz w:val="23"/>
          <w:szCs w:val="23"/>
        </w:rPr>
        <w:t xml:space="preserve">That's not a strict standard. It's a framework with no answer for the majority of the enterprise estate — every mainframe, every vendor-shipped appliance, every application whose source code no one alive still has access to. A definition of Zero Trust that structurally excludes the hardest and most common case is not a rigorous definition. It's an incomplete one dressed up as a rigorous one.</w:t>
      </w:r>
    </w:p>
    <w:p>
      <w:pPr>
        <w:pStyle w:val="Heading1"/>
        <w:spacing w:after="200" w:before="440"/>
      </w:pPr>
      <w:r>
        <w:rPr>
          <w:b/>
          <w:bCs/>
          <w:color w:val="0C447C"/>
          <w:sz w:val="28"/>
          <w:szCs w:val="28"/>
        </w:rPr>
        <w:t xml:space="preserve">The Literature Already Agrees</w:t>
      </w:r>
    </w:p>
    <w:p>
      <w:pPr>
        <w:spacing w:after="200" w:line="300"/>
      </w:pPr>
      <w:r>
        <w:rPr>
          <w:sz w:val="23"/>
          <w:szCs w:val="23"/>
        </w:rPr>
        <w:t xml:space="preserve">This isn't a novel argument being made against the grain of Zero Trust doctrine. It's the doctrine itself, read past the marketing layer that usually surrounds it.</w:t>
      </w:r>
    </w:p>
    <w:p>
      <w:pPr>
        <w:pBdr>
          <w:left w:val="single" w:color="854F0B" w:sz="12"/>
        </w:pBdr>
        <w:spacing w:after="200" w:before="60" w:line="288"/>
        <w:ind w:left="360" w:right="360"/>
      </w:pPr>
      <w:r>
        <w:rPr>
          <w:i/>
          <w:iCs/>
          <w:color w:val="3f3f3a"/>
          <w:sz w:val="21"/>
          <w:szCs w:val="21"/>
        </w:rPr>
        <w:t xml:space="preserve">"Zero Trust is a discipline. ZTNA is an access mediation pattern... Brokerage can be valuable while still being incomplete relative to the Zero Trust ideal."</w:t>
      </w:r>
      <w:r>
        <w:rPr>
          <w:color w:val="854F0B"/>
          <w:sz w:val="19"/>
          <w:szCs w:val="19"/>
        </w:rPr>
        <w:t xml:space="preserve">  — Governed Third-Party Connectivity and Identity-Driven Zero Trust, §1.2</w:t>
      </w:r>
    </w:p>
    <w:p>
      <w:pPr>
        <w:pBdr>
          <w:left w:val="single" w:color="854F0B" w:sz="12"/>
        </w:pBdr>
        <w:spacing w:after="200" w:before="60" w:line="288"/>
        <w:ind w:left="360" w:right="360"/>
      </w:pPr>
      <w:r>
        <w:rPr>
          <w:i/>
          <w:iCs/>
          <w:color w:val="3f3f3a"/>
          <w:sz w:val="21"/>
          <w:szCs w:val="21"/>
        </w:rPr>
        <w:t xml:space="preserve">"When vendors or architects equate ‘identity-aware access’ with ‘Zero Trust,’ they implicitly claim that these planes have been integrated end-to-end. That claim is only true when applications can consume and enforce identity context at the point where actions occur."</w:t>
      </w:r>
      <w:r>
        <w:rPr>
          <w:color w:val="854F0B"/>
          <w:sz w:val="19"/>
          <w:szCs w:val="19"/>
        </w:rPr>
        <w:t xml:space="preserve">  — ibid., §1.1</w:t>
      </w:r>
    </w:p>
    <w:p>
      <w:pPr>
        <w:pBdr>
          <w:left w:val="single" w:color="854F0B" w:sz="12"/>
        </w:pBdr>
        <w:spacing w:after="200" w:before="60" w:line="288"/>
        <w:ind w:left="360" w:right="360"/>
      </w:pPr>
      <w:r>
        <w:rPr>
          <w:i/>
          <w:iCs/>
          <w:color w:val="3f3f3a"/>
          <w:sz w:val="21"/>
          <w:szCs w:val="21"/>
        </w:rPr>
        <w:t xml:space="preserve">"The correct claim is narrower: identity-native Zero Trust is difficult without application support... The goal is not purity; it is measurable reduction in implicit trust and blast radius."</w:t>
      </w:r>
      <w:r>
        <w:rPr>
          <w:color w:val="854F0B"/>
          <w:sz w:val="19"/>
          <w:szCs w:val="19"/>
        </w:rPr>
        <w:t xml:space="preserve">  — ibid., §12.3</w:t>
      </w:r>
    </w:p>
    <w:p>
      <w:pPr>
        <w:spacing w:after="200" w:line="300"/>
      </w:pPr>
      <w:r>
        <w:rPr>
          <w:sz w:val="23"/>
          <w:szCs w:val="23"/>
        </w:rPr>
        <w:t xml:space="preserve">The same paper's prescriptive progression model treats brokered enforcement as an early, legitimate phase along a spectrum — not a failed attempt at a later one. A phase is a valid place to stand relative to a given risk tolerance. It is not, by itself, evidence of unfinished work. NIST SP 800-207, which the paper cites as its formal anchor, backs this up directly: the standard requires per-session, least-privilege authorization decisions at a policy enforcement point. It does not require that the protected resource itself be the place where identity is validated.</w:t>
      </w:r>
    </w:p>
    <w:p>
      <w:pPr>
        <w:pStyle w:val="Heading1"/>
        <w:spacing w:after="200" w:before="440"/>
      </w:pPr>
      <w:r>
        <w:rPr>
          <w:b/>
          <w:bCs/>
          <w:color w:val="0C447C"/>
          <w:sz w:val="28"/>
          <w:szCs w:val="28"/>
        </w:rPr>
        <w:t xml:space="preserve">Naming It Correctly</w:t>
      </w:r>
    </w:p>
    <w:p>
      <w:pPr>
        <w:spacing w:after="200" w:line="300"/>
      </w:pPr>
      <w:r>
        <w:rPr>
          <w:sz w:val="23"/>
          <w:szCs w:val="23"/>
        </w:rPr>
        <w:t xml:space="preserve">Precision in language here isn't pedantry — it's what keeps the next review from starting in the wrong place. “Partial Zero Trust” and “identity propagation gap” both smuggle in the assumption that something is missing. Nothing is missing. “Identity-validated brokered access” names the pattern that was actually built, without implying an unmet target. “Identity terminates at the proxy, by design” states a boundary as the decision it is, rather than a shortfall waiting to be closed. And “proxy VIP and DNS rewrite as tenant identity, with SNAT as a downstream policy pool” keeps the identity binding and the network-layer translation from getting collapsed into each other.</w:t>
      </w:r>
    </w:p>
    <w:p>
      <w:pPr>
        <w:spacing w:after="200" w:line="300"/>
      </w:pPr>
      <w:r>
        <w:rPr>
          <w:sz w:val="23"/>
          <w:szCs w:val="23"/>
        </w:rPr>
        <w:t xml:space="preserve">If this architecture is ever described to an external reviewer, an auditor, or anyone reaching for Zero Trust language to characterize it, the accurate version is straightforward: identity is validated and dynamically re-verified at the mediation boundary; the backend is a standard, unmodified system that was never a candidate for native identity consumption; and this is the cited, correct pattern for exactly that case — not a lesser version of a pattern that assumes a backend willing to change.</w:t>
      </w:r>
    </w:p>
    <w:p>
      <w:pPr>
        <w:pStyle w:val="Heading1"/>
        <w:spacing w:after="200" w:before="440"/>
      </w:pPr>
      <w:r>
        <w:rPr>
          <w:b/>
          <w:bCs/>
          <w:color w:val="0C447C"/>
          <w:sz w:val="28"/>
          <w:szCs w:val="28"/>
        </w:rPr>
        <w:t xml:space="preserve">The Point</w:t>
      </w:r>
    </w:p>
    <w:p>
      <w:pPr>
        <w:spacing w:after="200" w:line="300"/>
      </w:pPr>
      <w:r>
        <w:rPr>
          <w:sz w:val="23"/>
          <w:szCs w:val="23"/>
        </w:rPr>
        <w:t xml:space="preserve">A username replaced by an onboarded, OTP-verified, Vault-brokered credential chain is not a weaker form of identity. A bare TLS handshake replaced by per-tenant mutual authentication is not a weaker form of transport security. And a backend that never sees any of this happen is not a gap in the design — it's the reason the design exists in the first place. The broker was never supposed to be the backend. Judging it as though it failed to become one is the actual error here, and it's worth naming as clearly as the architecture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8"/>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2026-07-30T16:09:33.523Z</dcterms:created>
  <dcterms:modified xsi:type="dcterms:W3CDTF">2026-07-30T16:09:33.523Z</dcterms:modified>
</cp:coreProperties>
</file>

<file path=docProps/custom.xml><?xml version="1.0" encoding="utf-8"?>
<Properties xmlns="http://schemas.openxmlformats.org/officeDocument/2006/custom-properties" xmlns:vt="http://schemas.openxmlformats.org/officeDocument/2006/docPropsVTypes"/>
</file>