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17447C" w:sz="24" w:space="12"/>
        </w:pBdr>
        <w:spacing w:after="60"/>
        <w:ind w:left="280"/>
      </w:pPr>
      <w:r>
        <w:rPr>
          <w:rFonts w:ascii="Arial" w:cs="Arial" w:eastAsia="Arial" w:hAnsi="Arial"/>
          <w:b w:val="false"/>
          <w:bCs w:val="false"/>
          <w:color w:val="595959"/>
          <w:sz w:val="18"/>
          <w:szCs w:val="18"/>
        </w:rPr>
        <w:t xml:space="preserve">CVS Health  |  Network Security Engineering</w:t>
      </w:r>
    </w:p>
    <w:p>
      <w:pPr>
        <w:pBdr>
          <w:left w:val="single" w:color="17447C" w:sz="24" w:space="12"/>
        </w:pBdr>
        <w:spacing w:after="60"/>
        <w:ind w:left="280"/>
      </w:pPr>
      <w:r>
        <w:rPr>
          <w:rFonts w:ascii="Arial" w:cs="Arial" w:eastAsia="Arial" w:hAnsi="Arial"/>
          <w:b w:val="false"/>
          <w:bCs w:val="false"/>
          <w:color w:val="404040"/>
          <w:sz w:val="44"/>
          <w:szCs w:val="44"/>
        </w:rPr>
        <w:t xml:space="preserve">PCI Traffic Processing</w:t>
      </w:r>
    </w:p>
    <w:p>
      <w:pPr>
        <w:pBdr>
          <w:left w:val="single" w:color="17447C" w:sz="24" w:space="12"/>
        </w:pBdr>
        <w:spacing w:after="60"/>
        <w:ind w:left="280"/>
      </w:pPr>
      <w:r>
        <w:rPr>
          <w:rFonts w:ascii="Arial" w:cs="Arial" w:eastAsia="Arial" w:hAnsi="Arial"/>
          <w:b w:val="false"/>
          <w:bCs w:val="false"/>
          <w:color w:val="17447C"/>
          <w:sz w:val="28"/>
          <w:szCs w:val="28"/>
        </w:rPr>
        <w:t xml:space="preserve">Current State Assessment — v2 (Enterprise FMC/FTD/ASA Update)</w:t>
      </w:r>
    </w:p>
    <w:p>
      <w:pPr>
        <w:pBdr>
          <w:left w:val="single" w:color="17447C" w:sz="24" w:space="12"/>
        </w:pBdr>
        <w:spacing w:after="480"/>
        <w:ind w:left="280"/>
      </w:pPr>
      <w:r>
        <w:rPr>
          <w:rFonts w:ascii="Arial" w:cs="Arial" w:eastAsia="Arial" w:hAnsi="Arial"/>
          <w:b w:val="false"/>
          <w:bCs w:val="false"/>
          <w:color w:val="595959"/>
          <w:sz w:val="18"/>
          <w:szCs w:val="18"/>
        </w:rPr>
        <w:t xml:space="preserve">September 2026  –  Companion to: PCI Cardholder Data Environment Operational Security Model, Draft v2  |  Network Security Engineering</w:t>
      </w:r>
    </w:p>
    <w:p>
      <w:pPr>
        <w:pStyle w:val="Heading1"/>
        <w:pBdr>
          <w:bottom w:val="single" w:color="17447C" w:sz="4" w:space="4"/>
        </w:pBdr>
      </w:pPr>
      <w:r>
        <w:rPr>
          <w:rFonts w:ascii="Arial" w:cs="Arial" w:eastAsia="Arial" w:hAnsi="Arial"/>
          <w:b w:val="false"/>
          <w:bCs w:val="false"/>
          <w:color w:val="404040"/>
          <w:sz w:val="30"/>
          <w:szCs w:val="30"/>
        </w:rPr>
        <w:t xml:space="preserve">1. Purpose and Method</w:t>
      </w:r>
    </w:p>
    <w:p>
      <w:pPr>
        <w:spacing w:after="100"/>
      </w:pPr>
      <w:r>
        <w:rPr>
          <w:rFonts w:ascii="Arial" w:cs="Arial" w:eastAsia="Arial" w:hAnsi="Arial"/>
          <w:color w:val="595959"/>
          <w:sz w:val="20"/>
          <w:szCs w:val="20"/>
        </w:rPr>
        <w:t xml:space="preserve">v1 of this assessment (dated September 2026) documented what was configured at Shea, Vegas, Middletown/Windsor, and Rhode Island (Woonsocket/Cumberland), based on direct inspection of Panorama-managed device-group rules and individual Palo Alto (PA) running-configs, sourced from Panorama and PA device exports dated 8/31/2026.</w:t>
      </w:r>
    </w:p>
    <w:p>
      <w:pPr>
        <w:spacing w:after="100"/>
      </w:pPr>
      <w:r>
        <w:rPr>
          <w:rFonts w:ascii="Arial" w:cs="Arial" w:eastAsia="Arial" w:hAnsi="Arial"/>
          <w:color w:val="595959"/>
          <w:sz w:val="20"/>
          <w:szCs w:val="20"/>
        </w:rPr>
        <w:t xml:space="preserve">v2 adds direct inspection of the enterprise-wide ipam-db/ip_dataset collection generated 2026-09-09 (ipam-db.py v3.37.5, source configs collected through 2026-09-02), specifically: fw_location_topology, pci_topology_registry, pci_subnet_index, aetna_pci_fw_mgmt_ips, cvs_pci_fw_mgmt_ips, ent-ipdataset-FW-INTERFACE-INVENTORY, fw_config_manifest, and ent-ipdataset-P2P-FTD-LINK-REGISTRY (an Access Control Policy / ACP-CSV-derived registry for FMC-managed FTD circuits). This is the first time this assessment has examined Cisco FTD/FMC and ASA infrastructure; v1's findings were scoped entirely to Palo Alto/Panorama and did not claim coverage of other platforms, so v2's additions are new findings, not corrections of v1 within its stated scope.</w:t>
      </w:r>
    </w:p>
    <w:p>
      <w:pPr>
        <w:spacing w:after="100"/>
      </w:pPr>
      <w:r>
        <w:rPr>
          <w:rFonts w:ascii="Arial" w:cs="Arial" w:eastAsia="Arial" w:hAnsi="Arial"/>
          <w:color w:val="595959"/>
          <w:sz w:val="20"/>
          <w:szCs w:val="20"/>
        </w:rPr>
        <w:t xml:space="preserve">As in v1, findings below are sourced from the actual configuration/registry files reviewed. Where a claim could not be directly verified in the data reviewed, it is marked Unconfirmed rather than assumed. A caveat specific to v2: the FTD/ASA configs underlying the ACP registry are flagged BLOCKED in the fw_config_manifest collection-status field — a status shared with a large number of non-PCI devices in the same collection, so it is not evidence of a PCI-specific issue — meaning full per-rule zone/action normalization (the depth v1 achieved for Shea's PA device) is not yet available for FTD/ASA. The rule-count and object-scope figures cited in Section 4 come directly from the ACP registry's own columns and are reliable; deeper per-rule detail will require the FTD rule-db ingestion pipeline to reach parity with the PA pipeline.</w:t>
      </w:r>
    </w:p>
    <w:p>
      <w:pPr>
        <w:pStyle w:val="Heading1"/>
        <w:pBdr>
          <w:bottom w:val="single" w:color="17447C" w:sz="4" w:space="4"/>
        </w:pBdr>
      </w:pPr>
      <w:r>
        <w:rPr>
          <w:rFonts w:ascii="Arial" w:cs="Arial" w:eastAsia="Arial" w:hAnsi="Arial"/>
          <w:b w:val="false"/>
          <w:bCs w:val="false"/>
          <w:color w:val="404040"/>
          <w:sz w:val="30"/>
          <w:szCs w:val="30"/>
        </w:rPr>
        <w:t xml:space="preserve">2. Shea — Confirmed Traffic Flow and a Previously Unreviewed PCI Firewall</w:t>
      </w:r>
    </w:p>
    <w:p>
      <w:pPr>
        <w:pStyle w:val="Heading2"/>
      </w:pPr>
      <w:r>
        <w:rPr>
          <w:rFonts w:ascii="Arial" w:cs="Arial" w:eastAsia="Arial" w:hAnsi="Arial"/>
          <w:b w:val="false"/>
          <w:bCs w:val="false"/>
          <w:color w:val="404040"/>
          <w:sz w:val="24"/>
          <w:szCs w:val="24"/>
        </w:rPr>
        <w:t xml:space="preserve">2.1 PA/Panorama device (confirmed in v1, unchanged)</w:t>
      </w:r>
    </w:p>
    <w:p>
      <w:pPr>
        <w:spacing w:after="100"/>
      </w:pPr>
      <w:r>
        <w:rPr>
          <w:rFonts w:ascii="Arial" w:cs="Arial" w:eastAsia="Arial" w:hAnsi="Arial"/>
          <w:color w:val="595959"/>
          <w:sz w:val="20"/>
          <w:szCs w:val="20"/>
        </w:rPr>
        <w:t xml:space="preserve">Verified against PAZSHDC-SEC-PAN-PROD-01 (Panorama, Shea device group) and PAZSHDC-SEC-EXXT-NET-PA-01 (the physical device). This device's finding — every PCI-adjacent rule bound to profile-setting group Alert-All-SPG, confirmed alert-only on all component profiles (Alert-All-Vuln, Alert-All-AS, Vulnerability_Best_Practice_SP) — stands from v1 and is restated in the gap table in Section 5.</w:t>
      </w:r>
    </w:p>
    <w:p>
      <w:pPr>
        <w:pStyle w:val="Heading2"/>
      </w:pPr>
      <w:r>
        <w:rPr>
          <w:rFonts w:ascii="Arial" w:cs="Arial" w:eastAsia="Arial" w:hAnsi="Arial"/>
          <w:b w:val="false"/>
          <w:bCs w:val="false"/>
          <w:color w:val="404040"/>
          <w:sz w:val="24"/>
          <w:szCs w:val="24"/>
        </w:rPr>
        <w:t xml:space="preserve">2.2 [v2, new] Shea PCI FTD pair — not part of v1's device set</w:t>
      </w:r>
    </w:p>
    <w:p>
      <w:pPr>
        <w:spacing w:after="100"/>
      </w:pPr>
      <w:r>
        <w:rPr>
          <w:rFonts w:ascii="Arial" w:cs="Arial" w:eastAsia="Arial" w:hAnsi="Arial"/>
          <w:color w:val="595959"/>
          <w:sz w:val="20"/>
          <w:szCs w:val="20"/>
        </w:rPr>
        <w:t xml:space="preserve">The IPAM/FW registry (cvs_pci_fw_mgmt_ips, fw_location_topology, pci_topology_registry) identifies a second Shea enforcement point that v1 did not examine: PAZSHDC-SEC-INTPCI-01 and -02, an FMC-managed FTD HA pair, each exposing five VLAN sub-interfaces (33, 35, 100, 113, 114) as separate managed entries. These map to EGR_PCISHEA / cluster label "Shea-DC-PCI," routing fabric PCI-PBM, adjacent to EGR_SHEAW (the Shea internet-egress/WAF chain already documented in v1 Section 3).</w:t>
      </w:r>
    </w:p>
    <w:p>
      <w:pPr>
        <w:spacing w:after="100"/>
      </w:pPr>
      <w:r>
        <w:rPr>
          <w:rFonts w:ascii="Arial" w:cs="Arial" w:eastAsia="Arial" w:hAnsi="Arial"/>
          <w:color w:val="595959"/>
          <w:sz w:val="20"/>
          <w:szCs w:val="20"/>
        </w:rPr>
        <w:t xml:space="preserve">This is a strong candidate for the PCI FW that v1 Section 4 could not locate by zone name ("No UI/API/DB zone found in any reviewed device") — it is a dedicated, FMC-managed, PCI-classified firewall pair sitting logically behind the DMZ FW that v1 did examine, and v1 did not review it because it is not part of the Panorama device group PAZSHDC-SEC-PAN-PROD-01. However, the interface names available in this collection (vlan33/35/100/113/114) do not by themselves indicate which VLAN maps to which tier (UI/API/DB or equivalent) — that mapping requires an FMC zone/interface-role export, which was not available in this collection. Recommend obtaining it before revising v1's "Unconfirmed" status to "Confirmed" for Shea specifically.</w:t>
      </w:r>
    </w:p>
    <w:p>
      <w:pPr>
        <w:spacing w:after="100"/>
      </w:pPr>
      <w:r>
        <w:rPr>
          <w:rFonts w:ascii="Arial" w:cs="Arial" w:eastAsia="Arial" w:hAnsi="Arial"/>
          <w:color w:val="595959"/>
          <w:sz w:val="20"/>
          <w:szCs w:val="20"/>
        </w:rPr>
        <w:t xml:space="preserve">Also found: a standalone record, PAZSHDCSECINTFTDPCI-01 (ASA type per the cvs_pci_fw_mgmt_ips registry), with no EGR_CODE, HERITAGE, or routing-fabric tag populated — this looks like either a legacy/decommissioned device or a data-entry gap in the registry, and should be reconciled with the FTD pair above before being counted as a distinct enforcement point.</w:t>
      </w:r>
    </w:p>
    <w:p>
      <w:pPr>
        <w:pStyle w:val="Heading1"/>
        <w:pBdr>
          <w:bottom w:val="single" w:color="17447C" w:sz="4" w:space="4"/>
        </w:pBdr>
      </w:pPr>
      <w:r>
        <w:rPr>
          <w:rFonts w:ascii="Arial" w:cs="Arial" w:eastAsia="Arial" w:hAnsi="Arial"/>
          <w:b w:val="false"/>
          <w:bCs w:val="false"/>
          <w:color w:val="404040"/>
          <w:sz w:val="30"/>
          <w:szCs w:val="30"/>
        </w:rPr>
        <w:t xml:space="preserve">3. Site Firewall Topologies</w:t>
      </w:r>
    </w:p>
    <w:p>
      <w:pPr>
        <w:spacing w:after="100"/>
      </w:pPr>
      <w:r>
        <w:rPr>
          <w:rFonts w:ascii="Arial" w:cs="Arial" w:eastAsia="Arial" w:hAnsi="Arial"/>
          <w:color w:val="595959"/>
          <w:sz w:val="20"/>
          <w:szCs w:val="20"/>
        </w:rPr>
        <w:t xml:space="preserve">The logical ingress/egress model is implemented differently at each site. None of the PA/Panorama device sets reviewed in v1 contain a zone literally named "PCI," "UI," "API," or "DB" — v1 correctly reported this for the devices it looked at. v2 finds that this is not true of the FTD/FMC infrastructure at Middletown/Windsor, described below.</w:t>
      </w:r>
    </w:p>
    <w:p>
      <w:pPr>
        <w:pStyle w:val="Heading2"/>
      </w:pPr>
      <w:r>
        <w:rPr>
          <w:rFonts w:ascii="Arial" w:cs="Arial" w:eastAsia="Arial" w:hAnsi="Arial"/>
          <w:b w:val="false"/>
          <w:bCs w:val="false"/>
          <w:color w:val="404040"/>
          <w:sz w:val="24"/>
          <w:szCs w:val="24"/>
        </w:rPr>
        <w:t xml:space="preserve">3.1 Vegas (unchanged from v1)</w:t>
      </w:r>
    </w:p>
    <w:p>
      <w:pPr>
        <w:spacing w:after="100"/>
      </w:pPr>
      <w:r>
        <w:rPr>
          <w:rFonts w:ascii="Arial" w:cs="Arial" w:eastAsia="Arial" w:hAnsi="Arial"/>
          <w:color w:val="595959"/>
          <w:sz w:val="20"/>
          <w:szCs w:val="20"/>
        </w:rPr>
        <w:t xml:space="preserve">Three distinct devices: ext-dmz-pa-fw (Untrust, 152.145.172.0/24) → router/switch interconnect → ext-pa-fw (its own separate Untrust plus Trust) → 3rd-pa-fw (Trust-Inside, plus dedicated per-partner tunnel zones: WEX-Meritain, EBIX-Meritain, both confirmed crypto-map-equivalent with explicit proxy-ID pairs). No PCI-classified firewall was found at Vegas in the 2026-09-09 collection — consistent with v1's scope, which also found no PCI zone there.</w:t>
      </w:r>
    </w:p>
    <w:p>
      <w:pPr>
        <w:pStyle w:val="Heading2"/>
      </w:pPr>
      <w:r>
        <w:rPr>
          <w:rFonts w:ascii="Arial" w:cs="Arial" w:eastAsia="Arial" w:hAnsi="Arial"/>
          <w:b w:val="false"/>
          <w:bCs w:val="false"/>
          <w:color w:val="404040"/>
          <w:sz w:val="24"/>
          <w:szCs w:val="24"/>
        </w:rPr>
        <w:t xml:space="preserve">3.2 [v2, revised] Middletown and Windsor — a confirmed three-tier PCI FTD model</w:t>
      </w:r>
    </w:p>
    <w:p>
      <w:pPr>
        <w:spacing w:after="100"/>
      </w:pPr>
      <w:r>
        <w:rPr>
          <w:rFonts w:ascii="Arial" w:cs="Arial" w:eastAsia="Arial" w:hAnsi="Arial"/>
          <w:color w:val="595959"/>
          <w:sz w:val="20"/>
          <w:szCs w:val="20"/>
        </w:rPr>
        <w:t xml:space="preserve">v1 documented six purpose-built PA device pairs at each site (dmz-pa, edmz-pa, cvs-pa, officeext-pa, clouddmz-pa, glr-pa; Middletown adds qadmz-pa) and reported the PCI tier boundary as Unconfirmed because no UI/API/DB zone was visible in that device set. v2 finds that the Aetna/HCB-heritage PCI CDE at both sites runs on a separate, dedicated set of FTD firewalls not in v1's device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3700"/>
        <w:gridCol w:w="3460"/>
      </w:tblGrid>
      <w:tr>
        <w:tc>
          <w:tcPr>
            <w:tcW w:type="dxa" w:w="10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Site</w:t>
            </w:r>
          </w:p>
        </w:tc>
        <w:tc>
          <w:tcPr>
            <w:tcW w:type="dxa" w:w="12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37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Firewall pair</w:t>
            </w:r>
          </w:p>
        </w:tc>
        <w:tc>
          <w:tcPr>
            <w:tcW w:type="dxa" w:w="346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NAMEIF / subnet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Middletown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Web</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mid-fw-pciprod-web-ftd-1/2</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webfarm — 167.69.31.0/25</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Middletown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App</w:t>
            </w:r>
          </w:p>
        </w:tc>
        <w:tc>
          <w:tcPr>
            <w:tcW w:type="dxa" w:w="3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mid-fw-pciprod-app-ftd-1/2</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appfarm — 167.69.28.0/25</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Middletown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Sysadmin</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mid-fw-pciprod-sysadm-ftd-1/2</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sysadm — 167.69.29.0/25</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Windsor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Web</w:t>
            </w:r>
          </w:p>
        </w:tc>
        <w:tc>
          <w:tcPr>
            <w:tcW w:type="dxa" w:w="3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win-fw-pciprod-web-ftd-1/2</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webfarm — 167.69.75.0/25</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Windsor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App</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win-fw-pciprod-app-ftd-1/2</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appfarm — 167.69.72.0/25</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Windsor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Sysadmin</w:t>
            </w:r>
          </w:p>
        </w:tc>
        <w:tc>
          <w:tcPr>
            <w:tcW w:type="dxa" w:w="3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win-fw-pciprod-sysadm-ftd-1/2</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sysadm — 167.69.73.0/25</w:t>
            </w:r>
          </w:p>
        </w:tc>
      </w:tr>
    </w:tbl>
    <w:p>
      <w:r>
        <w:t xml:space="preserve"/>
      </w:r>
    </w:p>
    <w:p>
      <w:pPr>
        <w:spacing w:after="100"/>
      </w:pPr>
      <w:r>
        <w:rPr>
          <w:rFonts w:ascii="Arial" w:cs="Arial" w:eastAsia="Arial" w:hAnsi="Arial"/>
          <w:color w:val="595959"/>
          <w:sz w:val="20"/>
          <w:szCs w:val="20"/>
        </w:rPr>
        <w:t xml:space="preserve">Each tier is enforced by its own independent HA firewall pair, not a shared device with internal zones — a stronger implementation of the Operational Model §3 tier-boundary requirement than a single device with three zones would be. This directly answers v1's "Unconfirmed" finding for these two sites: the tier boundary exists, is named for its function (web/app/sysadm rather than literally UI/API/DB), and is enforced on dedicated hardware. Recommend v1's gap-table entry for tier segmentation be split by heritage — Confirmed for Aetna/HCB (Middletown, Windsor), still Unconfirmed for CVS heritage (Shea, RI) pending the FMC zone-role export described in Section 2.2.</w:t>
      </w:r>
    </w:p>
    <w:p>
      <w:pPr>
        <w:spacing w:after="100"/>
      </w:pPr>
      <w:r>
        <w:rPr>
          <w:rFonts w:ascii="Arial" w:cs="Arial" w:eastAsia="Arial" w:hAnsi="Arial"/>
          <w:color w:val="595959"/>
          <w:sz w:val="20"/>
          <w:szCs w:val="20"/>
        </w:rPr>
        <w:t xml:space="preserve">Recommend confirming what traverses officeext-pa's vpn1/vpn2 zones at Middletown/Windsor, per v1's open item — this remains unresolved in v2 and was not addressed by the PCI-specific data reviewed here.</w:t>
      </w:r>
    </w:p>
    <w:p>
      <w:pPr>
        <w:pStyle w:val="Heading2"/>
      </w:pPr>
      <w:r>
        <w:rPr>
          <w:rFonts w:ascii="Arial" w:cs="Arial" w:eastAsia="Arial" w:hAnsi="Arial"/>
          <w:b w:val="false"/>
          <w:bCs w:val="false"/>
          <w:color w:val="404040"/>
          <w:sz w:val="24"/>
          <w:szCs w:val="24"/>
        </w:rPr>
        <w:t xml:space="preserve">3.3 [v2, revised] Rhode Island — a second local third-party exception</w:t>
      </w:r>
    </w:p>
    <w:p>
      <w:pPr>
        <w:spacing w:after="100"/>
      </w:pPr>
      <w:r>
        <w:rPr>
          <w:rFonts w:ascii="Arial" w:cs="Arial" w:eastAsia="Arial" w:hAnsi="Arial"/>
          <w:color w:val="595959"/>
          <w:sz w:val="20"/>
          <w:szCs w:val="20"/>
        </w:rPr>
        <w:t xml:space="preserve">v1 documented three device roles at RI and reported no third-party (3rd-pa-equivalent) device at either Woonsocket or Cumberland. v2 finds two dedicated PCI FTD pairs not in v1's device set, one of which carries local third-party connectivity:</w:t>
      </w:r>
    </w:p>
    <w:p>
      <w:pPr>
        <w:pStyle w:val="ListParagraph"/>
        <w:numPr>
          <w:ilvl w:val="0"/>
          <w:numId w:val="2"/>
        </w:numPr>
        <w:spacing w:after="60"/>
      </w:pPr>
      <w:r>
        <w:rPr>
          <w:rFonts w:ascii="Arial" w:cs="Arial" w:eastAsia="Arial" w:hAnsi="Arial"/>
          <w:color w:val="595959"/>
          <w:sz w:val="20"/>
          <w:szCs w:val="20"/>
        </w:rPr>
        <w:t xml:space="preserve">RRIWSDC-SEC-INTPCIFTD-01/02 (Woonsocket, EGR_PCIRIWSDC): interfaces include RelayHealth_DMZ (152.145.250.0/29) and Inside_Stratus (10.222.135.0/28). The RelayHealth_DMZ interface is a third-party partner zone hosted directly on the PCI firewall — this contradicts v1's "no third-party device found" statement for RI and is an exception to the Operational Model §6 Vegas-hub default that needs an explicit sign-off decision (see Section 6).</w:t>
      </w:r>
    </w:p>
    <w:p>
      <w:pPr>
        <w:pStyle w:val="ListParagraph"/>
        <w:numPr>
          <w:ilvl w:val="0"/>
          <w:numId w:val="2"/>
        </w:numPr>
        <w:spacing w:after="60"/>
      </w:pPr>
      <w:r>
        <w:rPr>
          <w:rFonts w:ascii="Arial" w:cs="Arial" w:eastAsia="Arial" w:hAnsi="Arial"/>
          <w:color w:val="595959"/>
          <w:sz w:val="20"/>
          <w:szCs w:val="20"/>
        </w:rPr>
        <w:t xml:space="preserve">RRICMDC-SEC-INT-PCI-01/02 (Cumberland, EGR_PCICUMBER): the largest PCI CDE firewall pair in this collection by subnet count (21 CDE CIDRs) and by rule volume (Section 4) — includes retail Kiosk segments (KioskSC, KioskVM, KioskUat, KioskMgt, KioskVipProd/Uat, KioskFeProd/Uat), a VDC RSA token/key/servers DMZ, and six PCI_VLAN_2267–2272 segments. Its FMC ACP set also includes a dedicated Stratus partner policy (Section 4) — a second local third-party presence at this site, on top of RelayHealth at Woonsocket.</w:t>
      </w:r>
    </w:p>
    <w:p>
      <w:pPr>
        <w:pStyle w:val="Heading2"/>
      </w:pPr>
      <w:r>
        <w:rPr>
          <w:rFonts w:ascii="Arial" w:cs="Arial" w:eastAsia="Arial" w:hAnsi="Arial"/>
          <w:b w:val="false"/>
          <w:bCs w:val="false"/>
          <w:color w:val="404040"/>
          <w:sz w:val="24"/>
          <w:szCs w:val="24"/>
        </w:rPr>
        <w:t xml:space="preserve">3.4 [v2, new] Sites outside v1's original scope</w:t>
      </w:r>
    </w:p>
    <w:p>
      <w:pPr>
        <w:spacing w:after="100"/>
      </w:pPr>
      <w:r>
        <w:rPr>
          <w:rFonts w:ascii="Arial" w:cs="Arial" w:eastAsia="Arial" w:hAnsi="Arial"/>
          <w:color w:val="595959"/>
          <w:sz w:val="20"/>
          <w:szCs w:val="20"/>
        </w:rPr>
        <w:t xml:space="preserve">The enterprise-wide pci_topology_registry / pci_subnet_index identify PCI-classified firewalls at three additional sites that v1 did not examine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160"/>
      </w:tblGrid>
      <w:tr>
        <w:tc>
          <w:tcPr>
            <w:tcW w:type="dxa" w:w="22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Site</w:t>
            </w:r>
          </w:p>
        </w:tc>
        <w:tc>
          <w:tcPr>
            <w:tcW w:type="dxa" w:w="24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6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Firewall(s)</w:t>
            </w:r>
          </w:p>
        </w:tc>
        <w:tc>
          <w:tcPr>
            <w:tcW w:type="dxa" w:w="216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Honolulu HI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Mail Order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HOL-SEC-M1A-PCI-01/02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PA, CSM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Pittsburgh PA</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Corporate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PIH-SEC-M1A-PCI-01 (singleton — HA pairing unconfirmed)</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ASA, CSM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San Antonio TX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Mail Order MDF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ptxsnmosecintpcimdf-1 (singleton — HA pairing unconfirmed)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ASA, CSM</w:t>
            </w:r>
          </w:p>
        </w:tc>
      </w:tr>
    </w:tbl>
    <w:p>
      <w:r>
        <w:t xml:space="preserve"/>
      </w:r>
    </w:p>
    <w:p>
      <w:pPr>
        <w:spacing w:after="100"/>
      </w:pPr>
      <w:r>
        <w:rPr>
          <w:rFonts w:ascii="Arial" w:cs="Arial" w:eastAsia="Arial" w:hAnsi="Arial"/>
          <w:color w:val="595959"/>
          <w:sz w:val="20"/>
          <w:szCs w:val="20"/>
        </w:rPr>
        <w:t xml:space="preserve">None of these three were reviewed at the rule/profile level for this assessment; they are listed here so the assessment's site scope can be deliberately expanded rather than implicitly excluded. Recommend confirming HA pairing for Pittsburgh and San Antonio, where only one device each appears in the registry.</w:t>
      </w:r>
    </w:p>
    <w:p>
      <w:pPr>
        <w:pStyle w:val="Heading1"/>
        <w:pBdr>
          <w:bottom w:val="single" w:color="17447C" w:sz="4" w:space="4"/>
        </w:pBdr>
      </w:pPr>
      <w:r>
        <w:rPr>
          <w:rFonts w:ascii="Arial" w:cs="Arial" w:eastAsia="Arial" w:hAnsi="Arial"/>
          <w:b w:val="false"/>
          <w:bCs w:val="false"/>
          <w:color w:val="404040"/>
          <w:sz w:val="30"/>
          <w:szCs w:val="30"/>
        </w:rPr>
        <w:t xml:space="preserve">4. [v2, new] FMC Access Control Policy Enforcement Findings — Cumberland and Shea</w:t>
      </w:r>
    </w:p>
    <w:p>
      <w:pPr>
        <w:spacing w:after="100"/>
      </w:pPr>
      <w:r>
        <w:rPr>
          <w:rFonts w:ascii="Arial" w:cs="Arial" w:eastAsia="Arial" w:hAnsi="Arial"/>
          <w:color w:val="595959"/>
          <w:sz w:val="20"/>
          <w:szCs w:val="20"/>
        </w:rPr>
        <w:t xml:space="preserve">The P2P-FTD-LINK-REGISTRY (an Access Control Policy export keyed by FMC manager) provides rule counts and IPS-inspection status per ACP. For the Cumberland PCI FMC manager (rricmdc-sec-mgt-prd-pci-01) and the Shea FMC manager (pazshdc-sec-int-prd-mgt-01), the PCI-relevant ACPs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900"/>
        <w:gridCol w:w="1700"/>
        <w:gridCol w:w="3560"/>
      </w:tblGrid>
      <w:tr>
        <w:tc>
          <w:tcPr>
            <w:tcW w:type="dxa" w:w="17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ACP</w:t>
            </w:r>
          </w:p>
        </w:tc>
        <w:tc>
          <w:tcPr>
            <w:tcW w:type="dxa" w:w="15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Site / manager</w:t>
            </w:r>
          </w:p>
        </w:tc>
        <w:tc>
          <w:tcPr>
            <w:tcW w:type="dxa" w:w="9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Total rules</w:t>
            </w:r>
          </w:p>
        </w:tc>
        <w:tc>
          <w:tcPr>
            <w:tcW w:type="dxa" w:w="17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Broad/"any"-object rules</w:t>
            </w:r>
          </w:p>
        </w:tc>
        <w:tc>
          <w:tcPr>
            <w:tcW w:type="dxa" w:w="356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Intrusion policy / mode</w:t>
            </w:r>
          </w:p>
        </w:tc>
      </w:tr>
      <w:tr>
        <w:tc>
          <w:tcPr>
            <w:tcW w:type="dxa" w:w="17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RETAIL_INTPCI</w:t>
            </w:r>
          </w:p>
        </w:tc>
        <w:tc>
          <w:tcPr>
            <w:tcW w:type="dxa" w:w="1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Cumberland</w:t>
            </w:r>
          </w:p>
        </w:tc>
        <w:tc>
          <w:tcPr>
            <w:tcW w:type="dxa" w:w="9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2,900</w:t>
            </w:r>
          </w:p>
        </w:tc>
        <w:tc>
          <w:tcPr>
            <w:tcW w:type="dxa" w:w="17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2,900 (100%)</w:t>
            </w:r>
          </w:p>
        </w:tc>
        <w:tc>
          <w:tcPr>
            <w:tcW w:type="dxa" w:w="356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EIS-RETAIL-INTPCI-POLICY — Detection</w:t>
            </w:r>
          </w:p>
        </w:tc>
      </w:tr>
      <w:tr>
        <w:tc>
          <w:tcPr>
            <w:tcW w:type="dxa" w:w="17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INT_DCOM</w:t>
            </w:r>
          </w:p>
        </w:tc>
        <w:tc>
          <w:tcPr>
            <w:tcW w:type="dxa" w:w="15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Cumberland</w:t>
            </w:r>
          </w:p>
        </w:tc>
        <w:tc>
          <w:tcPr>
            <w:tcW w:type="dxa" w:w="9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13,886</w:t>
            </w:r>
          </w:p>
        </w:tc>
        <w:tc>
          <w:tcPr>
            <w:tcW w:type="dxa" w:w="17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13,886 (100%)</w:t>
            </w:r>
          </w:p>
        </w:tc>
        <w:tc>
          <w:tcPr>
            <w:tcW w:type="dxa" w:w="356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None attached</w:t>
            </w:r>
          </w:p>
        </w:tc>
      </w:tr>
      <w:tr>
        <w:tc>
          <w:tcPr>
            <w:tcW w:type="dxa" w:w="17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EXT_DCOM</w:t>
            </w:r>
          </w:p>
        </w:tc>
        <w:tc>
          <w:tcPr>
            <w:tcW w:type="dxa" w:w="1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Cumberland</w:t>
            </w:r>
          </w:p>
        </w:tc>
        <w:tc>
          <w:tcPr>
            <w:tcW w:type="dxa" w:w="9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5,472</w:t>
            </w:r>
          </w:p>
        </w:tc>
        <w:tc>
          <w:tcPr>
            <w:tcW w:type="dxa" w:w="17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5,472 (100%)</w:t>
            </w:r>
          </w:p>
        </w:tc>
        <w:tc>
          <w:tcPr>
            <w:tcW w:type="dxa" w:w="356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EIS-EXT-DCOM-Policy — Detection</w:t>
            </w:r>
          </w:p>
        </w:tc>
      </w:tr>
      <w:tr>
        <w:tc>
          <w:tcPr>
            <w:tcW w:type="dxa" w:w="17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RETAIL_ATG_EXT</w:t>
            </w:r>
          </w:p>
        </w:tc>
        <w:tc>
          <w:tcPr>
            <w:tcW w:type="dxa" w:w="15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Cumberland</w:t>
            </w:r>
          </w:p>
        </w:tc>
        <w:tc>
          <w:tcPr>
            <w:tcW w:type="dxa" w:w="9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909</w:t>
            </w:r>
          </w:p>
        </w:tc>
        <w:tc>
          <w:tcPr>
            <w:tcW w:type="dxa" w:w="17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909 (100%)</w:t>
            </w:r>
          </w:p>
        </w:tc>
        <w:tc>
          <w:tcPr>
            <w:tcW w:type="dxa" w:w="356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None attached</w:t>
            </w:r>
          </w:p>
        </w:tc>
      </w:tr>
      <w:tr>
        <w:tc>
          <w:tcPr>
            <w:tcW w:type="dxa" w:w="17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RETAIL_ATG_INT</w:t>
            </w:r>
          </w:p>
        </w:tc>
        <w:tc>
          <w:tcPr>
            <w:tcW w:type="dxa" w:w="15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Cumberland</w:t>
            </w:r>
          </w:p>
        </w:tc>
        <w:tc>
          <w:tcPr>
            <w:tcW w:type="dxa" w:w="9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2,821</w:t>
            </w:r>
          </w:p>
        </w:tc>
        <w:tc>
          <w:tcPr>
            <w:tcW w:type="dxa" w:w="17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105 (4%)</w:t>
            </w:r>
          </w:p>
        </w:tc>
        <w:tc>
          <w:tcPr>
            <w:tcW w:type="dxa" w:w="356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None attached</w:t>
            </w:r>
          </w:p>
        </w:tc>
      </w:tr>
      <w:tr>
        <w:tc>
          <w:tcPr>
            <w:tcW w:type="dxa" w:w="17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STRATUS_ACCESS</w:t>
            </w:r>
          </w:p>
        </w:tc>
        <w:tc>
          <w:tcPr>
            <w:tcW w:type="dxa" w:w="1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Cumberland</w:t>
            </w:r>
          </w:p>
        </w:tc>
        <w:tc>
          <w:tcPr>
            <w:tcW w:type="dxa" w:w="9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248</w:t>
            </w:r>
          </w:p>
        </w:tc>
        <w:tc>
          <w:tcPr>
            <w:tcW w:type="dxa" w:w="17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248 (100%)</w:t>
            </w:r>
          </w:p>
        </w:tc>
        <w:tc>
          <w:tcPr>
            <w:tcW w:type="dxa" w:w="356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STRATUS — Detection (3rd-party channel)</w:t>
            </w:r>
          </w:p>
        </w:tc>
      </w:tr>
      <w:tr>
        <w:tc>
          <w:tcPr>
            <w:tcW w:type="dxa" w:w="17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PR_CAROLINA_SEMAFONE</w:t>
            </w:r>
          </w:p>
        </w:tc>
        <w:tc>
          <w:tcPr>
            <w:tcW w:type="dxa" w:w="15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Cumberland</w:t>
            </w:r>
          </w:p>
        </w:tc>
        <w:tc>
          <w:tcPr>
            <w:tcW w:type="dxa" w:w="9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6</w:t>
            </w:r>
          </w:p>
        </w:tc>
        <w:tc>
          <w:tcPr>
            <w:tcW w:type="dxa" w:w="170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0 (0%)</w:t>
            </w:r>
          </w:p>
        </w:tc>
        <w:tc>
          <w:tcPr>
            <w:tcW w:type="dxa" w:w="3560"/>
            <w:tcBorders>
              <w:top w:val="single" w:color="CCCCCC" w:sz="1"/>
              <w:left w:val="single" w:color="CCCCCC" w:sz="1"/>
              <w:bottom w:val="single" w:color="CCCCCC" w:sz="1"/>
              <w:right w:val="single" w:color="CCCCCC" w:sz="1"/>
            </w:tcBorders>
            <w:shd w:fill="FBEAEA" w:val="clear"/>
            <w:tcMar>
              <w:top w:type="dxa" w:w="80"/>
              <w:left w:type="dxa" w:w="120"/>
              <w:bottom w:type="dxa" w:w="80"/>
              <w:right w:type="dxa" w:w="120"/>
            </w:tcMar>
          </w:tcPr>
          <w:p>
            <w:r>
              <w:rPr>
                <w:rFonts w:ascii="Arial" w:cs="Arial" w:eastAsia="Arial" w:hAnsi="Arial"/>
                <w:b w:val="false"/>
                <w:bCs w:val="false"/>
                <w:color w:val="404040"/>
                <w:sz w:val="18"/>
                <w:szCs w:val="18"/>
              </w:rPr>
              <w:t xml:space="preserve">None attached — tightly scoped</w:t>
            </w:r>
          </w:p>
        </w:tc>
      </w:tr>
      <w:tr>
        <w:tc>
          <w:tcPr>
            <w:tcW w:type="dxa" w:w="17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IPS_ONLY__NEXUS_SECURE_PCI</w:t>
            </w:r>
          </w:p>
        </w:tc>
        <w:tc>
          <w:tcPr>
            <w:tcW w:type="dxa" w:w="1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Shea</w:t>
            </w:r>
          </w:p>
        </w:tc>
        <w:tc>
          <w:tcPr>
            <w:tcW w:type="dxa" w:w="9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3</w:t>
            </w:r>
          </w:p>
        </w:tc>
        <w:tc>
          <w:tcPr>
            <w:tcW w:type="dxa" w:w="17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1 (33%)</w:t>
            </w:r>
          </w:p>
        </w:tc>
        <w:tc>
          <w:tcPr>
            <w:tcW w:type="dxa" w:w="356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Nexus_Secure_PCI_PBM — Detection</w:t>
            </w:r>
          </w:p>
        </w:tc>
      </w:tr>
      <w:tr>
        <w:tc>
          <w:tcPr>
            <w:tcW w:type="dxa" w:w="17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Z_INACTIVE_LEGACY_PCI_PBM</w:t>
            </w:r>
          </w:p>
        </w:tc>
        <w:tc>
          <w:tcPr>
            <w:tcW w:type="dxa" w:w="15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Shea</w:t>
            </w:r>
          </w:p>
        </w:tc>
        <w:tc>
          <w:tcPr>
            <w:tcW w:type="dxa" w:w="9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18</w:t>
            </w:r>
          </w:p>
        </w:tc>
        <w:tc>
          <w:tcPr>
            <w:tcW w:type="dxa" w:w="17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9 (50%)</w:t>
            </w:r>
          </w:p>
        </w:tc>
        <w:tc>
          <w:tcPr>
            <w:tcW w:type="dxa" w:w="356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404040"/>
                <w:sz w:val="18"/>
                <w:szCs w:val="18"/>
              </w:rPr>
              <w:t xml:space="preserve">Legacy policies — Detection, appears stale</w:t>
            </w:r>
          </w:p>
        </w:tc>
      </w:tr>
    </w:tbl>
    <w:p>
      <w:r>
        <w:t xml:space="preserve"/>
      </w:r>
    </w:p>
    <w:p>
      <w:pPr>
        <w:spacing w:after="100"/>
      </w:pPr>
      <w:r>
        <w:rPr>
          <w:rFonts w:ascii="Arial" w:cs="Arial" w:eastAsia="Arial" w:hAnsi="Arial"/>
          <w:color w:val="595959"/>
          <w:sz w:val="20"/>
          <w:szCs w:val="20"/>
        </w:rPr>
        <w:t xml:space="preserve">Two findings follow directly from this table, and both extend the same pattern v1 documented for Shea's Panorama-managed device (Alert-All-SPG: profiles attached but running in alert-only mode):</w:t>
      </w:r>
    </w:p>
    <w:p>
      <w:pPr>
        <w:pStyle w:val="ListParagraph"/>
        <w:numPr>
          <w:ilvl w:val="0"/>
          <w:numId w:val="2"/>
        </w:numPr>
        <w:spacing w:after="60"/>
      </w:pPr>
      <w:r>
        <w:rPr>
          <w:rFonts w:ascii="Arial" w:cs="Arial" w:eastAsia="Arial" w:hAnsi="Arial"/>
          <w:color w:val="595959"/>
          <w:sz w:val="20"/>
          <w:szCs w:val="20"/>
        </w:rPr>
        <w:t xml:space="preserve">Enforcement-in-name-only is not unique to the PA platform. RETAIL_INTPCI, EXT_DCOM, and STRATUS_ACCESS — three of Cumberland's PCI-adjacent ACPs, covering 8,620 rules — all have an Intrusion Policy attached and running in Detection mode, not a blocking mode. This is the FTD/FMC equivalent of v1's Alert-All-SPG finding, on the actual PCI CDE firewall rather than a DMZ/egress device.</w:t>
      </w:r>
    </w:p>
    <w:p>
      <w:pPr>
        <w:pStyle w:val="ListParagraph"/>
        <w:numPr>
          <w:ilvl w:val="0"/>
          <w:numId w:val="2"/>
        </w:numPr>
        <w:spacing w:after="60"/>
      </w:pPr>
      <w:r>
        <w:rPr>
          <w:rFonts w:ascii="Arial" w:cs="Arial" w:eastAsia="Arial" w:hAnsi="Arial"/>
          <w:color w:val="595959"/>
          <w:sz w:val="20"/>
          <w:szCs w:val="20"/>
        </w:rPr>
        <w:t xml:space="preserve">INT_DCOM (13,886 rules, the single largest PCI-adjacent ACP in this collection) and RETAIL_ATG_EXT/INT have no Intrusion Policy attached at all — a gap one step beyond Detection-only, since there is no inspection whatsoever on this traffic once it is admitted.</w:t>
      </w:r>
    </w:p>
    <w:p>
      <w:pPr>
        <w:pStyle w:val="ListParagraph"/>
        <w:numPr>
          <w:ilvl w:val="0"/>
          <w:numId w:val="2"/>
        </w:numPr>
        <w:spacing w:after="60"/>
      </w:pPr>
      <w:r>
        <w:rPr>
          <w:rFonts w:ascii="Arial" w:cs="Arial" w:eastAsia="Arial" w:hAnsi="Arial"/>
          <w:color w:val="595959"/>
          <w:sz w:val="20"/>
          <w:szCs w:val="20"/>
        </w:rPr>
        <w:t xml:space="preserve">RETAIL_INTPCI, INT_DCOM, and EXT_DCOM each show 100% of rules built from broad or "any"-style network/port objects rather than specific host/application pairs. Per Operational Model §3–4, this is an admission-control gap independent of the IPS finding above: a permit rule built on broad objects does not restrict the destination, regardless of what inspection is bound to it.</w:t>
      </w:r>
    </w:p>
    <w:p>
      <w:pPr>
        <w:pStyle w:val="ListParagraph"/>
        <w:numPr>
          <w:ilvl w:val="0"/>
          <w:numId w:val="2"/>
        </w:numPr>
        <w:spacing w:after="60"/>
      </w:pPr>
      <w:r>
        <w:rPr>
          <w:rFonts w:ascii="Arial" w:cs="Arial" w:eastAsia="Arial" w:hAnsi="Arial"/>
          <w:color w:val="595959"/>
          <w:sz w:val="20"/>
          <w:szCs w:val="20"/>
        </w:rPr>
        <w:t xml:space="preserve">By contrast, PR_CAROLINA_SEMAFONE (6 rules, 0% broad) is tightly scoped and consistent with the call-center DTMF-masking scope-reduction pattern v1 documented for Shea's Semafone_DMZ zone — cited here as an example of the target state, not a gap.</w:t>
      </w:r>
    </w:p>
    <w:p>
      <w:pPr>
        <w:pStyle w:val="ListParagraph"/>
        <w:numPr>
          <w:ilvl w:val="0"/>
          <w:numId w:val="2"/>
        </w:numPr>
        <w:spacing w:after="60"/>
      </w:pPr>
      <w:r>
        <w:rPr>
          <w:rFonts w:ascii="Arial" w:cs="Arial" w:eastAsia="Arial" w:hAnsi="Arial"/>
          <w:color w:val="595959"/>
          <w:sz w:val="20"/>
          <w:szCs w:val="20"/>
        </w:rPr>
        <w:t xml:space="preserve">The Shea FMC manager's Z_INACTIVE_LEGACY_PCI_PBM policy (18 rules, still status DEFINED/loaded) appears to be legacy and should be confirmed for removal rather than left active.</w:t>
      </w:r>
    </w:p>
    <w:p>
      <w:pPr>
        <w:pStyle w:val="Heading1"/>
        <w:pBdr>
          <w:bottom w:val="single" w:color="17447C" w:sz="4" w:space="4"/>
        </w:pBdr>
      </w:pPr>
      <w:r>
        <w:rPr>
          <w:rFonts w:ascii="Arial" w:cs="Arial" w:eastAsia="Arial" w:hAnsi="Arial"/>
          <w:b w:val="false"/>
          <w:bCs w:val="false"/>
          <w:color w:val="404040"/>
          <w:sz w:val="30"/>
          <w:szCs w:val="30"/>
        </w:rPr>
        <w:t xml:space="preserve">5. Updated Summary of Confirmed Gaps Against the Target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1800"/>
      </w:tblGrid>
      <w:tr>
        <w:tc>
          <w:tcPr>
            <w:tcW w:type="dxa" w:w="30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Target model requirement</w:t>
            </w:r>
          </w:p>
        </w:tc>
        <w:tc>
          <w:tcPr>
            <w:tcW w:type="dxa" w:w="42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Current state (confirmed)</w:t>
            </w:r>
          </w:p>
        </w:tc>
        <w:tc>
          <w:tcPr>
            <w:tcW w:type="dxa" w:w="1800"/>
            <w:tcBorders>
              <w:top w:val="single" w:color="CCCCCC" w:sz="1"/>
              <w:left w:val="single" w:color="CCCCCC" w:sz="1"/>
              <w:bottom w:val="single" w:color="CCCCCC" w:sz="1"/>
              <w:right w:val="single" w:color="CCCCCC" w:sz="1"/>
            </w:tcBorders>
            <w:shd w:fill="17447C"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Egress/CDE FW threat-prevention enforces (block/sinkhole)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Shea PA: Alert-All-SPG alert-only (v1). Cumberland FMC: Detection-mode or no IPS on RETAIL_INTPCI / INT_DCOM / EXT_DCOM / STRATUS_ACCESS (v2)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Gap — confirmed on both platforms reviewed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PCI FW enforces explicit UI/API/DB-equivalent tier boundaries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Aetna/HCB heritage (Middletown, Windsor): confirmed — three dedicated FTD pairs per tier (v2). CVS heritage (Shea, RI): tier mapping not yet confirmed by zone/interface role (v2)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Partially meets model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DMZ FW / Internal FW perform admission control only (no inspection expected)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Confirmed at Shea, Vegas, Middletown/Windsor, RI (v1) — no new contrary evidence in v2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Meets model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Third-party connectivity centralized at Vegas, proxy-ID/crypto-map scoped</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Confirmed at Vegas (v1). Two undocumented local exceptions found: RelayHealth interface on Woonsocket PCI FW, Stratus ACP on Cumberland PCI FW (v2)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Gap — local exceptions found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PCI-adjacent rules built from specific host/app objects, not broad/"any"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Cumberland RETAIL_INTPCI, INT_DCOM, EXT_DCOM: 100% broad-object rules (v2, new criterion)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Gap</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DNS egress restriction for PCI workloads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Not reviewed in v1; not reviewed in v2 either — still no data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18"/>
                <w:szCs w:val="18"/>
              </w:rPr>
              <w:t xml:space="preserve">Unconfirmed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PCI CDE firewall inventory is complete for this assessment's stated scope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v1 scope covered 4 sites, Panorama-managed PA only. v2 finds PCI CDE firewalls on FTD/FMC or ASA at all 4 original sites plus 3 additional sites (Honolulu, Pittsburgh, San Antonio) not previously reviewed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Gap — scope narrower than the estate</w:t>
            </w:r>
          </w:p>
        </w:tc>
      </w:tr>
    </w:tbl>
    <w:p>
      <w:pPr>
        <w:pStyle w:val="Heading1"/>
        <w:pBdr>
          <w:bottom w:val="single" w:color="17447C" w:sz="4" w:space="4"/>
        </w:pBdr>
      </w:pPr>
      <w:r>
        <w:rPr>
          <w:rFonts w:ascii="Arial" w:cs="Arial" w:eastAsia="Arial" w:hAnsi="Arial"/>
          <w:b w:val="false"/>
          <w:bCs w:val="false"/>
          <w:color w:val="404040"/>
          <w:sz w:val="30"/>
          <w:szCs w:val="30"/>
        </w:rPr>
        <w:t xml:space="preserve">6. Recommended Next Steps</w:t>
      </w:r>
    </w:p>
    <w:p>
      <w:pPr>
        <w:pStyle w:val="ListParagraph"/>
        <w:numPr>
          <w:ilvl w:val="0"/>
          <w:numId w:val="2"/>
        </w:numPr>
        <w:spacing w:after="60"/>
      </w:pPr>
      <w:r>
        <w:rPr>
          <w:rFonts w:ascii="Arial" w:cs="Arial" w:eastAsia="Arial" w:hAnsi="Arial"/>
          <w:color w:val="595959"/>
          <w:sz w:val="20"/>
          <w:szCs w:val="20"/>
        </w:rPr>
        <w:t xml:space="preserve">Obtain an FMC zone/interface-role export for the Shea PCI FTD pair (PAZSHDC-SEC-INTPCI-01/02) to confirm which VLAN sub-interface maps to which tier, before treating Shea's tier-boundary status as Confirmed.</w:t>
      </w:r>
    </w:p>
    <w:p>
      <w:pPr>
        <w:pStyle w:val="ListParagraph"/>
        <w:numPr>
          <w:ilvl w:val="0"/>
          <w:numId w:val="2"/>
        </w:numPr>
        <w:spacing w:after="60"/>
      </w:pPr>
      <w:r>
        <w:rPr>
          <w:rFonts w:ascii="Arial" w:cs="Arial" w:eastAsia="Arial" w:hAnsi="Arial"/>
          <w:color w:val="595959"/>
          <w:sz w:val="20"/>
          <w:szCs w:val="20"/>
        </w:rPr>
        <w:t xml:space="preserve">Reconcile the orphaned PAZSHDCSECINTFTDPCI-01 device record (no EGR_CODE/HERITAGE) against the confirmed Shea PCI FTD pair.</w:t>
      </w:r>
    </w:p>
    <w:p>
      <w:pPr>
        <w:pStyle w:val="ListParagraph"/>
        <w:numPr>
          <w:ilvl w:val="0"/>
          <w:numId w:val="2"/>
        </w:numPr>
        <w:spacing w:after="60"/>
      </w:pPr>
      <w:r>
        <w:rPr>
          <w:rFonts w:ascii="Arial" w:cs="Arial" w:eastAsia="Arial" w:hAnsi="Arial"/>
          <w:color w:val="595959"/>
          <w:sz w:val="20"/>
          <w:szCs w:val="20"/>
        </w:rPr>
        <w:t xml:space="preserve">Prioritize FTD/ASA rule-db ingestion for Cumberland, Woonsocket, Middletown, and Windsor so per-rule zone/action detail reaches the same depth achieved for Shea's PA device in v1 — current v2 findings rely on the ACP registry's summary columns, not a full rule-db normalization.</w:t>
      </w:r>
    </w:p>
    <w:p>
      <w:pPr>
        <w:pStyle w:val="ListParagraph"/>
        <w:numPr>
          <w:ilvl w:val="0"/>
          <w:numId w:val="2"/>
        </w:numPr>
        <w:spacing w:after="60"/>
      </w:pPr>
      <w:r>
        <w:rPr>
          <w:rFonts w:ascii="Arial" w:cs="Arial" w:eastAsia="Arial" w:hAnsi="Arial"/>
          <w:color w:val="595959"/>
          <w:sz w:val="20"/>
          <w:szCs w:val="20"/>
        </w:rPr>
        <w:t xml:space="preserve">Treat Cumberland's INT_DCOM ACP (13,886 rules, no Intrusion Policy attached) as a priority remediation candidate — it is both the largest PCI-adjacent rule set in this collection and the one with zero inspection coverage.</w:t>
      </w:r>
    </w:p>
    <w:p>
      <w:pPr>
        <w:pStyle w:val="ListParagraph"/>
        <w:numPr>
          <w:ilvl w:val="0"/>
          <w:numId w:val="2"/>
        </w:numPr>
        <w:spacing w:after="60"/>
      </w:pPr>
      <w:r>
        <w:rPr>
          <w:rFonts w:ascii="Arial" w:cs="Arial" w:eastAsia="Arial" w:hAnsi="Arial"/>
          <w:color w:val="595959"/>
          <w:sz w:val="20"/>
          <w:szCs w:val="20"/>
        </w:rPr>
        <w:t xml:space="preserve">Confirm with the RETAIL_INTPCI / EXT_DCOM / STRATUS_ACCESS policy owner(s) whether Detection-mode deployment reflects a documented, time-bound tuning window or an unmanaged permanent state; if the latter, remediate to blocking action on critical/high severity and botnet-domain detection at minimum — mirroring the recommendation already made for Shea's Alert-All-SPG in v1.</w:t>
      </w:r>
    </w:p>
    <w:p>
      <w:pPr>
        <w:pStyle w:val="ListParagraph"/>
        <w:numPr>
          <w:ilvl w:val="0"/>
          <w:numId w:val="2"/>
        </w:numPr>
        <w:spacing w:after="60"/>
      </w:pPr>
      <w:r>
        <w:rPr>
          <w:rFonts w:ascii="Arial" w:cs="Arial" w:eastAsia="Arial" w:hAnsi="Arial"/>
          <w:color w:val="595959"/>
          <w:sz w:val="20"/>
          <w:szCs w:val="20"/>
        </w:rPr>
        <w:t xml:space="preserve">Obtain a sign-off decision on the RelayHealth (Woonsocket) and Stratus (Cumberland) local third-party connections — document them as approved exceptions to the Vegas-hub default, or plan migration.</w:t>
      </w:r>
    </w:p>
    <w:p>
      <w:pPr>
        <w:pStyle w:val="ListParagraph"/>
        <w:numPr>
          <w:ilvl w:val="0"/>
          <w:numId w:val="2"/>
        </w:numPr>
        <w:spacing w:after="60"/>
      </w:pPr>
      <w:r>
        <w:rPr>
          <w:rFonts w:ascii="Arial" w:cs="Arial" w:eastAsia="Arial" w:hAnsi="Arial"/>
          <w:color w:val="595959"/>
          <w:sz w:val="20"/>
          <w:szCs w:val="20"/>
        </w:rPr>
        <w:t xml:space="preserve">Confirm the PCI transaction model (browser-redirect vs. server-side pass-through) before authorizing SSL decrypt on any PCI egress rule, per the Operational Model §4 — unchanged from v1, still open.</w:t>
      </w:r>
    </w:p>
    <w:p>
      <w:pPr>
        <w:pStyle w:val="ListParagraph"/>
        <w:numPr>
          <w:ilvl w:val="0"/>
          <w:numId w:val="2"/>
        </w:numPr>
        <w:spacing w:after="60"/>
      </w:pPr>
      <w:r>
        <w:rPr>
          <w:rFonts w:ascii="Arial" w:cs="Arial" w:eastAsia="Arial" w:hAnsi="Arial"/>
          <w:color w:val="595959"/>
          <w:sz w:val="20"/>
          <w:szCs w:val="20"/>
        </w:rPr>
        <w:t xml:space="preserve">Confirm what traffic actually traverses officeext-pa's vpn1/vpn2 zones at Middletown/Windsor — unchanged from v1, still open.</w:t>
      </w:r>
    </w:p>
    <w:p>
      <w:pPr>
        <w:pStyle w:val="ListParagraph"/>
        <w:numPr>
          <w:ilvl w:val="0"/>
          <w:numId w:val="2"/>
        </w:numPr>
        <w:spacing w:after="60"/>
      </w:pPr>
      <w:r>
        <w:rPr>
          <w:rFonts w:ascii="Arial" w:cs="Arial" w:eastAsia="Arial" w:hAnsi="Arial"/>
          <w:color w:val="595959"/>
          <w:sz w:val="20"/>
          <w:szCs w:val="20"/>
        </w:rPr>
        <w:t xml:space="preserve">Decide whether to formally expand this assessment's scope to Honolulu, Pittsburgh, and San Antonio, and confirm HA pairing at the latter two sites, where only a single device appears in the registry.</w:t>
      </w:r>
    </w:p>
    <w:p>
      <w:pPr>
        <w:pStyle w:val="ListParagraph"/>
        <w:numPr>
          <w:ilvl w:val="0"/>
          <w:numId w:val="2"/>
        </w:numPr>
        <w:spacing w:after="60"/>
      </w:pPr>
      <w:r>
        <w:rPr>
          <w:rFonts w:ascii="Arial" w:cs="Arial" w:eastAsia="Arial" w:hAnsi="Arial"/>
          <w:color w:val="595959"/>
          <w:sz w:val="20"/>
          <w:szCs w:val="20"/>
        </w:rPr>
        <w:t xml:space="preserve">Confirm disposition of the stale Z_INACTIVE_LEGACY_PCI_PBM policy on the Shea FMC manager.</w:t>
      </w:r>
    </w:p>
    <w:p>
      <w:r>
        <w:t xml:space="preserve"/>
      </w:r>
    </w:p>
    <w:p>
      <w:pPr>
        <w:spacing w:after="100"/>
      </w:pPr>
      <w:r>
        <w:rPr>
          <w:rFonts w:ascii="Arial" w:cs="Arial" w:eastAsia="Arial" w:hAnsi="Arial"/>
          <w:i/>
          <w:iCs/>
          <w:color w:val="AAAAAA"/>
          <w:sz w:val="20"/>
          <w:szCs w:val="20"/>
        </w:rPr>
        <w:t xml:space="preserve">Prepared by: Network Security Engineering  |  Data sources: PCI_Current_State_Assessment.docx (v1), ipam_db_collect_20260909 (ipam-db.py v3.37.5) — fw_location_topology, pci_topology_registry, pci_subnet_index, aetna_pci_fw_mgmt_ips, cvs_pci_fw_mgmt_ips, FW-INTERFACE-INVENTORY, fw_config_manifest, P2P-FTD-LINK-REGISTRY  |  September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val="false"/>
      <w:bCs w:val="false"/>
      <w:color w:val="404040"/>
      <w:sz w:val="30"/>
      <w:szCs w:val="30"/>
    </w:rPr>
  </w:style>
  <w:style w:type="paragraph" w:styleId="Heading2">
    <w:name w:val="Heading 2"/>
    <w:basedOn w:val="Normal"/>
    <w:next w:val="Normal"/>
    <w:qFormat/>
    <w:pPr>
      <w:spacing w:after="100" w:before="240"/>
      <w:outlineLvl w:val="1"/>
    </w:pPr>
    <w:rPr>
      <w:rFonts w:ascii="Arial" w:cs="Arial" w:eastAsia="Arial" w:hAnsi="Arial"/>
      <w:b w:val="false"/>
      <w:bCs w:val="false"/>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2026-09-09T15:44:48.851Z</dcterms:created>
  <dcterms:modified xsi:type="dcterms:W3CDTF">2026-09-09T15:44:48.851Z</dcterms:modified>
</cp:coreProperties>
</file>

<file path=docProps/custom.xml><?xml version="1.0" encoding="utf-8"?>
<Properties xmlns="http://schemas.openxmlformats.org/officeDocument/2006/custom-properties" xmlns:vt="http://schemas.openxmlformats.org/officeDocument/2006/docPropsVTypes"/>
</file>