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7447C" w:sz="24" w:space="12"/>
        </w:pBdr>
        <w:spacing w:after="60"/>
        <w:ind w:left="280"/>
      </w:pPr>
      <w:r>
        <w:rPr>
          <w:rFonts w:ascii="Arial" w:cs="Arial" w:eastAsia="Arial" w:hAnsi="Arial"/>
          <w:b w:val="false"/>
          <w:bCs w:val="false"/>
          <w:color w:val="595959"/>
          <w:sz w:val="18"/>
          <w:szCs w:val="18"/>
        </w:rPr>
        <w:t xml:space="preserve">CVS Health  |  Network Security Engineering</w:t>
      </w:r>
    </w:p>
    <w:p>
      <w:pPr>
        <w:pBdr>
          <w:left w:val="single" w:color="17447C" w:sz="24" w:space="12"/>
        </w:pBdr>
        <w:spacing w:after="60"/>
        <w:ind w:left="280"/>
      </w:pPr>
      <w:r>
        <w:rPr>
          <w:rFonts w:ascii="Arial" w:cs="Arial" w:eastAsia="Arial" w:hAnsi="Arial"/>
          <w:b w:val="false"/>
          <w:bCs w:val="false"/>
          <w:color w:val="404040"/>
          <w:sz w:val="44"/>
          <w:szCs w:val="44"/>
        </w:rPr>
        <w:t xml:space="preserve">PCI Cardholder Data Environment</w:t>
      </w:r>
    </w:p>
    <w:p>
      <w:pPr>
        <w:pBdr>
          <w:left w:val="single" w:color="17447C" w:sz="24" w:space="12"/>
        </w:pBdr>
        <w:spacing w:after="60"/>
        <w:ind w:left="280"/>
      </w:pPr>
      <w:r>
        <w:rPr>
          <w:rFonts w:ascii="Arial" w:cs="Arial" w:eastAsia="Arial" w:hAnsi="Arial"/>
          <w:b w:val="false"/>
          <w:bCs w:val="false"/>
          <w:color w:val="17447C"/>
          <w:sz w:val="28"/>
          <w:szCs w:val="28"/>
        </w:rPr>
        <w:t xml:space="preserve">Operational Security Model  —  Policy Definition Standard, Draft v2</w:t>
      </w:r>
    </w:p>
    <w:p>
      <w:pPr>
        <w:pBdr>
          <w:left w:val="single" w:color="17447C" w:sz="24" w:space="12"/>
        </w:pBdr>
        <w:spacing w:after="480"/>
        <w:ind w:left="280"/>
      </w:pPr>
      <w:r>
        <w:rPr>
          <w:rFonts w:ascii="Arial" w:cs="Arial" w:eastAsia="Arial" w:hAnsi="Arial"/>
          <w:b w:val="false"/>
          <w:bCs w:val="false"/>
          <w:color w:val="595959"/>
          <w:sz w:val="18"/>
          <w:szCs w:val="18"/>
        </w:rPr>
        <w:t xml:space="preserve">September 2026  –  Validated &amp; Expanded Against Enterprise IPAM/FW Collection (2026-09-09)  |  Network Security Engineering</w:t>
      </w:r>
    </w:p>
    <w:p>
      <w:pPr>
        <w:pStyle w:val="Heading1"/>
        <w:pBdr>
          <w:bottom w:val="single" w:color="17447C" w:sz="4" w:space="4"/>
        </w:pBdr>
      </w:pPr>
      <w:r>
        <w:rPr>
          <w:rFonts w:ascii="Arial" w:cs="Arial" w:eastAsia="Arial" w:hAnsi="Arial"/>
          <w:b w:val="false"/>
          <w:bCs w:val="false"/>
          <w:color w:val="404040"/>
          <w:sz w:val="30"/>
          <w:szCs w:val="30"/>
        </w:rPr>
        <w:t xml:space="preserve">1. Purpose</w:t>
      </w:r>
    </w:p>
    <w:p>
      <w:pPr>
        <w:spacing w:after="100"/>
      </w:pPr>
      <w:r>
        <w:rPr>
          <w:rFonts w:ascii="Arial" w:cs="Arial" w:eastAsia="Arial" w:hAnsi="Arial"/>
          <w:color w:val="595959"/>
          <w:sz w:val="20"/>
          <w:szCs w:val="20"/>
        </w:rPr>
        <w:t xml:space="preserve">This document defines how firewall, WAF, and network-inspection policy should be structured and enforced across the PCI cardholder data environment (CDE). Draft v1 based this standard on the enforcement-point model observed at four sites — Shea, Vegas, Middletown/Windsor, and Rhode Island (Woonsocket/Cumberland) — using only Panorama-managed Palo Alto (PA) configuration exports.</w:t>
      </w:r>
    </w:p>
    <w:p>
      <w:pPr>
        <w:spacing w:after="100"/>
      </w:pPr>
      <w:r>
        <w:rPr>
          <w:rFonts w:ascii="Arial" w:cs="Arial" w:eastAsia="Arial" w:hAnsi="Arial"/>
          <w:color w:val="595959"/>
          <w:sz w:val="20"/>
          <w:szCs w:val="20"/>
        </w:rPr>
        <w:t xml:space="preserve">Draft v2 validates that model against the full 2026-09-09 ipam-db/ip_dataset collection (ipam-db.py v3.37.5), which additionally covers Cisco Firepower Threat Defense (FTD) devices managed by Firepower Management Center (FMC) and standalone Cisco ASA devices. That data shows PCI-scope enforcement points exist on FTD/FMC and ASA infrastructure at every one of the four original sites, and at three sites not previously in scope (Honolulu HI, Pittsburgh PA, San Antonio TX). The companion document, "PCI Traffic Processing — Current State Assessment (v2)," documents these findings in full; this document's changes are limited to generalizing the standard so it is platform-neutral and enterprise-wide, and are marked inline as [v2].</w:t>
      </w:r>
    </w:p>
    <w:p>
      <w:pPr>
        <w:pStyle w:val="Heading1"/>
        <w:pBdr>
          <w:bottom w:val="single" w:color="17447C" w:sz="4" w:space="4"/>
        </w:pBdr>
      </w:pPr>
      <w:r>
        <w:rPr>
          <w:rFonts w:ascii="Arial" w:cs="Arial" w:eastAsia="Arial" w:hAnsi="Arial"/>
          <w:b w:val="false"/>
          <w:bCs w:val="false"/>
          <w:color w:val="404040"/>
          <w:sz w:val="30"/>
          <w:szCs w:val="30"/>
        </w:rPr>
        <w:t xml:space="preserve">2. Core Principle: Match the Control to the Question It Can Actually Answer</w:t>
      </w:r>
    </w:p>
    <w:p>
      <w:pPr>
        <w:spacing w:after="100"/>
      </w:pPr>
      <w:r>
        <w:rPr>
          <w:rFonts w:ascii="Arial" w:cs="Arial" w:eastAsia="Arial" w:hAnsi="Arial"/>
          <w:color w:val="595959"/>
          <w:sz w:val="20"/>
          <w:szCs w:val="20"/>
        </w:rPr>
        <w:t xml:space="preserve">Every enforcement point in this model answers exactly one of three questions, regardless of vendor platform. [v2] This principle is confirmed to apply identically on Palo Alto/Panorama and on Cisco FTD/FMC — the FTD Access Control Policy (ACP) with an attached Intrusion Policy plays the same last-line-of-defense role as a Palo Alto security-profile group bound to a PA rule; neither is a substitute for admission control at the firewall layer.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60"/>
      </w:tblGrid>
      <w:tr>
        <w:tc>
          <w:tcPr>
            <w:tcW w:type="dxa" w:w="2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Question it answers</w:t>
            </w:r>
          </w:p>
        </w:tc>
        <w:tc>
          <w:tcPr>
            <w:tcW w:type="dxa" w:w="316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Cannot answer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WAF (Akamai, edge)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Does this specific HTTP request look like an attack?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Whether already-admitted traffic is behaving maliciously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Firewall (DMZ FW, PCI FW, Internal FW — PA or FTD)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this connection be allowed to exist at all, between these two known identities?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Whether permitted traffic contains an exploit, C2 beacon, or exfiltration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IDS/IPS threat-prevention profile or FTD Intrusion Policy (bound to a firewall rule/ACP)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Is traffic that already passed WAF and firewall checks actually behaving like an intrusion or compromise?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Nothing upstream of it — this is the last line, not a substitute for the first two</w:t>
            </w:r>
          </w:p>
        </w:tc>
      </w:tr>
    </w:tbl>
    <w:p>
      <w:r>
        <w:t xml:space="preserve"/>
      </w:r>
    </w:p>
    <w:p>
      <w:pPr>
        <w:spacing w:after="100"/>
      </w:pPr>
      <w:r>
        <w:rPr>
          <w:rFonts w:ascii="Arial" w:cs="Arial" w:eastAsia="Arial" w:hAnsi="Arial"/>
          <w:color w:val="595959"/>
          <w:sz w:val="20"/>
          <w:szCs w:val="20"/>
        </w:rPr>
        <w:t xml:space="preserve">A firewall enforcing tight, well-documented rules is not evidence of intrusion detection. An Intrusion Policy attached to an FTD Access Control Policy in Detection mode is not evidence the traffic is blocked. Each layer's evidence should be presented and audited separately, never substituted for one another.</w:t>
      </w:r>
    </w:p>
    <w:p>
      <w:pPr>
        <w:pStyle w:val="Heading1"/>
        <w:pBdr>
          <w:bottom w:val="single" w:color="17447C" w:sz="4" w:space="4"/>
        </w:pBdr>
      </w:pPr>
      <w:r>
        <w:rPr>
          <w:rFonts w:ascii="Arial" w:cs="Arial" w:eastAsia="Arial" w:hAnsi="Arial"/>
          <w:b w:val="false"/>
          <w:bCs w:val="false"/>
          <w:color w:val="404040"/>
          <w:sz w:val="30"/>
          <w:szCs w:val="30"/>
        </w:rPr>
        <w:t xml:space="preserve">3. Ingress Model</w:t>
      </w:r>
    </w:p>
    <w:p>
      <w:pPr>
        <w:spacing w:after="100"/>
      </w:pPr>
      <w:r>
        <w:rPr>
          <w:rFonts w:ascii="Arial" w:cs="Arial" w:eastAsia="Arial" w:hAnsi="Arial"/>
          <w:i/>
          <w:iCs/>
          <w:color w:val="595959"/>
          <w:sz w:val="20"/>
          <w:szCs w:val="20"/>
        </w:rPr>
        <w:t xml:space="preserve">User → Akamai → Akamai WAF → DMZ FW Zone → DMZ F5 LB → Internal FW Zone → PCI FW → UI Zone → PCI FW → API Zone → PCI FW → DB Zone</w:t>
      </w:r>
    </w:p>
    <w:p>
      <w:pPr>
        <w:spacing w:after="100"/>
      </w:pPr>
      <w:r>
        <w:rPr>
          <w:rFonts w:ascii="Arial" w:cs="Arial" w:eastAsia="Arial" w:hAnsi="Arial"/>
          <w:color w:val="595959"/>
          <w:sz w:val="20"/>
          <w:szCs w:val="20"/>
        </w:rPr>
        <w:t xml:space="preserve">Standard requirements:</w:t>
      </w:r>
    </w:p>
    <w:p>
      <w:pPr>
        <w:pStyle w:val="ListParagraph"/>
        <w:numPr>
          <w:ilvl w:val="0"/>
          <w:numId w:val="2"/>
        </w:numPr>
        <w:spacing w:after="60"/>
      </w:pPr>
      <w:r>
        <w:rPr>
          <w:rFonts w:ascii="Arial" w:cs="Arial" w:eastAsia="Arial" w:hAnsi="Arial"/>
          <w:color w:val="595959"/>
          <w:sz w:val="20"/>
          <w:szCs w:val="20"/>
        </w:rPr>
        <w:t xml:space="preserve">Every hop connects only known, pinned IP identities — no hop in this chain should accept traffic from a dynamic or unqualified source. This is what makes admission-control-only enforcement sufficient at the FW/LB layers: there is no "unknown source" case for them to defend against internally.</w:t>
      </w:r>
    </w:p>
    <w:p>
      <w:pPr>
        <w:pStyle w:val="ListParagraph"/>
        <w:numPr>
          <w:ilvl w:val="0"/>
          <w:numId w:val="2"/>
        </w:numPr>
        <w:spacing w:after="60"/>
      </w:pPr>
      <w:r>
        <w:rPr>
          <w:rFonts w:ascii="Arial" w:cs="Arial" w:eastAsia="Arial" w:hAnsi="Arial"/>
          <w:color w:val="595959"/>
          <w:sz w:val="20"/>
          <w:szCs w:val="20"/>
        </w:rPr>
        <w:t xml:space="preserve">The PCI FW enforces the UI → API → DB tier boundaries as three explicit zone transitions, not one pass-through. Each tier boundary requires its own documented, justified rule set — a permit from UI to DB directly, bypassing API, is out of policy regardless of business justification claimed elsewhere. [v2] Confirmed in production at Middletown and Windsor, where the Aetna/HCB-heritage PCI CDE runs three independently-paired FTD firewalls per tier (web / app / sysadm) — a literal implementation of this requirement, using web/app/sysadm naming rather than UI/API/DB. This satisfies the intent of this requirement; the naming convention does not need to match literally.</w:t>
      </w:r>
    </w:p>
    <w:p>
      <w:pPr>
        <w:pStyle w:val="ListParagraph"/>
        <w:numPr>
          <w:ilvl w:val="0"/>
          <w:numId w:val="2"/>
        </w:numPr>
        <w:spacing w:after="60"/>
      </w:pPr>
      <w:r>
        <w:rPr>
          <w:rFonts w:ascii="Arial" w:cs="Arial" w:eastAsia="Arial" w:hAnsi="Arial"/>
          <w:color w:val="595959"/>
          <w:sz w:val="20"/>
          <w:szCs w:val="20"/>
        </w:rPr>
        <w:t xml:space="preserve">Akamai's WAF is the only Layer-7 application inspection point in this chain and is credited only for that function. It cannot be cited as evidence of network-layer intrusion detection for any hop downstream of it.</w:t>
      </w:r>
    </w:p>
    <w:p>
      <w:pPr>
        <w:pStyle w:val="ListParagraph"/>
        <w:numPr>
          <w:ilvl w:val="0"/>
          <w:numId w:val="2"/>
        </w:numPr>
        <w:spacing w:after="60"/>
      </w:pPr>
      <w:r>
        <w:rPr>
          <w:rFonts w:ascii="Arial" w:cs="Arial" w:eastAsia="Arial" w:hAnsi="Arial"/>
          <w:color w:val="595959"/>
          <w:sz w:val="20"/>
          <w:szCs w:val="20"/>
        </w:rPr>
        <w:t xml:space="preserve">The DMZ FW and PCI FW are internal segmentation boundaries and are not expected to run internet-facing threat-prevention profiles at production-blocking severity — their job is admission control, not inspection. Profile groups (PA) or Intrusion Policies (FTD) bound to these devices' rules should reflect that (light logging/visibility is appropriate; full blocking-mode IPS is not a requirement here the way it is at the internet-facing devices).</w:t>
      </w:r>
    </w:p>
    <w:p>
      <w:pPr>
        <w:pStyle w:val="Heading1"/>
        <w:pBdr>
          <w:bottom w:val="single" w:color="17447C" w:sz="4" w:space="4"/>
        </w:pBdr>
      </w:pPr>
      <w:r>
        <w:rPr>
          <w:rFonts w:ascii="Arial" w:cs="Arial" w:eastAsia="Arial" w:hAnsi="Arial"/>
          <w:b w:val="false"/>
          <w:bCs w:val="false"/>
          <w:color w:val="404040"/>
          <w:sz w:val="30"/>
          <w:szCs w:val="30"/>
        </w:rPr>
        <w:t xml:space="preserve">4. Egress Model</w:t>
      </w:r>
    </w:p>
    <w:p>
      <w:pPr>
        <w:spacing w:after="100"/>
      </w:pPr>
      <w:r>
        <w:rPr>
          <w:rFonts w:ascii="Arial" w:cs="Arial" w:eastAsia="Arial" w:hAnsi="Arial"/>
          <w:i/>
          <w:iCs/>
          <w:color w:val="595959"/>
          <w:sz w:val="20"/>
          <w:szCs w:val="20"/>
        </w:rPr>
        <w:t xml:space="preserve">PCI App (API Zone) → PCI FW → Egress FW Zone → Internet SaaS/API (payment processor / intermediary)</w:t>
      </w:r>
    </w:p>
    <w:p>
      <w:pPr>
        <w:spacing w:after="100"/>
      </w:pPr>
      <w:r>
        <w:rPr>
          <w:rFonts w:ascii="Arial" w:cs="Arial" w:eastAsia="Arial" w:hAnsi="Arial"/>
          <w:color w:val="595959"/>
          <w:sz w:val="20"/>
          <w:szCs w:val="20"/>
        </w:rPr>
        <w:t xml:space="preserve">Standard requirements:</w:t>
      </w:r>
    </w:p>
    <w:p>
      <w:pPr>
        <w:pStyle w:val="ListParagraph"/>
        <w:numPr>
          <w:ilvl w:val="0"/>
          <w:numId w:val="2"/>
        </w:numPr>
        <w:spacing w:after="60"/>
      </w:pPr>
      <w:r>
        <w:rPr>
          <w:rFonts w:ascii="Arial" w:cs="Arial" w:eastAsia="Arial" w:hAnsi="Arial"/>
          <w:color w:val="595959"/>
          <w:sz w:val="20"/>
          <w:szCs w:val="20"/>
        </w:rPr>
        <w:t xml:space="preserve">Every PCI workload requires an explicit host/application-to-destination outbound rule at both the PCI FW and the site's Internet Egress FW — never a general "internet access allowed" rule at either hop. This satisfies PCI DSS Requirement 1.3.1 (outbound CDE traffic restricted to documented necessity) by construction: an attacker on a compromised PCI host cannot beacon to unauthorized infrastructure, because the destination was never permitted in the first place. [v2] This requirement applies equally to FTD Access Control Policies: an ACP rule built from broad/"any"-style network or port objects rather than specific host/application objects does not meet this standard even if the rule's action is permit-with-inspection, because it does not restrict the destination. The Current State Assessment (v2) documents CDE-adjacent ACPs where 100% of rules are built this way.</w:t>
      </w:r>
    </w:p>
    <w:p>
      <w:pPr>
        <w:pStyle w:val="ListParagraph"/>
        <w:numPr>
          <w:ilvl w:val="0"/>
          <w:numId w:val="2"/>
        </w:numPr>
        <w:spacing w:after="60"/>
      </w:pPr>
      <w:r>
        <w:rPr>
          <w:rFonts w:ascii="Arial" w:cs="Arial" w:eastAsia="Arial" w:hAnsi="Arial"/>
          <w:color w:val="595959"/>
          <w:sz w:val="20"/>
          <w:szCs w:val="20"/>
        </w:rPr>
        <w:t xml:space="preserve">Because the explicit-destination model closes off unauthorized destinations by default, the only channel a compromised PCI workload could abuse is the one legitimate, already-permitted destination — the payment processor/API intermediary. The Egress FW's threat-prevention profile (PA) or Intrusion Policy (FTD) on this specific rule/ACP is the control that exists to cover that one residual channel, and it is the one place in this model where the profile's or policy's action must be verified as enforcing (block/reset/drop on critical-high severity, sinkhole or block on botnet-domain detection), not merely alerting or running in Detection mode.</w:t>
      </w:r>
    </w:p>
    <w:p>
      <w:pPr>
        <w:pStyle w:val="ListParagraph"/>
        <w:numPr>
          <w:ilvl w:val="0"/>
          <w:numId w:val="2"/>
        </w:numPr>
        <w:spacing w:after="60"/>
      </w:pPr>
      <w:r>
        <w:rPr>
          <w:rFonts w:ascii="Arial" w:cs="Arial" w:eastAsia="Arial" w:hAnsi="Arial"/>
          <w:color w:val="595959"/>
          <w:sz w:val="20"/>
          <w:szCs w:val="20"/>
        </w:rPr>
        <w:t xml:space="preserve">SSL decryption on the PCI-to-intermediary egress channel is in scope and required, contingent on confirming the transaction model. Where the payment flow is a client-side/browser redirect to the processor's own hosted page (i.e., raw PAN never transits the PCI app tier), decrypting this M2M channel does not expose cardholder data and does not expand PCI scope for the decrypt point. Where the PCI app tier itself constructs and transmits the PAN, decrypt infrastructure must be evaluated and operated as in-scope PCI infrastructure in its own right (Requirements 3, 4, 7, 8, 10 apply to the decrypt point). Confirm which model applies before implementing decrypt on any given PCI egress rule.</w:t>
      </w:r>
    </w:p>
    <w:p>
      <w:pPr>
        <w:pStyle w:val="ListParagraph"/>
        <w:numPr>
          <w:ilvl w:val="0"/>
          <w:numId w:val="2"/>
        </w:numPr>
        <w:spacing w:after="60"/>
      </w:pPr>
      <w:r>
        <w:rPr>
          <w:rFonts w:ascii="Arial" w:cs="Arial" w:eastAsia="Arial" w:hAnsi="Arial"/>
          <w:color w:val="595959"/>
          <w:sz w:val="20"/>
          <w:szCs w:val="20"/>
        </w:rPr>
        <w:t xml:space="preserve">DNS resolution from PCI workloads must be restricted the same way HTTPS egress is — general DNS resolution is a documented bypass path for allow-list-based egress control (DNS tunneling) and is not addressed by an HTTPS-only host/app rule. [v2] Still unconfirmed anywhere in the estate as of this draft, PA or FTD.</w:t>
      </w:r>
    </w:p>
    <w:p>
      <w:pPr>
        <w:pStyle w:val="Heading1"/>
        <w:pBdr>
          <w:bottom w:val="single" w:color="17447C" w:sz="4" w:space="4"/>
        </w:pBdr>
      </w:pPr>
      <w:r>
        <w:rPr>
          <w:rFonts w:ascii="Arial" w:cs="Arial" w:eastAsia="Arial" w:hAnsi="Arial"/>
          <w:b w:val="false"/>
          <w:bCs w:val="false"/>
          <w:color w:val="404040"/>
          <w:sz w:val="30"/>
          <w:szCs w:val="30"/>
        </w:rPr>
        <w:t xml:space="preserve">5. Enforcement Verification Standard</w:t>
      </w:r>
    </w:p>
    <w:p>
      <w:pPr>
        <w:spacing w:after="100"/>
      </w:pPr>
      <w:r>
        <w:rPr>
          <w:rFonts w:ascii="Arial" w:cs="Arial" w:eastAsia="Arial" w:hAnsi="Arial"/>
          <w:color w:val="595959"/>
          <w:sz w:val="20"/>
          <w:szCs w:val="20"/>
        </w:rPr>
        <w:t xml:space="preserve">A security profile or Intrusion Policy being attached to a rule/ACP is not evidence the rule enforces anything. Verification must confirm the actual configured action, not just its presence or its name — a profile named "Best Practice" is not guaranteed to block, an FTD ACP with an Intrusion Policy attached is not guaranteed to be in blocking ("Protection") mode rather than "Detection," and a policy that should be alert-only during a documented tuning window is not the same defect as one left permanently in alert/detection mode with no tuning plan.</w:t>
      </w:r>
    </w:p>
    <w:p>
      <w:pPr>
        <w:spacing w:after="100"/>
      </w:pPr>
      <w:r>
        <w:rPr>
          <w:rFonts w:ascii="Arial" w:cs="Arial" w:eastAsia="Arial" w:hAnsi="Arial"/>
          <w:color w:val="595959"/>
          <w:sz w:val="20"/>
          <w:szCs w:val="20"/>
        </w:rPr>
        <w:t xml:space="preserve">Minimum verification for any PCI-adjacent rule or ACP:</w:t>
      </w:r>
    </w:p>
    <w:p>
      <w:pPr>
        <w:pStyle w:val="ListParagraph"/>
        <w:numPr>
          <w:ilvl w:val="0"/>
          <w:numId w:val="2"/>
        </w:numPr>
        <w:spacing w:after="60"/>
      </w:pPr>
      <w:r>
        <w:rPr>
          <w:rFonts w:ascii="Arial" w:cs="Arial" w:eastAsia="Arial" w:hAnsi="Arial"/>
          <w:color w:val="595959"/>
          <w:sz w:val="20"/>
          <w:szCs w:val="20"/>
        </w:rPr>
        <w:t xml:space="preserve">Vulnerability-protection profile (PA) or Intrusion Policy (FTD): confirm the action for critical/high severity is block/reset — or, for FTD, that the policy is deployed in a blocking mode rather than pure Detection — not alert-only, on production rules (a documented, time-bound tuning exception is acceptable and should be tracked with an end date).</w:t>
      </w:r>
    </w:p>
    <w:p>
      <w:pPr>
        <w:pStyle w:val="ListParagraph"/>
        <w:numPr>
          <w:ilvl w:val="0"/>
          <w:numId w:val="2"/>
        </w:numPr>
        <w:spacing w:after="60"/>
      </w:pPr>
      <w:r>
        <w:rPr>
          <w:rFonts w:ascii="Arial" w:cs="Arial" w:eastAsia="Arial" w:hAnsi="Arial"/>
          <w:color w:val="595959"/>
          <w:sz w:val="20"/>
          <w:szCs w:val="20"/>
        </w:rPr>
        <w:t xml:space="preserve">Anti-spyware profile (PA) or equivalent botnet/C2 detection in the FTD Intrusion/File policy: confirm botnet-domain detection action is block/sinkhole, not alert — this is the specific mechanism relevant to C2 beaconing detection.</w:t>
      </w:r>
    </w:p>
    <w:p>
      <w:pPr>
        <w:pStyle w:val="ListParagraph"/>
        <w:numPr>
          <w:ilvl w:val="0"/>
          <w:numId w:val="2"/>
        </w:numPr>
        <w:spacing w:after="60"/>
      </w:pPr>
      <w:r>
        <w:rPr>
          <w:rFonts w:ascii="Arial" w:cs="Arial" w:eastAsia="Arial" w:hAnsi="Arial"/>
          <w:color w:val="595959"/>
          <w:sz w:val="20"/>
          <w:szCs w:val="20"/>
        </w:rPr>
        <w:t xml:space="preserve">[v2] For FTD Access Control Policies specifically: confirm what fraction of rules are built from specific host/application objects versus broad or "any"-style network/port objects. An ACP where all or nearly all rules use broad objects functions as a permit-any regardless of the Intrusion Policy attached to it, and should be treated as a Section 3/4 admission-control gap, not only a Section 5 inspection gap.</w:t>
      </w:r>
    </w:p>
    <w:p>
      <w:pPr>
        <w:pStyle w:val="ListParagraph"/>
        <w:numPr>
          <w:ilvl w:val="0"/>
          <w:numId w:val="2"/>
        </w:numPr>
        <w:spacing w:after="60"/>
      </w:pPr>
      <w:r>
        <w:rPr>
          <w:rFonts w:ascii="Arial" w:cs="Arial" w:eastAsia="Arial" w:hAnsi="Arial"/>
          <w:color w:val="595959"/>
          <w:sz w:val="20"/>
          <w:szCs w:val="20"/>
        </w:rPr>
        <w:t xml:space="preserve">Record which physical device and rule the profile/policy is bound to, and which logical role (WAF / DMZ FW / PCI FW / Egress FW) that device performs, and which management plane governs it (Panorama, FMC, or CSM/local) — a finding against the wrong logical layer, or attributed to the wrong management plane, produces the wrong remediation owner.</w:t>
      </w:r>
    </w:p>
    <w:p>
      <w:pPr>
        <w:pStyle w:val="Heading1"/>
        <w:pBdr>
          <w:bottom w:val="single" w:color="17447C" w:sz="4" w:space="4"/>
        </w:pBdr>
      </w:pPr>
      <w:r>
        <w:rPr>
          <w:rFonts w:ascii="Arial" w:cs="Arial" w:eastAsia="Arial" w:hAnsi="Arial"/>
          <w:b w:val="false"/>
          <w:bCs w:val="false"/>
          <w:color w:val="404040"/>
          <w:sz w:val="30"/>
          <w:szCs w:val="30"/>
        </w:rPr>
        <w:t xml:space="preserve">6. Site Topology Constraints This Model Must Accommodate</w:t>
      </w:r>
    </w:p>
    <w:p>
      <w:pPr>
        <w:spacing w:after="100"/>
      </w:pPr>
      <w:r>
        <w:rPr>
          <w:rFonts w:ascii="Arial" w:cs="Arial" w:eastAsia="Arial" w:hAnsi="Arial"/>
          <w:color w:val="595959"/>
          <w:sz w:val="20"/>
          <w:szCs w:val="20"/>
        </w:rPr>
        <w:t xml:space="preserve">The logical model in Sections 3–4 is implemented differently at each site; policy language should describe the logical roles, and site runbooks should map those roles to the actual local device names. [v2] This table is expanded from v1 to include the FTD/FMC and ASA-managed PCI CDE firewalls identified in the 2026-09-09 collection, and three additional sites with confirmed PCI CDE enforcement points that were outside v1's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c>
          <w:tcPr>
            <w:tcW w:type="dxa" w:w="2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Site</w:t>
            </w:r>
          </w:p>
        </w:tc>
        <w:tc>
          <w:tcPr>
            <w:tcW w:type="dxa" w:w="47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PCI CDE firewall(s) / management plane</w:t>
            </w:r>
          </w:p>
        </w:tc>
        <w:tc>
          <w:tcPr>
            <w:tcW w:type="dxa" w:w="266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Third-party connectivity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Shea (Scottsdale AZ)</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Combined DMZ/Egress PA pair (v1); plus PAZSHDC-SEC-INTPCI-01/02, an FMC-managed FTD pair with 5 VLAN sub-interfaces each (33/35/100/113/114) [v2, new]</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hosted locally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Vegas</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Separate DMZ (ext-dmz-pa-fw) and Egress (ext-pa-fw) PA devices; no dedicated PCI CDE firewall identified in this collection</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Hosted locally — 3rd-pa-fw, named per-partner tunnels (WEX-Meritain, EBIX-Meritain)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Middletown CT (Aetna MDC)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Three independent FTD HA pairs, one per tier: mid-fw-pciprod-web-ftd-1/2 (NAMEIF webfarm), mid-fw-pciprod-app-ftd-1/2 (appfarm), mid-fw-pciprod-sysadm-ftd-1/2 (sysadm) [v2, new]</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hosted locally — routes via Vegas hub (unconfirmed for PCI tier — see Assessment v2 §3.6)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Windsor CT (Aetna WDC)</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Structurally identical to Middletown: win-fw-pciprod-web/app/sysadm-ftd-1/2 [v2, new]</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hosted locally — as above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Cumberland RI</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RRICMDC-SEC-INT-PCI-01/02, FMC-managed FTD pair (manager rricmdc-sec-mgt-prd-pci-01); largest CDE firewall by rule volume in this collection [v2, new]</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Local exception: STRATUS_ACCESS ACP (Stratus partner, 248 rules) [v2, new]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Woonsocket RI</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RRIWSDC-SEC-INTPCIFTD-01/02, FMC-managed FTD pair [v2, new]</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Local exception: RelayHealth_DMZ interface present directly on the PCI FW [v2, new]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Honolulu HI (Mail Order)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HOL-SEC-M1A-PCI-01/02, PA pair, CSM-managed [v2, new — outside v1 scope]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hosted locally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Pittsburgh PA (Corporate)</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PIH-SEC-M1A-PCI-01, ASA, CSM-managed — only one device found; HA pairing unconfirmed [v2, new — outside v1 scope]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hosted locally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San Antonio TX (Mail Order MDF)</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ptxsnmosecintpcimdf-1, ASA, CSM-managed — only one device found; HA pairing unconfirmed [v2, new — outside v1 scope]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hosted locally</w:t>
            </w:r>
          </w:p>
        </w:tc>
      </w:tr>
    </w:tbl>
    <w:p>
      <w:r>
        <w:t xml:space="preserve"/>
      </w:r>
    </w:p>
    <w:p>
      <w:pPr>
        <w:spacing w:after="100"/>
      </w:pPr>
      <w:r>
        <w:rPr>
          <w:rFonts w:ascii="Arial" w:cs="Arial" w:eastAsia="Arial" w:hAnsi="Arial"/>
          <w:color w:val="595959"/>
          <w:sz w:val="20"/>
          <w:szCs w:val="20"/>
        </w:rPr>
        <w:t xml:space="preserve">Any new third-party partner connection should default to the Vegas hub pattern (named per-partner tunnel, proxy-ID scoped) rather than being provisioned locally at another site, unless a documented exception is approved. [v2] The RelayHealth interface at Woonsocket and the Stratus ACP at Cumberland are existing exceptions to this default that predate this standard and require an explicit sign-off decision (see Section 7) rather than an assumption that they are already approved.</w:t>
      </w:r>
    </w:p>
    <w:p>
      <w:pPr>
        <w:pStyle w:val="Heading1"/>
        <w:pBdr>
          <w:bottom w:val="single" w:color="17447C" w:sz="4" w:space="4"/>
        </w:pBdr>
      </w:pPr>
      <w:r>
        <w:rPr>
          <w:rFonts w:ascii="Arial" w:cs="Arial" w:eastAsia="Arial" w:hAnsi="Arial"/>
          <w:b w:val="false"/>
          <w:bCs w:val="false"/>
          <w:color w:val="404040"/>
          <w:sz w:val="30"/>
          <w:szCs w:val="30"/>
        </w:rPr>
        <w:t xml:space="preserve">7. Open Decisions Requiring Sign-off</w:t>
      </w:r>
    </w:p>
    <w:p>
      <w:pPr>
        <w:pStyle w:val="ListParagraph"/>
        <w:numPr>
          <w:ilvl w:val="0"/>
          <w:numId w:val="2"/>
        </w:numPr>
        <w:spacing w:after="60"/>
      </w:pPr>
      <w:r>
        <w:rPr>
          <w:rFonts w:ascii="Arial" w:cs="Arial" w:eastAsia="Arial" w:hAnsi="Arial"/>
          <w:color w:val="595959"/>
          <w:sz w:val="20"/>
          <w:szCs w:val="20"/>
        </w:rPr>
        <w:t xml:space="preserve">Whether SSL decrypt is authorized for PCI egress depends on confirming the transaction model per Section 4 — this is a decision for PCI/compliance leadership, not a default engineering choice.</w:t>
      </w:r>
    </w:p>
    <w:p>
      <w:pPr>
        <w:pStyle w:val="ListParagraph"/>
        <w:numPr>
          <w:ilvl w:val="0"/>
          <w:numId w:val="2"/>
        </w:numPr>
        <w:spacing w:after="60"/>
      </w:pPr>
      <w:r>
        <w:rPr>
          <w:rFonts w:ascii="Arial" w:cs="Arial" w:eastAsia="Arial" w:hAnsi="Arial"/>
          <w:color w:val="595959"/>
          <w:sz w:val="20"/>
          <w:szCs w:val="20"/>
        </w:rPr>
        <w:t xml:space="preserve">Acceptable tuning-window duration for a threat-prevention profile or FTD Intrusion Policy before it must be promoted to enforcing/blocking action on a production PCI-adjacent rule.</w:t>
      </w:r>
    </w:p>
    <w:p>
      <w:pPr>
        <w:pStyle w:val="ListParagraph"/>
        <w:numPr>
          <w:ilvl w:val="0"/>
          <w:numId w:val="2"/>
        </w:numPr>
        <w:spacing w:after="60"/>
      </w:pPr>
      <w:r>
        <w:rPr>
          <w:rFonts w:ascii="Arial" w:cs="Arial" w:eastAsia="Arial" w:hAnsi="Arial"/>
          <w:color w:val="595959"/>
          <w:sz w:val="20"/>
          <w:szCs w:val="20"/>
        </w:rPr>
        <w:t xml:space="preserve">Whether DNS egress restriction for PCI workloads is currently implemented anywhere in the estate — not yet confirmed as of this draft, on PA or FTD.</w:t>
      </w:r>
    </w:p>
    <w:p>
      <w:pPr>
        <w:pStyle w:val="ListParagraph"/>
        <w:numPr>
          <w:ilvl w:val="0"/>
          <w:numId w:val="2"/>
        </w:numPr>
        <w:spacing w:after="60"/>
      </w:pPr>
      <w:r>
        <w:rPr>
          <w:rFonts w:ascii="Arial" w:cs="Arial" w:eastAsia="Arial" w:hAnsi="Arial"/>
          <w:color w:val="595959"/>
          <w:sz w:val="20"/>
          <w:szCs w:val="20"/>
        </w:rPr>
        <w:t xml:space="preserve">[v2] Whether the RelayHealth (Woonsocket) and Stratus (Cumberland) local third-party connections are approved, documented exceptions to the Vegas-hub default, or should be migrated.</w:t>
      </w:r>
    </w:p>
    <w:p>
      <w:pPr>
        <w:pStyle w:val="ListParagraph"/>
        <w:numPr>
          <w:ilvl w:val="0"/>
          <w:numId w:val="2"/>
        </w:numPr>
        <w:spacing w:after="60"/>
      </w:pPr>
      <w:r>
        <w:rPr>
          <w:rFonts w:ascii="Arial" w:cs="Arial" w:eastAsia="Arial" w:hAnsi="Arial"/>
          <w:color w:val="595959"/>
          <w:sz w:val="20"/>
          <w:szCs w:val="20"/>
        </w:rPr>
        <w:t xml:space="preserve">[v2] Whether the Mail Order (Honolulu, San Antonio) and Pittsburgh Corporate PCI zones are governed by this same operational model or require a site-specific addendum — their traffic pattern (device role, rule counts) has not yet been characterized to the depth of Sections 3–5.</w:t>
      </w:r>
    </w:p>
    <w:p>
      <w:pPr>
        <w:pStyle w:val="ListParagraph"/>
        <w:numPr>
          <w:ilvl w:val="0"/>
          <w:numId w:val="2"/>
        </w:numPr>
        <w:spacing w:after="60"/>
      </w:pPr>
      <w:r>
        <w:rPr>
          <w:rFonts w:ascii="Arial" w:cs="Arial" w:eastAsia="Arial" w:hAnsi="Arial"/>
          <w:color w:val="595959"/>
          <w:sz w:val="20"/>
          <w:szCs w:val="20"/>
        </w:rPr>
        <w:t xml:space="preserve">[v2] Disposition of the orphaned device record PAZSHDCSECINTFTDPCI-01 at Shea (ASA type, no EGR_CODE or HERITAGE tag in the IPAM registry) — needs reconciliation before it can be brought into or excluded from this model with confidence.</w:t>
      </w:r>
    </w:p>
    <w:p>
      <w:r>
        <w:t xml:space="preserve"/>
      </w:r>
    </w:p>
    <w:p>
      <w:pPr>
        <w:spacing w:after="100"/>
      </w:pPr>
      <w:r>
        <w:rPr>
          <w:rFonts w:ascii="Arial" w:cs="Arial" w:eastAsia="Arial" w:hAnsi="Arial"/>
          <w:i/>
          <w:iCs/>
          <w:color w:val="AAAAAA"/>
          <w:sz w:val="20"/>
          <w:szCs w:val="20"/>
        </w:rPr>
        <w:t xml:space="preserve">Prepared by: Network Security Engineering  |  Data sources: PCI_Operational_Model.docx (Draft v1), PCI_Current_State_Assessment.docx (v1), ipam_db_collect_20260909 (ipam-db.py v3.37.5)  |  September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val="false"/>
      <w:bCs w:val="false"/>
      <w:color w:val="404040"/>
      <w:sz w:val="30"/>
      <w:szCs w:val="30"/>
    </w:rPr>
  </w:style>
  <w:style w:type="paragraph" w:styleId="Heading2">
    <w:name w:val="Heading 2"/>
    <w:basedOn w:val="Normal"/>
    <w:next w:val="Normal"/>
    <w:qFormat/>
    <w:pPr>
      <w:spacing w:after="100" w:before="240"/>
      <w:outlineLvl w:val="1"/>
    </w:pPr>
    <w:rPr>
      <w:rFonts w:ascii="Arial" w:cs="Arial" w:eastAsia="Arial" w:hAnsi="Arial"/>
      <w:b w:val="false"/>
      <w:bCs w:val="false"/>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2026-09-09T15:44:48.792Z</dcterms:created>
  <dcterms:modified xsi:type="dcterms:W3CDTF">2026-09-09T15:44:48.813Z</dcterms:modified>
</cp:coreProperties>
</file>

<file path=docProps/custom.xml><?xml version="1.0" encoding="utf-8"?>
<Properties xmlns="http://schemas.openxmlformats.org/officeDocument/2006/custom-properties" xmlns:vt="http://schemas.openxmlformats.org/officeDocument/2006/docPropsVTypes"/>
</file>