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PCI Cardholder Data Environment — Operational Security Model</w:t>
      </w:r>
    </w:p>
    <w:p>
      <w:pPr>
        <w:spacing w:after="40"/>
      </w:pPr>
      <w:r>
        <w:rPr>
          <w:rFonts w:ascii="Arial" w:cs="Arial" w:eastAsia="Arial" w:hAnsi="Arial"/>
          <w:i/>
          <w:iCs/>
          <w:sz w:val="22"/>
          <w:szCs w:val="22"/>
        </w:rPr>
        <w:t xml:space="preserve">Policy Definition Standard — Draft v1</w:t>
      </w:r>
    </w:p>
    <w:p>
      <w:pPr>
        <w:spacing w:after="300"/>
      </w:pPr>
      <w:r>
        <w:rPr>
          <w:rFonts w:ascii="Arial" w:cs="Arial" w:eastAsia="Arial" w:hAnsi="Arial"/>
          <w:sz w:val="20"/>
          <w:szCs w:val="20"/>
        </w:rPr>
        <w:t xml:space="preserve">CVS Health — Network Security Engineering | September 2026</w:t>
      </w:r>
    </w:p>
    <w:p>
      <w:pPr>
        <w:pStyle w:val="Heading1"/>
        <w:spacing w:after="160" w:before="360"/>
      </w:pPr>
      <w:r>
        <w:t xml:space="preserve">1. Purpose</w:t>
      </w:r>
    </w:p>
    <w:p>
      <w:pPr>
        <w:spacing w:after="140"/>
      </w:pPr>
      <w:r>
        <w:rPr>
          <w:rFonts w:ascii="Arial" w:cs="Arial" w:eastAsia="Arial" w:hAnsi="Arial"/>
          <w:b w:val="false"/>
          <w:bCs w:val="false"/>
          <w:i w:val="false"/>
          <w:iCs w:val="false"/>
          <w:sz w:val="22"/>
          <w:szCs w:val="22"/>
        </w:rPr>
        <w:t xml:space="preserve">This document defines how firewall, WAF, and network-inspection policy should be structured and enforced across the PCI cardholder data environment (CDE), based on the enforcement-point model established for the Shea, Vegas, Middletown/Windsor, and Rhode Island (Woonsocket/Cumberland) sites. It is the target operational standard — the companion document, "PCI Traffic Processing — Current State Assessment," describes what is actually configured today and where it diverges from this standard.</w:t>
      </w:r>
    </w:p>
    <w:p>
      <w:pPr>
        <w:pStyle w:val="Heading1"/>
        <w:spacing w:after="160" w:before="360"/>
      </w:pPr>
      <w:r>
        <w:t xml:space="preserve">2. Core Principle: Match the Control to the Question It Can Actually Answer</w:t>
      </w:r>
    </w:p>
    <w:p>
      <w:pPr>
        <w:spacing w:after="140"/>
      </w:pPr>
      <w:r>
        <w:rPr>
          <w:rFonts w:ascii="Arial" w:cs="Arial" w:eastAsia="Arial" w:hAnsi="Arial"/>
          <w:b w:val="false"/>
          <w:bCs w:val="false"/>
          <w:i w:val="false"/>
          <w:iCs w:val="false"/>
          <w:sz w:val="22"/>
          <w:szCs w:val="22"/>
        </w:rPr>
        <w:t xml:space="preserve">Every enforcement point in this model answers exactly one of three questions. Confusing which question a given device answers is the root cause of the coverage gaps found during this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00"/>
      </w:tblGrid>
      <w:tr>
        <w:tc>
          <w:tcPr>
            <w:tcW w:type="dxa" w:w="2800"/>
            <w:shd w:fill="1F4E78" w:val="clear"/>
          </w:tcPr>
          <w:p>
            <w:r>
              <w:rPr>
                <w:rFonts w:ascii="Arial" w:cs="Arial" w:eastAsia="Arial" w:hAnsi="Arial"/>
                <w:b/>
                <w:bCs/>
                <w:color w:val="FFFFFF"/>
                <w:sz w:val="20"/>
                <w:szCs w:val="20"/>
              </w:rPr>
              <w:t xml:space="preserve">Layer</w:t>
            </w:r>
          </w:p>
        </w:tc>
        <w:tc>
          <w:tcPr>
            <w:tcW w:type="dxa" w:w="3600"/>
            <w:shd w:fill="1F4E78" w:val="clear"/>
          </w:tcPr>
          <w:p>
            <w:r>
              <w:rPr>
                <w:rFonts w:ascii="Arial" w:cs="Arial" w:eastAsia="Arial" w:hAnsi="Arial"/>
                <w:b/>
                <w:bCs/>
                <w:color w:val="FFFFFF"/>
                <w:sz w:val="20"/>
                <w:szCs w:val="20"/>
              </w:rPr>
              <w:t xml:space="preserve">Question it answers</w:t>
            </w:r>
          </w:p>
        </w:tc>
        <w:tc>
          <w:tcPr>
            <w:tcW w:type="dxa" w:w="2600"/>
            <w:shd w:fill="1F4E78" w:val="clear"/>
          </w:tcPr>
          <w:p>
            <w:r>
              <w:rPr>
                <w:rFonts w:ascii="Arial" w:cs="Arial" w:eastAsia="Arial" w:hAnsi="Arial"/>
                <w:b/>
                <w:bCs/>
                <w:color w:val="FFFFFF"/>
                <w:sz w:val="20"/>
                <w:szCs w:val="20"/>
              </w:rPr>
              <w:t xml:space="preserve">Cannot answer</w:t>
            </w:r>
          </w:p>
        </w:tc>
      </w:tr>
      <w:tr>
        <w:tc>
          <w:tcPr>
            <w:tcW w:type="dxa" w:w="2800"/>
          </w:tcPr>
          <w:p>
            <w:r>
              <w:rPr>
                <w:rFonts w:ascii="Arial" w:cs="Arial" w:eastAsia="Arial" w:hAnsi="Arial"/>
                <w:sz w:val="20"/>
                <w:szCs w:val="20"/>
              </w:rPr>
              <w:t xml:space="preserve">WAF (Akamai, edge)</w:t>
            </w:r>
          </w:p>
        </w:tc>
        <w:tc>
          <w:tcPr>
            <w:tcW w:type="dxa" w:w="3600"/>
          </w:tcPr>
          <w:p>
            <w:r>
              <w:rPr>
                <w:rFonts w:ascii="Arial" w:cs="Arial" w:eastAsia="Arial" w:hAnsi="Arial"/>
                <w:sz w:val="20"/>
                <w:szCs w:val="20"/>
              </w:rPr>
              <w:t xml:space="preserve">Does this specific HTTP request look like an attack?</w:t>
            </w:r>
          </w:p>
        </w:tc>
        <w:tc>
          <w:tcPr>
            <w:tcW w:type="dxa" w:w="2600"/>
          </w:tcPr>
          <w:p>
            <w:r>
              <w:rPr>
                <w:rFonts w:ascii="Arial" w:cs="Arial" w:eastAsia="Arial" w:hAnsi="Arial"/>
                <w:sz w:val="20"/>
                <w:szCs w:val="20"/>
              </w:rPr>
              <w:t xml:space="preserve">Whether already-admitted traffic is behaving maliciously</w:t>
            </w:r>
          </w:p>
        </w:tc>
      </w:tr>
      <w:tr>
        <w:tc>
          <w:tcPr>
            <w:tcW w:type="dxa" w:w="2800"/>
          </w:tcPr>
          <w:p>
            <w:r>
              <w:rPr>
                <w:rFonts w:ascii="Arial" w:cs="Arial" w:eastAsia="Arial" w:hAnsi="Arial"/>
                <w:sz w:val="20"/>
                <w:szCs w:val="20"/>
              </w:rPr>
              <w:t xml:space="preserve">Firewall (DMZ FW, PCI FW, Internal FW)</w:t>
            </w:r>
          </w:p>
        </w:tc>
        <w:tc>
          <w:tcPr>
            <w:tcW w:type="dxa" w:w="3600"/>
          </w:tcPr>
          <w:p>
            <w:r>
              <w:rPr>
                <w:rFonts w:ascii="Arial" w:cs="Arial" w:eastAsia="Arial" w:hAnsi="Arial"/>
                <w:sz w:val="20"/>
                <w:szCs w:val="20"/>
              </w:rPr>
              <w:t xml:space="preserve">Should this connection be allowed to exist at all, between these two known identities?</w:t>
            </w:r>
          </w:p>
        </w:tc>
        <w:tc>
          <w:tcPr>
            <w:tcW w:type="dxa" w:w="2600"/>
          </w:tcPr>
          <w:p>
            <w:r>
              <w:rPr>
                <w:rFonts w:ascii="Arial" w:cs="Arial" w:eastAsia="Arial" w:hAnsi="Arial"/>
                <w:sz w:val="20"/>
                <w:szCs w:val="20"/>
              </w:rPr>
              <w:t xml:space="preserve">Whether permitted traffic contains an exploit, C2 beacon, or exfiltration</w:t>
            </w:r>
          </w:p>
        </w:tc>
      </w:tr>
      <w:tr>
        <w:tc>
          <w:tcPr>
            <w:tcW w:type="dxa" w:w="2800"/>
          </w:tcPr>
          <w:p>
            <w:r>
              <w:rPr>
                <w:rFonts w:ascii="Arial" w:cs="Arial" w:eastAsia="Arial" w:hAnsi="Arial"/>
                <w:sz w:val="20"/>
                <w:szCs w:val="20"/>
              </w:rPr>
              <w:t xml:space="preserve">IDS/IPS threat-prevention profile (bound to a firewall rule)</w:t>
            </w:r>
          </w:p>
        </w:tc>
        <w:tc>
          <w:tcPr>
            <w:tcW w:type="dxa" w:w="3600"/>
          </w:tcPr>
          <w:p>
            <w:r>
              <w:rPr>
                <w:rFonts w:ascii="Arial" w:cs="Arial" w:eastAsia="Arial" w:hAnsi="Arial"/>
                <w:sz w:val="20"/>
                <w:szCs w:val="20"/>
              </w:rPr>
              <w:t xml:space="preserve">Is traffic that already passed WAF and firewall checks actually behaving like an intrusion or compromise?</w:t>
            </w:r>
          </w:p>
        </w:tc>
        <w:tc>
          <w:tcPr>
            <w:tcW w:type="dxa" w:w="2600"/>
          </w:tcPr>
          <w:p>
            <w:r>
              <w:rPr>
                <w:rFonts w:ascii="Arial" w:cs="Arial" w:eastAsia="Arial" w:hAnsi="Arial"/>
                <w:sz w:val="20"/>
                <w:szCs w:val="20"/>
              </w:rPr>
              <w:t xml:space="preserve">Nothing upstream of it — this is the last line, not a substitute for the first two</w:t>
            </w:r>
          </w:p>
        </w:tc>
      </w:tr>
    </w:tbl>
    <w:p>
      <w:pPr>
        <w:spacing w:after="140"/>
      </w:pPr>
      <w:r>
        <w:rPr>
          <w:rFonts w:ascii="Arial" w:cs="Arial" w:eastAsia="Arial" w:hAnsi="Arial"/>
          <w:b w:val="false"/>
          <w:bCs w:val="false"/>
          <w:i w:val="false"/>
          <w:iCs w:val="false"/>
          <w:sz w:val="22"/>
          <w:szCs w:val="22"/>
        </w:rPr>
        <w:t xml:space="preserve">A firewall enforcing tight, well-documented rules is not evidence of intrusion detection. A WAF inspecting inbound HTTP is not evidence of egress threat detection. Each layer's evidence should be presented and audited separately, never substituted for one another.</w:t>
      </w:r>
    </w:p>
    <w:p>
      <w:pPr>
        <w:pStyle w:val="Heading1"/>
        <w:spacing w:after="160" w:before="360"/>
      </w:pPr>
      <w:r>
        <w:t xml:space="preserve">3. Ingress Model</w:t>
      </w:r>
    </w:p>
    <w:p>
      <w:pPr>
        <w:spacing w:after="140"/>
      </w:pPr>
      <w:r>
        <w:rPr>
          <w:rFonts w:ascii="Arial" w:cs="Arial" w:eastAsia="Arial" w:hAnsi="Arial"/>
          <w:b/>
          <w:bCs/>
          <w:i w:val="false"/>
          <w:iCs w:val="false"/>
          <w:sz w:val="22"/>
          <w:szCs w:val="22"/>
        </w:rPr>
        <w:t xml:space="preserve">User → Akamai → Akamai WAF → DMZ FW Zone → DMZ F5 LB → Internal FW Zone → PCI FW → UI Zone → PCI FW → API Zone → PCI FW → DB Zone</w:t>
      </w:r>
    </w:p>
    <w:p>
      <w:pPr>
        <w:spacing w:after="140"/>
      </w:pPr>
      <w:r>
        <w:rPr>
          <w:rFonts w:ascii="Arial" w:cs="Arial" w:eastAsia="Arial" w:hAnsi="Arial"/>
          <w:b w:val="false"/>
          <w:bCs w:val="false"/>
          <w:i w:val="false"/>
          <w:iCs w:val="false"/>
          <w:sz w:val="22"/>
          <w:szCs w:val="22"/>
        </w:rPr>
        <w:t xml:space="preserve">Standard requirements:</w:t>
      </w:r>
    </w:p>
    <w:p>
      <w:pPr>
        <w:pStyle w:val="ListParagraph"/>
        <w:numPr>
          <w:ilvl w:val="0"/>
          <w:numId w:val="1"/>
        </w:numPr>
        <w:spacing w:after="140"/>
      </w:pPr>
      <w:r>
        <w:rPr>
          <w:rFonts w:ascii="Arial" w:cs="Arial" w:eastAsia="Arial" w:hAnsi="Arial"/>
          <w:b w:val="false"/>
          <w:bCs w:val="false"/>
          <w:i w:val="false"/>
          <w:iCs w:val="false"/>
          <w:sz w:val="22"/>
          <w:szCs w:val="22"/>
        </w:rPr>
        <w:t xml:space="preserve">Every hop connects only known, pinned IP identities — no hop in this chain should accept traffic from a dynamic or unqualified source. This is what makes admission-control-only enforcement sufficient at the FW/LB layers: there is no "unknown source" case for them to defend against internally.</w:t>
      </w:r>
    </w:p>
    <w:p>
      <w:pPr>
        <w:pStyle w:val="ListParagraph"/>
        <w:numPr>
          <w:ilvl w:val="0"/>
          <w:numId w:val="1"/>
        </w:numPr>
        <w:spacing w:after="140"/>
      </w:pPr>
      <w:r>
        <w:rPr>
          <w:rFonts w:ascii="Arial" w:cs="Arial" w:eastAsia="Arial" w:hAnsi="Arial"/>
          <w:b w:val="false"/>
          <w:bCs w:val="false"/>
          <w:i w:val="false"/>
          <w:iCs w:val="false"/>
          <w:sz w:val="22"/>
          <w:szCs w:val="22"/>
        </w:rPr>
        <w:t xml:space="preserve">The PCI FW enforces the UI → API → DB tier boundaries as three explicit zone transitions, not one pass-through. Each tier boundary requires its own documented, justified rule set — a permit from UI to DB directly, bypassing API, is out of policy regardless of business justification claimed elsewhere.</w:t>
      </w:r>
    </w:p>
    <w:p>
      <w:pPr>
        <w:pStyle w:val="ListParagraph"/>
        <w:numPr>
          <w:ilvl w:val="0"/>
          <w:numId w:val="1"/>
        </w:numPr>
        <w:spacing w:after="140"/>
      </w:pPr>
      <w:r>
        <w:rPr>
          <w:rFonts w:ascii="Arial" w:cs="Arial" w:eastAsia="Arial" w:hAnsi="Arial"/>
          <w:b w:val="false"/>
          <w:bCs w:val="false"/>
          <w:i w:val="false"/>
          <w:iCs w:val="false"/>
          <w:sz w:val="22"/>
          <w:szCs w:val="22"/>
        </w:rPr>
        <w:t xml:space="preserve">Akamai's WAF is the only Layer-7 application inspection point in this chain and is credited only for that function. It cannot be cited as evidence of network-layer intrusion detection for any hop downstream of it.</w:t>
      </w:r>
    </w:p>
    <w:p>
      <w:pPr>
        <w:pStyle w:val="ListParagraph"/>
        <w:numPr>
          <w:ilvl w:val="0"/>
          <w:numId w:val="1"/>
        </w:numPr>
        <w:spacing w:after="140"/>
      </w:pPr>
      <w:r>
        <w:rPr>
          <w:rFonts w:ascii="Arial" w:cs="Arial" w:eastAsia="Arial" w:hAnsi="Arial"/>
          <w:b w:val="false"/>
          <w:bCs w:val="false"/>
          <w:i w:val="false"/>
          <w:iCs w:val="false"/>
          <w:sz w:val="22"/>
          <w:szCs w:val="22"/>
        </w:rPr>
        <w:t xml:space="preserve">The DMZ FW and PCI FW are internal segmentation boundaries and are not expected to run internet-facing threat-prevention profiles at production-blocking severity — their job is admission control, not inspection. Profile groups bound to these devices' rules should reflect that (light logging/visibility is appropriate; full IPS licensing is not a requirement here the way it is at the internet-facing devices).</w:t>
      </w:r>
    </w:p>
    <w:p>
      <w:pPr>
        <w:pStyle w:val="Heading1"/>
        <w:spacing w:after="160" w:before="360"/>
      </w:pPr>
      <w:r>
        <w:t xml:space="preserve">4. Egress Model</w:t>
      </w:r>
    </w:p>
    <w:p>
      <w:pPr>
        <w:spacing w:after="140"/>
      </w:pPr>
      <w:r>
        <w:rPr>
          <w:rFonts w:ascii="Arial" w:cs="Arial" w:eastAsia="Arial" w:hAnsi="Arial"/>
          <w:b/>
          <w:bCs/>
          <w:i w:val="false"/>
          <w:iCs w:val="false"/>
          <w:sz w:val="22"/>
          <w:szCs w:val="22"/>
        </w:rPr>
        <w:t xml:space="preserve">PCI App (API Zone) → PCI FW → Egress FW Zone → Internet SaaS/API (payment processor / intermediary)</w:t>
      </w:r>
    </w:p>
    <w:p>
      <w:pPr>
        <w:spacing w:after="140"/>
      </w:pPr>
      <w:r>
        <w:rPr>
          <w:rFonts w:ascii="Arial" w:cs="Arial" w:eastAsia="Arial" w:hAnsi="Arial"/>
          <w:b w:val="false"/>
          <w:bCs w:val="false"/>
          <w:i w:val="false"/>
          <w:iCs w:val="false"/>
          <w:sz w:val="22"/>
          <w:szCs w:val="22"/>
        </w:rPr>
        <w:t xml:space="preserve">Standard requirements:</w:t>
      </w:r>
    </w:p>
    <w:p>
      <w:pPr>
        <w:pStyle w:val="ListParagraph"/>
        <w:numPr>
          <w:ilvl w:val="0"/>
          <w:numId w:val="1"/>
        </w:numPr>
        <w:spacing w:after="140"/>
      </w:pPr>
      <w:r>
        <w:rPr>
          <w:rFonts w:ascii="Arial" w:cs="Arial" w:eastAsia="Arial" w:hAnsi="Arial"/>
          <w:b w:val="false"/>
          <w:bCs w:val="false"/>
          <w:i w:val="false"/>
          <w:iCs w:val="false"/>
          <w:sz w:val="22"/>
          <w:szCs w:val="22"/>
        </w:rPr>
        <w:t xml:space="preserve">Every PCI workload requires an explicit host/application-to-destination outbound rule at both the PCI FW and the site's Internet Egress FW — never a general "internet access allowed" rule at either hop. This satisfies PCI DSS Requirement 1.3.1 (outbound CDE traffic restricted to documented necessity) by construction: an attacker on a compromised PCI host cannot beacon to unauthorized infrastructure, because the destination was never permitted in the first place.</w:t>
      </w:r>
    </w:p>
    <w:p>
      <w:pPr>
        <w:pStyle w:val="ListParagraph"/>
        <w:numPr>
          <w:ilvl w:val="0"/>
          <w:numId w:val="1"/>
        </w:numPr>
        <w:spacing w:after="140"/>
      </w:pPr>
      <w:r>
        <w:rPr>
          <w:rFonts w:ascii="Arial" w:cs="Arial" w:eastAsia="Arial" w:hAnsi="Arial"/>
          <w:b w:val="false"/>
          <w:bCs w:val="false"/>
          <w:i w:val="false"/>
          <w:iCs w:val="false"/>
          <w:sz w:val="22"/>
          <w:szCs w:val="22"/>
        </w:rPr>
        <w:t xml:space="preserve">Because the explicit-destination model closes off unauthorized destinations by default, the only channel a compromised PCI workload could abuse is the one legitimate, already-permitted destination — the payment processor/API intermediary. The Egress FW's threat-prevention profile on this specific rule is the control that exists to cover that one residual channel, and it is the one place in this model where the profile-setting group's action must be verified as enforcing (block/reset/drop on critical-high severity, sinkhole or block on botnet-domain detection), not merely alerting.</w:t>
      </w:r>
    </w:p>
    <w:p>
      <w:pPr>
        <w:pStyle w:val="ListParagraph"/>
        <w:numPr>
          <w:ilvl w:val="0"/>
          <w:numId w:val="1"/>
        </w:numPr>
        <w:spacing w:after="140"/>
      </w:pPr>
      <w:r>
        <w:rPr>
          <w:rFonts w:ascii="Arial" w:cs="Arial" w:eastAsia="Arial" w:hAnsi="Arial"/>
          <w:b w:val="false"/>
          <w:bCs w:val="false"/>
          <w:i w:val="false"/>
          <w:iCs w:val="false"/>
          <w:sz w:val="22"/>
          <w:szCs w:val="22"/>
        </w:rPr>
        <w:t xml:space="preserve">SSL decryption on the PCI-to-intermediary egress channel is in scope and required, contingent on confirming the transaction model. Where the payment flow is a client-side/browser redirect to the processor's own hosted page (i.e., raw PAN never transits the PCI app tier), decrypting this M2M channel does not expose cardholder data and does not expand PCI scope for the decrypt point. Where the PCI app tier itself constructs and transmits the PAN, decrypt infrastructure must be evaluated and operated as in-scope PCI infrastructure in its own right (Requirements 3, 4, 7, 8, 10 apply to the decrypt point). Confirm which model applies before implementing decrypt on any given PCI egress rule.</w:t>
      </w:r>
    </w:p>
    <w:p>
      <w:pPr>
        <w:pStyle w:val="ListParagraph"/>
        <w:numPr>
          <w:ilvl w:val="0"/>
          <w:numId w:val="1"/>
        </w:numPr>
        <w:spacing w:after="140"/>
      </w:pPr>
      <w:r>
        <w:rPr>
          <w:rFonts w:ascii="Arial" w:cs="Arial" w:eastAsia="Arial" w:hAnsi="Arial"/>
          <w:b w:val="false"/>
          <w:bCs w:val="false"/>
          <w:i w:val="false"/>
          <w:iCs w:val="false"/>
          <w:sz w:val="22"/>
          <w:szCs w:val="22"/>
        </w:rPr>
        <w:t xml:space="preserve">DNS resolution from PCI workloads must be restricted the same way HTTPS egress is — general DNS resolution is a documented bypass path for allow-list-based egress control (DNS tunneling) and is not addressed by an HTTPS-only host/app rule.</w:t>
      </w:r>
    </w:p>
    <w:p>
      <w:pPr>
        <w:pStyle w:val="Heading1"/>
        <w:spacing w:after="160" w:before="360"/>
      </w:pPr>
      <w:r>
        <w:t xml:space="preserve">5. Enforcement Verification Standard</w:t>
      </w:r>
    </w:p>
    <w:p>
      <w:pPr>
        <w:spacing w:after="140"/>
      </w:pPr>
      <w:r>
        <w:rPr>
          <w:rFonts w:ascii="Arial" w:cs="Arial" w:eastAsia="Arial" w:hAnsi="Arial"/>
          <w:b w:val="false"/>
          <w:bCs w:val="false"/>
          <w:i w:val="false"/>
          <w:iCs w:val="false"/>
          <w:sz w:val="22"/>
          <w:szCs w:val="22"/>
        </w:rPr>
        <w:t xml:space="preserve">A security profile being attached to a rule is not evidence the rule enforces anything. Verification must confirm the profile's actual configured action, not just its presence or its name — a profile named "Best Practice" is not guaranteed to block, and a profile that should be alert-only during a documented tuning window is not the same defect as one left permanently in alert mode with no tuning plan.</w:t>
      </w:r>
    </w:p>
    <w:p>
      <w:pPr>
        <w:spacing w:after="140"/>
      </w:pPr>
      <w:r>
        <w:rPr>
          <w:rFonts w:ascii="Arial" w:cs="Arial" w:eastAsia="Arial" w:hAnsi="Arial"/>
          <w:b w:val="false"/>
          <w:bCs w:val="false"/>
          <w:i w:val="false"/>
          <w:iCs w:val="false"/>
          <w:sz w:val="22"/>
          <w:szCs w:val="22"/>
        </w:rPr>
        <w:t xml:space="preserve">Minimum verification for any PCI-adjacent rule:</w:t>
      </w:r>
    </w:p>
    <w:p>
      <w:pPr>
        <w:pStyle w:val="ListParagraph"/>
        <w:numPr>
          <w:ilvl w:val="0"/>
          <w:numId w:val="1"/>
        </w:numPr>
        <w:spacing w:after="140"/>
      </w:pPr>
      <w:r>
        <w:rPr>
          <w:rFonts w:ascii="Arial" w:cs="Arial" w:eastAsia="Arial" w:hAnsi="Arial"/>
          <w:b w:val="false"/>
          <w:bCs w:val="false"/>
          <w:i w:val="false"/>
          <w:iCs w:val="false"/>
          <w:sz w:val="22"/>
          <w:szCs w:val="22"/>
        </w:rPr>
        <w:t xml:space="preserve">Vulnerability-protection profile: confirm the action for critical/high severity is block/reset, not alert, on production rules (a documented, time-bound tuning exception is acceptable and should be tracked with an end date).</w:t>
      </w:r>
    </w:p>
    <w:p>
      <w:pPr>
        <w:pStyle w:val="ListParagraph"/>
        <w:numPr>
          <w:ilvl w:val="0"/>
          <w:numId w:val="1"/>
        </w:numPr>
        <w:spacing w:after="140"/>
      </w:pPr>
      <w:r>
        <w:rPr>
          <w:rFonts w:ascii="Arial" w:cs="Arial" w:eastAsia="Arial" w:hAnsi="Arial"/>
          <w:b w:val="false"/>
          <w:bCs w:val="false"/>
          <w:i w:val="false"/>
          <w:iCs w:val="false"/>
          <w:sz w:val="22"/>
          <w:szCs w:val="22"/>
        </w:rPr>
        <w:t xml:space="preserve">Anti-spyware profile: confirm botnet-domain detection action is block/sinkhole, not alert — this is the specific mechanism relevant to C2 beaconing detection.</w:t>
      </w:r>
    </w:p>
    <w:p>
      <w:pPr>
        <w:pStyle w:val="ListParagraph"/>
        <w:numPr>
          <w:ilvl w:val="0"/>
          <w:numId w:val="1"/>
        </w:numPr>
        <w:spacing w:after="140"/>
      </w:pPr>
      <w:r>
        <w:rPr>
          <w:rFonts w:ascii="Arial" w:cs="Arial" w:eastAsia="Arial" w:hAnsi="Arial"/>
          <w:b w:val="false"/>
          <w:bCs w:val="false"/>
          <w:i w:val="false"/>
          <w:iCs w:val="false"/>
          <w:sz w:val="22"/>
          <w:szCs w:val="22"/>
        </w:rPr>
        <w:t xml:space="preserve">Record which physical device and rule the profile is bound to, and which logical role (WAF / DMZ FW / PCI FW / Egress FW) that device performs — a finding against the wrong logical layer produces the wrong remediation.</w:t>
      </w:r>
    </w:p>
    <w:p>
      <w:pPr>
        <w:pStyle w:val="Heading1"/>
        <w:spacing w:after="160" w:before="360"/>
      </w:pPr>
      <w:r>
        <w:t xml:space="preserve">6. Site Topology Constraints This Model Must Accommodate</w:t>
      </w:r>
    </w:p>
    <w:p>
      <w:pPr>
        <w:spacing w:after="140"/>
      </w:pPr>
      <w:r>
        <w:rPr>
          <w:rFonts w:ascii="Arial" w:cs="Arial" w:eastAsia="Arial" w:hAnsi="Arial"/>
          <w:b w:val="false"/>
          <w:bCs w:val="false"/>
          <w:i w:val="false"/>
          <w:iCs w:val="false"/>
          <w:sz w:val="22"/>
          <w:szCs w:val="22"/>
        </w:rPr>
        <w:t xml:space="preserve">The logical model in Sections 3–4 is implemented differently at each site; policy language should describe the logical roles, and site runbooks should map those roles to the actual local device names: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shd w:fill="1F4E78" w:val="clear"/>
          </w:tcPr>
          <w:p>
            <w:r>
              <w:rPr>
                <w:rFonts w:ascii="Arial" w:cs="Arial" w:eastAsia="Arial" w:hAnsi="Arial"/>
                <w:b/>
                <w:bCs/>
                <w:color w:val="FFFFFF"/>
                <w:sz w:val="20"/>
                <w:szCs w:val="20"/>
              </w:rPr>
              <w:t xml:space="preserve">Site</w:t>
            </w:r>
          </w:p>
        </w:tc>
        <w:tc>
          <w:tcPr>
            <w:tcW w:type="dxa" w:w="4200"/>
            <w:shd w:fill="1F4E78" w:val="clear"/>
          </w:tcPr>
          <w:p>
            <w:r>
              <w:rPr>
                <w:rFonts w:ascii="Arial" w:cs="Arial" w:eastAsia="Arial" w:hAnsi="Arial"/>
                <w:b/>
                <w:bCs/>
                <w:color w:val="FFFFFF"/>
                <w:sz w:val="20"/>
                <w:szCs w:val="20"/>
              </w:rPr>
              <w:t xml:space="preserve">DMZ FW / Egress FW relationship</w:t>
            </w:r>
          </w:p>
        </w:tc>
        <w:tc>
          <w:tcPr>
            <w:tcW w:type="dxa" w:w="2600"/>
            <w:shd w:fill="1F4E78" w:val="clear"/>
          </w:tcPr>
          <w:p>
            <w:r>
              <w:rPr>
                <w:rFonts w:ascii="Arial" w:cs="Arial" w:eastAsia="Arial" w:hAnsi="Arial"/>
                <w:b/>
                <w:bCs/>
                <w:color w:val="FFFFFF"/>
                <w:sz w:val="20"/>
                <w:szCs w:val="20"/>
              </w:rPr>
              <w:t xml:space="preserve">Third-party connectivity</w:t>
            </w:r>
          </w:p>
        </w:tc>
      </w:tr>
      <w:tr>
        <w:tc>
          <w:tcPr>
            <w:tcW w:type="dxa" w:w="2200"/>
          </w:tcPr>
          <w:p>
            <w:r>
              <w:rPr>
                <w:rFonts w:ascii="Arial" w:cs="Arial" w:eastAsia="Arial" w:hAnsi="Arial"/>
                <w:sz w:val="20"/>
                <w:szCs w:val="20"/>
              </w:rPr>
              <w:t xml:space="preserve">Shea</w:t>
            </w:r>
          </w:p>
        </w:tc>
        <w:tc>
          <w:tcPr>
            <w:tcW w:type="dxa" w:w="4200"/>
          </w:tcPr>
          <w:p>
            <w:r>
              <w:rPr>
                <w:rFonts w:ascii="Arial" w:cs="Arial" w:eastAsia="Arial" w:hAnsi="Arial"/>
                <w:sz w:val="20"/>
                <w:szCs w:val="20"/>
              </w:rPr>
              <w:t xml:space="preserve">Combined — one physical HA pair performs both roles via zone-direction (Outside↔DMZ-PDE)</w:t>
            </w:r>
          </w:p>
        </w:tc>
        <w:tc>
          <w:tcPr>
            <w:tcW w:type="dxa" w:w="2600"/>
          </w:tcPr>
          <w:p>
            <w:r>
              <w:rPr>
                <w:rFonts w:ascii="Arial" w:cs="Arial" w:eastAsia="Arial" w:hAnsi="Arial"/>
                <w:sz w:val="20"/>
                <w:szCs w:val="20"/>
              </w:rPr>
              <w:t xml:space="preserve">Not hosted locally</w:t>
            </w:r>
          </w:p>
        </w:tc>
      </w:tr>
      <w:tr>
        <w:tc>
          <w:tcPr>
            <w:tcW w:type="dxa" w:w="2200"/>
          </w:tcPr>
          <w:p>
            <w:r>
              <w:rPr>
                <w:rFonts w:ascii="Arial" w:cs="Arial" w:eastAsia="Arial" w:hAnsi="Arial"/>
                <w:sz w:val="20"/>
                <w:szCs w:val="20"/>
              </w:rPr>
              <w:t xml:space="preserve">Vegas</w:t>
            </w:r>
          </w:p>
        </w:tc>
        <w:tc>
          <w:tcPr>
            <w:tcW w:type="dxa" w:w="4200"/>
          </w:tcPr>
          <w:p>
            <w:r>
              <w:rPr>
                <w:rFonts w:ascii="Arial" w:cs="Arial" w:eastAsia="Arial" w:hAnsi="Arial"/>
                <w:sz w:val="20"/>
                <w:szCs w:val="20"/>
              </w:rPr>
              <w:t xml:space="preserve">Separate — ext-dmz-pa-fw (DMZ) and ext-pa-fw (Egress) are distinct devices interconnected via a router/switch</w:t>
            </w:r>
          </w:p>
        </w:tc>
        <w:tc>
          <w:tcPr>
            <w:tcW w:type="dxa" w:w="2600"/>
          </w:tcPr>
          <w:p>
            <w:r>
              <w:rPr>
                <w:rFonts w:ascii="Arial" w:cs="Arial" w:eastAsia="Arial" w:hAnsi="Arial"/>
                <w:sz w:val="20"/>
                <w:szCs w:val="20"/>
              </w:rPr>
              <w:t xml:space="preserve">Hosted locally — dedicated 3rd-pa-fw device with named, crypto-map/proxy-ID-scoped tunnels per partner</w:t>
            </w:r>
          </w:p>
        </w:tc>
      </w:tr>
      <w:tr>
        <w:tc>
          <w:tcPr>
            <w:tcW w:type="dxa" w:w="2200"/>
          </w:tcPr>
          <w:p>
            <w:r>
              <w:rPr>
                <w:rFonts w:ascii="Arial" w:cs="Arial" w:eastAsia="Arial" w:hAnsi="Arial"/>
                <w:sz w:val="20"/>
                <w:szCs w:val="20"/>
              </w:rPr>
              <w:t xml:space="preserve">Middletown / Windsor</w:t>
            </w:r>
          </w:p>
        </w:tc>
        <w:tc>
          <w:tcPr>
            <w:tcW w:type="dxa" w:w="4200"/>
          </w:tcPr>
          <w:p>
            <w:r>
              <w:rPr>
                <w:rFonts w:ascii="Arial" w:cs="Arial" w:eastAsia="Arial" w:hAnsi="Arial"/>
                <w:sz w:val="20"/>
                <w:szCs w:val="20"/>
              </w:rPr>
              <w:t xml:space="preserve">Six purpose-built device pairs (dmz, edmz, cvs, officeext, clouddmz, glr; Middletown adds qadmz), not a linear DMZ→Egress chain</w:t>
            </w:r>
          </w:p>
        </w:tc>
        <w:tc>
          <w:tcPr>
            <w:tcW w:type="dxa" w:w="2600"/>
          </w:tcPr>
          <w:p>
            <w:r>
              <w:rPr>
                <w:rFonts w:ascii="Arial" w:cs="Arial" w:eastAsia="Arial" w:hAnsi="Arial"/>
                <w:sz w:val="20"/>
                <w:szCs w:val="20"/>
              </w:rPr>
              <w:t xml:space="preserve">Not hosted locally — expected to route through the Vegas hub</w:t>
            </w:r>
          </w:p>
        </w:tc>
      </w:tr>
      <w:tr>
        <w:tc>
          <w:tcPr>
            <w:tcW w:type="dxa" w:w="2200"/>
          </w:tcPr>
          <w:p>
            <w:r>
              <w:rPr>
                <w:rFonts w:ascii="Arial" w:cs="Arial" w:eastAsia="Arial" w:hAnsi="Arial"/>
                <w:sz w:val="20"/>
                <w:szCs w:val="20"/>
              </w:rPr>
              <w:t xml:space="preserve">Rhode Island (Woonsocket/Cumberland)</w:t>
            </w:r>
          </w:p>
        </w:tc>
        <w:tc>
          <w:tcPr>
            <w:tcW w:type="dxa" w:w="4200"/>
          </w:tcPr>
          <w:p>
            <w:r>
              <w:rPr>
                <w:rFonts w:ascii="Arial" w:cs="Arial" w:eastAsia="Arial" w:hAnsi="Arial"/>
                <w:sz w:val="20"/>
                <w:szCs w:val="20"/>
              </w:rPr>
              <w:t xml:space="preserve">Three device roles: DMZ/App-tier perimeter, Employee/Guest external, Cumberland-specific nested boundary</w:t>
            </w:r>
          </w:p>
        </w:tc>
        <w:tc>
          <w:tcPr>
            <w:tcW w:type="dxa" w:w="2600"/>
          </w:tcPr>
          <w:p>
            <w:r>
              <w:rPr>
                <w:rFonts w:ascii="Arial" w:cs="Arial" w:eastAsia="Arial" w:hAnsi="Arial"/>
                <w:sz w:val="20"/>
                <w:szCs w:val="20"/>
              </w:rPr>
              <w:t xml:space="preserve">Not hosted locally</w:t>
            </w:r>
          </w:p>
        </w:tc>
      </w:tr>
    </w:tbl>
    <w:p>
      <w:pPr>
        <w:spacing w:after="140"/>
      </w:pPr>
      <w:r>
        <w:rPr>
          <w:rFonts w:ascii="Arial" w:cs="Arial" w:eastAsia="Arial" w:hAnsi="Arial"/>
          <w:b w:val="false"/>
          <w:bCs w:val="false"/>
          <w:i w:val="false"/>
          <w:iCs w:val="false"/>
          <w:sz w:val="22"/>
          <w:szCs w:val="22"/>
        </w:rPr>
        <w:t xml:space="preserve">Any new third-party partner connection should default to the Vegas hub pattern (named per-partner tunnel, proxy-ID scoped) rather than being provisioned locally at another site, unless a documented exception is approved.</w:t>
      </w:r>
    </w:p>
    <w:p>
      <w:pPr>
        <w:pStyle w:val="Heading1"/>
        <w:spacing w:after="160" w:before="360"/>
      </w:pPr>
      <w:r>
        <w:t xml:space="preserve">7. Open Decisions Requiring Sign-off</w:t>
      </w:r>
    </w:p>
    <w:p>
      <w:pPr>
        <w:pStyle w:val="ListParagraph"/>
        <w:numPr>
          <w:ilvl w:val="0"/>
          <w:numId w:val="1"/>
        </w:numPr>
        <w:spacing w:after="140"/>
      </w:pPr>
      <w:r>
        <w:rPr>
          <w:rFonts w:ascii="Arial" w:cs="Arial" w:eastAsia="Arial" w:hAnsi="Arial"/>
          <w:b w:val="false"/>
          <w:bCs w:val="false"/>
          <w:i w:val="false"/>
          <w:iCs w:val="false"/>
          <w:sz w:val="22"/>
          <w:szCs w:val="22"/>
        </w:rPr>
        <w:t xml:space="preserve">Whether SSL decrypt is authorized for PCI egress depends on confirming the transaction model per Section 4 — this is a decision for PCI/compliance leadership, not a default engineering choice.</w:t>
      </w:r>
    </w:p>
    <w:p>
      <w:pPr>
        <w:pStyle w:val="ListParagraph"/>
        <w:numPr>
          <w:ilvl w:val="0"/>
          <w:numId w:val="1"/>
        </w:numPr>
        <w:spacing w:after="140"/>
      </w:pPr>
      <w:r>
        <w:rPr>
          <w:rFonts w:ascii="Arial" w:cs="Arial" w:eastAsia="Arial" w:hAnsi="Arial"/>
          <w:b w:val="false"/>
          <w:bCs w:val="false"/>
          <w:i w:val="false"/>
          <w:iCs w:val="false"/>
          <w:sz w:val="22"/>
          <w:szCs w:val="22"/>
        </w:rPr>
        <w:t xml:space="preserve">Acceptable tuning-window duration for a threat-prevention profile before it must be promoted to enforcing action on a production PCI-adjacent rule.</w:t>
      </w:r>
    </w:p>
    <w:p>
      <w:pPr>
        <w:pStyle w:val="ListParagraph"/>
        <w:numPr>
          <w:ilvl w:val="0"/>
          <w:numId w:val="1"/>
        </w:numPr>
        <w:spacing w:after="140"/>
      </w:pPr>
      <w:r>
        <w:rPr>
          <w:rFonts w:ascii="Arial" w:cs="Arial" w:eastAsia="Arial" w:hAnsi="Arial"/>
          <w:b w:val="false"/>
          <w:bCs w:val="false"/>
          <w:i w:val="false"/>
          <w:iCs w:val="false"/>
          <w:sz w:val="22"/>
          <w:szCs w:val="22"/>
        </w:rPr>
        <w:t xml:space="preserve">Whether DNS egress restriction for PCI workloads is currently implemented anywhere in the estate — not yet confirmed as of this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2026-09-09T15:21:28.881Z</dcterms:created>
  <dcterms:modified xsi:type="dcterms:W3CDTF">2026-09-09T15:21:28.882Z</dcterms:modified>
</cp:coreProperties>
</file>

<file path=docProps/custom.xml><?xml version="1.0" encoding="utf-8"?>
<Properties xmlns="http://schemas.openxmlformats.org/officeDocument/2006/custom-properties" xmlns:vt="http://schemas.openxmlformats.org/officeDocument/2006/docPropsVTypes"/>
</file>