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One‑Page Alignment Memo: Forescout NAC Executive Summary vs. Architecture Document</w:t>
      </w:r>
    </w:p>
    <w:p/>
    <w:p>
      <w:r>
        <w:t>Purpose</w:t>
      </w:r>
    </w:p>
    <w:p>
      <w:r>
        <w:t>This memo summarizes alignment between the Forescout NAC Executive Summary and the Forescout NAC Executive Architecture documents. Both documents are highly aligned, with the Architecture document serving as a detailed implementation expansion of the strategy defined in the Executive Summary.</w:t>
      </w:r>
    </w:p>
    <w:p/>
    <w:p>
      <w:r>
        <w:t>1. Strategic Alignment</w:t>
      </w:r>
    </w:p>
    <w:p>
      <w:r>
        <w:t>Both documents share the same objective: implementing continuous, posture‑based NAC using Forescout as the RADIUS enforcement platform without VLAN redesign. Core elements such as MAB admission, RADIUS CoA authorization, posture tiers, unified wired/wireless enforcement, IoT/OT lifecycle governance, and multi‑source posture telemetry are consistent.</w:t>
      </w:r>
    </w:p>
    <w:p/>
    <w:p>
      <w:r>
        <w:t>2. Architectural Alignment</w:t>
      </w:r>
    </w:p>
    <w:p>
      <w:r>
        <w:t>The Architecture document expands on the Summary without contradiction. Both use identical device classes, enforcement models, access‑control logic, dependency requirements, and security telemetry integrations.</w:t>
      </w:r>
    </w:p>
    <w:p/>
    <w:p>
      <w:r>
        <w:t>3. Rollout &amp; Timeline Alignment</w:t>
      </w:r>
    </w:p>
    <w:p>
      <w:r>
        <w:t>Both documents describe phased rollout. The Summary notes rollout to 30 core sites (6–9 months) and specialty sites (12–18 months). The Architecture describes a 4‑phase program (~18 months). These timelines are compatible but could be explicitly synchronized.</w:t>
      </w:r>
    </w:p>
    <w:p/>
    <w:p>
      <w:r>
        <w:t>4. Metrics &amp; KPIs</w:t>
      </w:r>
    </w:p>
    <w:p>
      <w:r>
        <w:t>The Summary includes high‑level metrics, while the Architecture provides a full KPI table (visibility, posture rates, MTTR, exception rate). Harmonizing them would improve executive clarity.</w:t>
      </w:r>
    </w:p>
    <w:p/>
    <w:p>
      <w:r>
        <w:t>5. Minor Gaps &amp; Harmonization Options</w:t>
      </w:r>
    </w:p>
    <w:p>
      <w:r>
        <w:t>• Add fallback enforcement (Switch Plugin) to the Summary.</w:t>
      </w:r>
    </w:p>
    <w:p>
      <w:r>
        <w:t>• Add ZIA bi‑directional posture integration to the Summary.</w:t>
      </w:r>
    </w:p>
    <w:p>
      <w:r>
        <w:t>• Add scope control mechanisms (Segments, discovery rules, NAD scoping) to Summary.</w:t>
      </w:r>
    </w:p>
    <w:p>
      <w:r>
        <w:t>• Reference the same 30 core sites in the Architecture rollout section.</w:t>
      </w:r>
    </w:p>
    <w:p/>
    <w:p>
      <w:r>
        <w:t>6. Summary Judgment</w:t>
      </w:r>
    </w:p>
    <w:p>
      <w:r>
        <w:t>The documents are fully aligned strategically and architecturally. Minor narrative edits can further synchronize them, but no structural changes are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